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084" w:rsidRDefault="00977084">
      <w:pPr>
        <w:spacing w:line="1" w:lineRule="exact"/>
      </w:pPr>
    </w:p>
    <w:p w:rsidR="00977084" w:rsidRDefault="00BC27EC">
      <w:pPr>
        <w:pStyle w:val="Zkladntext30"/>
        <w:framePr w:wrap="none" w:vAnchor="page" w:hAnchor="page" w:x="5478" w:y="1116"/>
        <w:shd w:val="clear" w:color="auto" w:fill="auto"/>
        <w:ind w:left="44" w:right="18"/>
      </w:pPr>
      <w:proofErr w:type="spellStart"/>
      <w:r>
        <w:t>Tendersystems</w:t>
      </w:r>
      <w:proofErr w:type="spellEnd"/>
    </w:p>
    <w:p w:rsidR="00977084" w:rsidRDefault="00977084">
      <w:pPr>
        <w:framePr w:wrap="none" w:vAnchor="page" w:hAnchor="page" w:x="8567" w:y="417"/>
      </w:pPr>
    </w:p>
    <w:p w:rsidR="00977084" w:rsidRDefault="00BC27EC">
      <w:pPr>
        <w:pStyle w:val="Zkladntext20"/>
        <w:framePr w:w="9616" w:h="1206" w:hRule="exact" w:wrap="none" w:vAnchor="page" w:hAnchor="page" w:x="1561" w:y="2412"/>
        <w:shd w:val="clear" w:color="auto" w:fill="auto"/>
        <w:ind w:left="10633" w:right="983" w:hanging="5320"/>
      </w:pPr>
      <w:r>
        <w:t>DOPRAVNÍ PODNIK měst Mostu a</w:t>
      </w:r>
      <w:r>
        <w:br/>
        <w:t>Litvínova, a.s.</w:t>
      </w:r>
    </w:p>
    <w:p w:rsidR="00977084" w:rsidRDefault="00BC27EC">
      <w:pPr>
        <w:pStyle w:val="Zkladntext20"/>
        <w:framePr w:w="9616" w:h="1206" w:hRule="exact" w:wrap="none" w:vAnchor="page" w:hAnchor="page" w:x="1561" w:y="2412"/>
        <w:shd w:val="clear" w:color="auto" w:fill="auto"/>
        <w:ind w:right="983"/>
      </w:pPr>
      <w:r>
        <w:t>tř. Budovatelů 1395/23</w:t>
      </w:r>
    </w:p>
    <w:p w:rsidR="00977084" w:rsidRDefault="00BC27EC">
      <w:pPr>
        <w:pStyle w:val="Zkladntext20"/>
        <w:framePr w:w="9616" w:h="1206" w:hRule="exact" w:wrap="none" w:vAnchor="page" w:hAnchor="page" w:x="1561" w:y="2412"/>
        <w:shd w:val="clear" w:color="auto" w:fill="auto"/>
        <w:ind w:right="983"/>
      </w:pPr>
      <w:r>
        <w:t>434 01 Most</w:t>
      </w:r>
    </w:p>
    <w:p w:rsidR="00977084" w:rsidRDefault="00BC27EC">
      <w:pPr>
        <w:pStyle w:val="Zkladntext1"/>
        <w:framePr w:w="9616" w:h="274" w:hRule="exact" w:wrap="none" w:vAnchor="page" w:hAnchor="page" w:x="1561" w:y="4168"/>
        <w:shd w:val="clear" w:color="auto" w:fill="auto"/>
        <w:spacing w:after="0" w:line="240" w:lineRule="auto"/>
        <w:ind w:right="420"/>
        <w:jc w:val="right"/>
      </w:pPr>
      <w:r>
        <w:t xml:space="preserve">V Praze dne </w:t>
      </w:r>
      <w:proofErr w:type="gramStart"/>
      <w:r>
        <w:t>26.09.2024</w:t>
      </w:r>
      <w:proofErr w:type="gramEnd"/>
    </w:p>
    <w:p w:rsidR="00977084" w:rsidRDefault="00BC27EC">
      <w:pPr>
        <w:pStyle w:val="Zkladntext1"/>
        <w:framePr w:wrap="none" w:vAnchor="page" w:hAnchor="page" w:x="1561" w:y="4712"/>
        <w:shd w:val="clear" w:color="auto" w:fill="auto"/>
        <w:spacing w:after="0" w:line="240" w:lineRule="auto"/>
      </w:pPr>
      <w:r>
        <w:rPr>
          <w:b/>
          <w:bCs/>
          <w:u w:val="single"/>
        </w:rPr>
        <w:t>Věc: Oznámení</w:t>
      </w:r>
    </w:p>
    <w:p w:rsidR="00977084" w:rsidRDefault="00BC27EC">
      <w:pPr>
        <w:pStyle w:val="Zkladntext1"/>
        <w:framePr w:w="9616" w:h="1634" w:hRule="exact" w:wrap="none" w:vAnchor="page" w:hAnchor="page" w:x="1561" w:y="5241"/>
        <w:shd w:val="clear" w:color="auto" w:fill="auto"/>
        <w:spacing w:after="0"/>
      </w:pPr>
      <w:r>
        <w:t>Vážení,</w:t>
      </w:r>
    </w:p>
    <w:p w:rsidR="00977084" w:rsidRDefault="00BC27EC">
      <w:pPr>
        <w:pStyle w:val="Zkladntext1"/>
        <w:framePr w:w="9616" w:h="1634" w:hRule="exact" w:wrap="none" w:vAnchor="page" w:hAnchor="page" w:x="1561" w:y="5241"/>
        <w:shd w:val="clear" w:color="auto" w:fill="auto"/>
        <w:spacing w:after="0"/>
        <w:ind w:firstLine="440"/>
      </w:pPr>
      <w:r>
        <w:t xml:space="preserve">na základě </w:t>
      </w:r>
      <w:proofErr w:type="spellStart"/>
      <w:r>
        <w:t>ust</w:t>
      </w:r>
      <w:proofErr w:type="spellEnd"/>
      <w:r>
        <w:t xml:space="preserve">. </w:t>
      </w:r>
      <w:proofErr w:type="gramStart"/>
      <w:r>
        <w:t>čl.</w:t>
      </w:r>
      <w:proofErr w:type="gramEnd"/>
      <w:r>
        <w:t xml:space="preserve"> 4.2 Smlouvy o poskytování služeb provozování elektronického nástroje pro zadávání veřejných </w:t>
      </w:r>
      <w:r>
        <w:t>zakázek Tender aréna® ze dne 10. 9. 2018 ve znění pozdějších dodatků (dále jen „Smlouva“) si Vám dovolujeme oznámit navýšení cen služeb poskytovaných dle Smlouvy s účinností od 1. 10 2024.</w:t>
      </w:r>
    </w:p>
    <w:p w:rsidR="00977084" w:rsidRDefault="00BC27EC">
      <w:pPr>
        <w:pStyle w:val="Zkladntext1"/>
        <w:framePr w:w="9616" w:h="1634" w:hRule="exact" w:wrap="none" w:vAnchor="page" w:hAnchor="page" w:x="1561" w:y="5241"/>
        <w:shd w:val="clear" w:color="auto" w:fill="auto"/>
        <w:spacing w:after="0"/>
        <w:ind w:firstLine="440"/>
      </w:pPr>
      <w:r>
        <w:t>Ceny služeb budou navýšeny dle průměrné meziroční míry inflace v ro</w:t>
      </w:r>
      <w:r>
        <w:t xml:space="preserve">ce 2023, která činila </w:t>
      </w:r>
      <w:r>
        <w:rPr>
          <w:b/>
          <w:bCs/>
        </w:rPr>
        <w:t xml:space="preserve">10,7% </w:t>
      </w:r>
      <w:r>
        <w:t xml:space="preserve">(zdroj: Český statistický úřad), přičemž čl. 4. 1 Smlouvy s účinností </w:t>
      </w:r>
      <w:r>
        <w:rPr>
          <w:b/>
          <w:bCs/>
        </w:rPr>
        <w:t xml:space="preserve">od 1. 10. 2024 </w:t>
      </w:r>
      <w:r>
        <w:t>nově zní:</w:t>
      </w:r>
    </w:p>
    <w:p w:rsidR="00977084" w:rsidRDefault="00BC27EC">
      <w:pPr>
        <w:pStyle w:val="Zkladntext1"/>
        <w:framePr w:w="9616" w:h="590" w:hRule="exact" w:wrap="none" w:vAnchor="page" w:hAnchor="page" w:x="1561" w:y="7110"/>
        <w:shd w:val="clear" w:color="auto" w:fill="auto"/>
        <w:spacing w:after="0" w:line="293" w:lineRule="auto"/>
        <w:rPr>
          <w:sz w:val="19"/>
          <w:szCs w:val="19"/>
        </w:rPr>
      </w:pPr>
      <w:r>
        <w:rPr>
          <w:i/>
          <w:iCs/>
          <w:sz w:val="19"/>
          <w:szCs w:val="19"/>
        </w:rPr>
        <w:t>„ 4.1 Nabyvatel se zavazuje zaplatit Poskytovateli za řádné a včasné splnění předmětu plnění dohodnutou cenu v dohodnuté výši a v doh</w:t>
      </w:r>
      <w:r>
        <w:rPr>
          <w:i/>
          <w:iCs/>
          <w:sz w:val="19"/>
          <w:szCs w:val="19"/>
        </w:rPr>
        <w:t xml:space="preserve">odnutých </w:t>
      </w:r>
      <w:proofErr w:type="spellStart"/>
      <w:r>
        <w:rPr>
          <w:i/>
          <w:iCs/>
          <w:sz w:val="19"/>
          <w:szCs w:val="19"/>
        </w:rPr>
        <w:t>Ihůtách</w:t>
      </w:r>
      <w:proofErr w:type="spellEnd"/>
      <w:r>
        <w:rPr>
          <w:i/>
          <w:iCs/>
          <w:sz w:val="19"/>
          <w:szCs w:val="19"/>
        </w:rPr>
        <w:t xml:space="preserve"> splatnosti. Cena za </w:t>
      </w:r>
      <w:proofErr w:type="gramStart"/>
      <w:r>
        <w:rPr>
          <w:i/>
          <w:iCs/>
          <w:sz w:val="19"/>
          <w:szCs w:val="19"/>
        </w:rPr>
        <w:t>plněni</w:t>
      </w:r>
      <w:proofErr w:type="gramEnd"/>
      <w:r>
        <w:rPr>
          <w:i/>
          <w:iCs/>
          <w:sz w:val="19"/>
          <w:szCs w:val="19"/>
        </w:rPr>
        <w:t xml:space="preserve"> poskytnuté dle této Smlouvy je následující: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4"/>
        <w:gridCol w:w="1807"/>
        <w:gridCol w:w="2844"/>
      </w:tblGrid>
      <w:tr w:rsidR="00977084">
        <w:tblPrEx>
          <w:tblCellMar>
            <w:top w:w="0" w:type="dxa"/>
            <w:bottom w:w="0" w:type="dxa"/>
          </w:tblCellMar>
        </w:tblPrEx>
        <w:trPr>
          <w:trHeight w:hRule="exact" w:val="616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7084" w:rsidRDefault="00BC27EC">
            <w:pPr>
              <w:pStyle w:val="Jin0"/>
              <w:framePr w:w="9616" w:h="3802" w:wrap="none" w:vAnchor="page" w:hAnchor="page" w:x="1561" w:y="7912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Poskytované plnění: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7084" w:rsidRDefault="00BC27EC">
            <w:pPr>
              <w:pStyle w:val="Jin0"/>
              <w:framePr w:w="9616" w:h="3802" w:wrap="none" w:vAnchor="page" w:hAnchor="page" w:x="1561" w:y="7912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Jednotková cena v Kč za službu (bez DPH)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084" w:rsidRDefault="00BC27EC">
            <w:pPr>
              <w:pStyle w:val="Jin0"/>
              <w:framePr w:w="9616" w:h="3802" w:wrap="none" w:vAnchor="page" w:hAnchor="page" w:x="1561" w:y="7912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Rozsah plnění</w:t>
            </w:r>
          </w:p>
        </w:tc>
      </w:tr>
      <w:tr w:rsidR="00977084">
        <w:tblPrEx>
          <w:tblCellMar>
            <w:top w:w="0" w:type="dxa"/>
            <w:bottom w:w="0" w:type="dxa"/>
          </w:tblCellMar>
        </w:tblPrEx>
        <w:trPr>
          <w:trHeight w:hRule="exact" w:val="958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7084" w:rsidRDefault="00BC27EC">
            <w:pPr>
              <w:pStyle w:val="Jin0"/>
              <w:framePr w:w="9616" w:h="3802" w:wrap="none" w:vAnchor="page" w:hAnchor="page" w:x="1561" w:y="7912"/>
              <w:shd w:val="clear" w:color="auto" w:fill="auto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Zprovoznění a implementace Nástroje (v rozsahu dle odst. 3.1 Smlouvy, vč. přizpůsobení </w:t>
            </w:r>
            <w:r>
              <w:rPr>
                <w:sz w:val="18"/>
                <w:szCs w:val="18"/>
              </w:rPr>
              <w:t>vzhledu profilu zadavatele podle odst. 2.4 Smlouvy a vč. úvodního školení podle odst. 3.3.1 Smlouvy)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7084" w:rsidRDefault="00BC27EC">
            <w:pPr>
              <w:pStyle w:val="Jin0"/>
              <w:framePr w:w="9616" w:h="3802" w:wrap="none" w:vAnchor="page" w:hAnchor="page" w:x="1561" w:y="7912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0,-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084" w:rsidRDefault="00BC27EC">
            <w:pPr>
              <w:pStyle w:val="Jin0"/>
              <w:framePr w:w="9616" w:h="3802" w:wrap="none" w:vAnchor="page" w:hAnchor="page" w:x="1561" w:y="7912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jednorázově</w:t>
            </w:r>
          </w:p>
        </w:tc>
      </w:tr>
      <w:tr w:rsidR="00977084">
        <w:tblPrEx>
          <w:tblCellMar>
            <w:top w:w="0" w:type="dxa"/>
            <w:bottom w:w="0" w:type="dxa"/>
          </w:tblCellMar>
        </w:tblPrEx>
        <w:trPr>
          <w:trHeight w:hRule="exact" w:val="60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7084" w:rsidRDefault="00BC27EC">
            <w:pPr>
              <w:pStyle w:val="Jin0"/>
              <w:framePr w:w="9616" w:h="3802" w:wrap="none" w:vAnchor="page" w:hAnchor="page" w:x="1561" w:y="7912"/>
              <w:shd w:val="clear" w:color="auto" w:fill="auto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Provozování služby a Nástroje v rozsahu funkcionalit dle Přílohy č. 3 Smlouvy (</w:t>
            </w:r>
            <w:proofErr w:type="spellStart"/>
            <w:r>
              <w:rPr>
                <w:sz w:val="18"/>
                <w:szCs w:val="18"/>
              </w:rPr>
              <w:t>maintenance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7084" w:rsidRDefault="00BC27EC">
            <w:pPr>
              <w:pStyle w:val="Jin0"/>
              <w:framePr w:w="9616" w:h="3802" w:wrap="none" w:vAnchor="page" w:hAnchor="page" w:x="1561" w:y="7912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color w:val="1E654B"/>
                <w:sz w:val="17"/>
                <w:szCs w:val="17"/>
              </w:rPr>
              <w:t>2.435,40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084" w:rsidRDefault="00BC27EC">
            <w:pPr>
              <w:pStyle w:val="Jin0"/>
              <w:framePr w:w="9616" w:h="3802" w:wrap="none" w:vAnchor="page" w:hAnchor="page" w:x="1561" w:y="7912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 1 kalendářní měsíc poskytování </w:t>
            </w:r>
            <w:r>
              <w:rPr>
                <w:sz w:val="18"/>
                <w:szCs w:val="18"/>
              </w:rPr>
              <w:t>služby (případně poměrně)</w:t>
            </w:r>
          </w:p>
        </w:tc>
      </w:tr>
      <w:tr w:rsidR="00977084">
        <w:tblPrEx>
          <w:tblCellMar>
            <w:top w:w="0" w:type="dxa"/>
            <w:bottom w:w="0" w:type="dxa"/>
          </w:tblCellMar>
        </w:tblPrEx>
        <w:trPr>
          <w:trHeight w:hRule="exact" w:val="842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7084" w:rsidRDefault="00BC27EC">
            <w:pPr>
              <w:pStyle w:val="Jin0"/>
              <w:framePr w:w="9616" w:h="3802" w:wrap="none" w:vAnchor="page" w:hAnchor="page" w:x="1561" w:y="7912"/>
              <w:shd w:val="clear" w:color="auto" w:fill="auto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Poradenské a konzultační práce, úpravy nástroje vzhledem k požadavkům Nabyvatele dle odst. 3.4.2 Smlouvy, školení nad rámec úvodního školení dle odst. 3.3.1 Smlouvy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7084" w:rsidRDefault="00BC27EC">
            <w:pPr>
              <w:pStyle w:val="Jin0"/>
              <w:framePr w:w="9616" w:h="3802" w:wrap="none" w:vAnchor="page" w:hAnchor="page" w:x="1561" w:y="7912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color w:val="1E654B"/>
                <w:sz w:val="17"/>
                <w:szCs w:val="17"/>
              </w:rPr>
              <w:t>1948,32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084" w:rsidRDefault="00BC27EC">
            <w:pPr>
              <w:pStyle w:val="Jin0"/>
              <w:framePr w:w="9616" w:h="3802" w:wrap="none" w:vAnchor="page" w:hAnchor="page" w:x="1561" w:y="7912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1 započatou člověkohodinu, na základě objednávky</w:t>
            </w:r>
          </w:p>
        </w:tc>
      </w:tr>
      <w:tr w:rsidR="00977084">
        <w:tblPrEx>
          <w:tblCellMar>
            <w:top w:w="0" w:type="dxa"/>
            <w:bottom w:w="0" w:type="dxa"/>
          </w:tblCellMar>
        </w:tblPrEx>
        <w:trPr>
          <w:trHeight w:hRule="exact" w:val="785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7084" w:rsidRDefault="00BC27EC">
            <w:pPr>
              <w:pStyle w:val="Jin0"/>
              <w:framePr w:w="9616" w:h="3802" w:wrap="none" w:vAnchor="page" w:hAnchor="page" w:x="1561" w:y="7912"/>
              <w:shd w:val="clear" w:color="auto" w:fill="auto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Cestovné - v rámci poskytování služeb dle odst. 3.4.2 Smlouvy a v rámci školení dle odst. 3.3. Smlouvy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7084" w:rsidRDefault="00BC27EC">
            <w:pPr>
              <w:pStyle w:val="Jin0"/>
              <w:framePr w:w="9616" w:h="3802" w:wrap="none" w:vAnchor="page" w:hAnchor="page" w:x="1561" w:y="7912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10,-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084" w:rsidRDefault="00BC27EC">
            <w:pPr>
              <w:pStyle w:val="Jin0"/>
              <w:framePr w:w="9616" w:h="3802" w:wrap="none" w:vAnchor="page" w:hAnchor="page" w:x="1561" w:y="7912"/>
              <w:shd w:val="clear" w:color="auto" w:fill="auto"/>
              <w:spacing w:after="0" w:line="28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1 km mimo území Hl. města Prahy</w:t>
            </w:r>
          </w:p>
        </w:tc>
      </w:tr>
    </w:tbl>
    <w:p w:rsidR="00977084" w:rsidRDefault="00BC27EC">
      <w:pPr>
        <w:pStyle w:val="Zkladntext1"/>
        <w:framePr w:w="9616" w:h="576" w:hRule="exact" w:wrap="none" w:vAnchor="page" w:hAnchor="page" w:x="1561" w:y="11955"/>
        <w:shd w:val="clear" w:color="auto" w:fill="auto"/>
        <w:spacing w:after="0" w:line="293" w:lineRule="auto"/>
        <w:rPr>
          <w:sz w:val="19"/>
          <w:szCs w:val="19"/>
        </w:rPr>
      </w:pPr>
      <w:r>
        <w:rPr>
          <w:i/>
          <w:iCs/>
          <w:sz w:val="19"/>
          <w:szCs w:val="19"/>
        </w:rPr>
        <w:t xml:space="preserve">Cena plnění je stanovena dohodou smluvních stran. Cena v sobě zahrnuje i veškeré náklady a hotové výdaje </w:t>
      </w:r>
      <w:r>
        <w:rPr>
          <w:i/>
          <w:iCs/>
          <w:sz w:val="19"/>
          <w:szCs w:val="19"/>
        </w:rPr>
        <w:t>Poskytovatele spojené s plněním dle této Smlouvy včetně odměny za poskytnutou licenci podle této Smlouvy. ”</w:t>
      </w:r>
    </w:p>
    <w:p w:rsidR="00977084" w:rsidRDefault="00BC27EC">
      <w:pPr>
        <w:pStyle w:val="Zkladntext1"/>
        <w:framePr w:wrap="none" w:vAnchor="page" w:hAnchor="page" w:x="1561" w:y="12736"/>
        <w:shd w:val="clear" w:color="auto" w:fill="auto"/>
        <w:spacing w:after="0" w:line="240" w:lineRule="auto"/>
      </w:pPr>
      <w:r>
        <w:t>S pozdravem,</w:t>
      </w:r>
    </w:p>
    <w:p w:rsidR="00977084" w:rsidRDefault="00BC27EC">
      <w:pPr>
        <w:pStyle w:val="Zkladntext20"/>
        <w:framePr w:w="3388" w:h="540" w:hRule="exact" w:wrap="none" w:vAnchor="page" w:hAnchor="page" w:x="1604" w:y="13806"/>
        <w:shd w:val="clear" w:color="auto" w:fill="auto"/>
        <w:spacing w:line="240" w:lineRule="auto"/>
        <w:ind w:left="0"/>
        <w:rPr>
          <w:sz w:val="20"/>
          <w:szCs w:val="20"/>
        </w:rPr>
      </w:pPr>
      <w:r>
        <w:rPr>
          <w:b/>
          <w:bCs/>
          <w:sz w:val="20"/>
          <w:szCs w:val="20"/>
        </w:rPr>
        <w:t>Ing. Jan Hrádek</w:t>
      </w:r>
    </w:p>
    <w:p w:rsidR="00977084" w:rsidRDefault="00BC27EC">
      <w:pPr>
        <w:pStyle w:val="Zkladntext20"/>
        <w:framePr w:w="3388" w:h="540" w:hRule="exact" w:wrap="none" w:vAnchor="page" w:hAnchor="page" w:x="1604" w:y="13806"/>
        <w:shd w:val="clear" w:color="auto" w:fill="auto"/>
        <w:spacing w:line="240" w:lineRule="auto"/>
        <w:ind w:left="0"/>
        <w:rPr>
          <w:sz w:val="20"/>
          <w:szCs w:val="20"/>
        </w:rPr>
      </w:pPr>
      <w:r>
        <w:rPr>
          <w:sz w:val="20"/>
          <w:szCs w:val="20"/>
        </w:rPr>
        <w:t xml:space="preserve">jednatel společnosti Tender </w:t>
      </w:r>
      <w:proofErr w:type="spellStart"/>
      <w:r>
        <w:rPr>
          <w:sz w:val="20"/>
          <w:szCs w:val="20"/>
        </w:rPr>
        <w:t>systems</w:t>
      </w:r>
      <w:proofErr w:type="spellEnd"/>
      <w:r>
        <w:rPr>
          <w:sz w:val="20"/>
          <w:szCs w:val="20"/>
        </w:rPr>
        <w:t xml:space="preserve"> s.r.o.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0"/>
        <w:gridCol w:w="2862"/>
      </w:tblGrid>
      <w:tr w:rsidR="00977084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41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7084" w:rsidRDefault="00BC27EC">
            <w:pPr>
              <w:pStyle w:val="Jin0"/>
              <w:framePr w:w="4122" w:h="1926" w:wrap="none" w:vAnchor="page" w:hAnchor="page" w:x="6472" w:y="1314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DOPRAVNÍ PODNIK měst Mostu a Litvínova, a.s.</w:t>
            </w:r>
          </w:p>
        </w:tc>
      </w:tr>
      <w:tr w:rsidR="00977084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7084" w:rsidRDefault="00BC27EC">
            <w:pPr>
              <w:pStyle w:val="Jin0"/>
              <w:framePr w:w="4122" w:h="1926" w:wrap="none" w:vAnchor="page" w:hAnchor="page" w:x="6472" w:y="13140"/>
              <w:shd w:val="clear" w:color="auto" w:fill="auto"/>
              <w:spacing w:after="0" w:line="240" w:lineRule="auto"/>
            </w:pPr>
            <w:r>
              <w:rPr>
                <w:rFonts w:ascii="Franklin Gothic Medium" w:eastAsia="Franklin Gothic Medium" w:hAnsi="Franklin Gothic Medium" w:cs="Franklin Gothic Medium"/>
              </w:rPr>
              <w:t>Číslo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7084" w:rsidRDefault="00977084">
            <w:pPr>
              <w:framePr w:w="4122" w:h="1926" w:wrap="none" w:vAnchor="page" w:hAnchor="page" w:x="6472" w:y="13140"/>
              <w:rPr>
                <w:sz w:val="10"/>
                <w:szCs w:val="10"/>
              </w:rPr>
            </w:pPr>
          </w:p>
        </w:tc>
      </w:tr>
      <w:tr w:rsidR="00977084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7084" w:rsidRDefault="00BC27EC">
            <w:pPr>
              <w:pStyle w:val="Jin0"/>
              <w:framePr w:w="4122" w:h="1926" w:wrap="none" w:vAnchor="page" w:hAnchor="page" w:x="6472" w:y="13140"/>
              <w:shd w:val="clear" w:color="auto" w:fill="auto"/>
              <w:spacing w:after="0" w:line="240" w:lineRule="auto"/>
            </w:pPr>
            <w:r>
              <w:rPr>
                <w:rFonts w:ascii="Franklin Gothic Medium" w:eastAsia="Franklin Gothic Medium" w:hAnsi="Franklin Gothic Medium" w:cs="Franklin Gothic Medium"/>
              </w:rPr>
              <w:t>Došlo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7084" w:rsidRDefault="00BC27EC">
            <w:pPr>
              <w:framePr w:w="4122" w:h="1926" w:wrap="none" w:vAnchor="page" w:hAnchor="page" w:x="6472" w:y="1314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3.12.2024</w:t>
            </w:r>
            <w:bookmarkStart w:id="0" w:name="_GoBack"/>
            <w:bookmarkEnd w:id="0"/>
          </w:p>
        </w:tc>
      </w:tr>
      <w:tr w:rsidR="00977084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7084" w:rsidRDefault="00BC27EC">
            <w:pPr>
              <w:pStyle w:val="Jin0"/>
              <w:framePr w:w="4122" w:h="1926" w:wrap="none" w:vAnchor="page" w:hAnchor="page" w:x="6472" w:y="13140"/>
              <w:shd w:val="clear" w:color="auto" w:fill="auto"/>
              <w:spacing w:after="0" w:line="240" w:lineRule="auto"/>
            </w:pPr>
            <w:r>
              <w:rPr>
                <w:rFonts w:ascii="Franklin Gothic Medium" w:eastAsia="Franklin Gothic Medium" w:hAnsi="Franklin Gothic Medium" w:cs="Franklin Gothic Medium"/>
              </w:rPr>
              <w:t>Přiděleno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7084" w:rsidRDefault="00977084">
            <w:pPr>
              <w:framePr w:w="4122" w:h="1926" w:wrap="none" w:vAnchor="page" w:hAnchor="page" w:x="6472" w:y="13140"/>
              <w:rPr>
                <w:sz w:val="10"/>
                <w:szCs w:val="10"/>
              </w:rPr>
            </w:pPr>
          </w:p>
        </w:tc>
      </w:tr>
      <w:tr w:rsidR="00977084">
        <w:tblPrEx>
          <w:tblCellMar>
            <w:top w:w="0" w:type="dxa"/>
            <w:bottom w:w="0" w:type="dxa"/>
          </w:tblCellMar>
        </w:tblPrEx>
        <w:trPr>
          <w:trHeight w:hRule="exact" w:val="39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77084" w:rsidRDefault="00BC27EC">
            <w:pPr>
              <w:pStyle w:val="Jin0"/>
              <w:framePr w:w="4122" w:h="1926" w:wrap="none" w:vAnchor="page" w:hAnchor="page" w:x="6472" w:y="13140"/>
              <w:shd w:val="clear" w:color="auto" w:fill="auto"/>
              <w:spacing w:after="0" w:line="240" w:lineRule="auto"/>
            </w:pPr>
            <w:r>
              <w:rPr>
                <w:rFonts w:ascii="Franklin Gothic Medium" w:eastAsia="Franklin Gothic Medium" w:hAnsi="Franklin Gothic Medium" w:cs="Franklin Gothic Medium"/>
              </w:rPr>
              <w:t>Vyřízeno</w:t>
            </w:r>
          </w:p>
          <w:p w:rsidR="00977084" w:rsidRDefault="00BC27EC">
            <w:pPr>
              <w:pStyle w:val="Jin0"/>
              <w:framePr w:w="4122" w:h="1926" w:wrap="none" w:vAnchor="page" w:hAnchor="page" w:x="6472" w:y="13140"/>
              <w:shd w:val="clear" w:color="auto" w:fill="auto"/>
              <w:spacing w:after="0" w:line="240" w:lineRule="auto"/>
              <w:rPr>
                <w:sz w:val="8"/>
                <w:szCs w:val="8"/>
              </w:rPr>
            </w:pPr>
            <w:proofErr w:type="gramStart"/>
            <w:r>
              <w:rPr>
                <w:rFonts w:ascii="Arial" w:eastAsia="Arial" w:hAnsi="Arial" w:cs="Arial"/>
                <w:sz w:val="8"/>
                <w:szCs w:val="8"/>
              </w:rPr>
              <w:t>L——</w:t>
            </w:r>
            <w:proofErr w:type="gramEnd"/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084" w:rsidRDefault="00977084">
            <w:pPr>
              <w:framePr w:w="4122" w:h="1926" w:wrap="none" w:vAnchor="page" w:hAnchor="page" w:x="6472" w:y="13140"/>
              <w:rPr>
                <w:sz w:val="10"/>
                <w:szCs w:val="10"/>
              </w:rPr>
            </w:pPr>
          </w:p>
        </w:tc>
      </w:tr>
    </w:tbl>
    <w:p w:rsidR="00977084" w:rsidRDefault="00977084">
      <w:pPr>
        <w:spacing w:line="1" w:lineRule="exact"/>
      </w:pPr>
    </w:p>
    <w:sectPr w:rsidR="0097708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C27EC">
      <w:r>
        <w:separator/>
      </w:r>
    </w:p>
  </w:endnote>
  <w:endnote w:type="continuationSeparator" w:id="0">
    <w:p w:rsidR="00000000" w:rsidRDefault="00BC2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084" w:rsidRDefault="00977084"/>
  </w:footnote>
  <w:footnote w:type="continuationSeparator" w:id="0">
    <w:p w:rsidR="00977084" w:rsidRDefault="0097708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77084"/>
    <w:rsid w:val="00977084"/>
    <w:rsid w:val="00BC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BB846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color w:val="BB8460"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6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  <w:ind w:left="53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 w:line="276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BB846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color w:val="BB8460"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6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  <w:ind w:left="53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 w:line="276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Marcela Valová</cp:lastModifiedBy>
  <cp:revision>2</cp:revision>
  <dcterms:created xsi:type="dcterms:W3CDTF">2024-12-03T08:37:00Z</dcterms:created>
  <dcterms:modified xsi:type="dcterms:W3CDTF">2024-12-03T08:38:00Z</dcterms:modified>
</cp:coreProperties>
</file>