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3DD235" w14:textId="3EDC53AD" w:rsidR="00A8504C" w:rsidRDefault="00DD30B7" w:rsidP="00FE23F7">
      <w:pPr>
        <w:pStyle w:val="Bezmezer"/>
        <w:spacing w:after="120"/>
        <w:jc w:val="center"/>
        <w:rPr>
          <w:rFonts w:asciiTheme="minorHAnsi" w:hAnsiTheme="minorHAnsi" w:cstheme="minorHAnsi"/>
          <w:sz w:val="36"/>
          <w:szCs w:val="36"/>
        </w:rPr>
      </w:pPr>
      <w:bookmarkStart w:id="0" w:name="_GoBack"/>
      <w:bookmarkEnd w:id="0"/>
      <w:r>
        <w:rPr>
          <w:rFonts w:asciiTheme="minorHAnsi" w:hAnsiTheme="minorHAnsi" w:cstheme="minorHAnsi"/>
          <w:b/>
          <w:sz w:val="36"/>
          <w:szCs w:val="36"/>
        </w:rPr>
        <w:t xml:space="preserve">Dodatek č. </w:t>
      </w:r>
      <w:r w:rsidR="00DC2CE2">
        <w:rPr>
          <w:rFonts w:asciiTheme="minorHAnsi" w:hAnsiTheme="minorHAnsi" w:cstheme="minorHAnsi"/>
          <w:b/>
          <w:sz w:val="36"/>
          <w:szCs w:val="36"/>
        </w:rPr>
        <w:t>3</w:t>
      </w:r>
      <w:r>
        <w:rPr>
          <w:rFonts w:asciiTheme="minorHAnsi" w:hAnsiTheme="minorHAnsi" w:cstheme="minorHAnsi"/>
          <w:b/>
          <w:sz w:val="36"/>
          <w:szCs w:val="36"/>
        </w:rPr>
        <w:t xml:space="preserve"> ke smlouvě o dílo</w:t>
      </w:r>
      <w:r w:rsidR="00DD41B7">
        <w:rPr>
          <w:rFonts w:asciiTheme="minorHAnsi" w:hAnsiTheme="minorHAnsi" w:cstheme="minorHAnsi"/>
          <w:b/>
          <w:sz w:val="36"/>
          <w:szCs w:val="36"/>
        </w:rPr>
        <w:t xml:space="preserve"> </w:t>
      </w:r>
      <w:r w:rsidR="00DD41B7" w:rsidRPr="00DD41B7">
        <w:rPr>
          <w:rFonts w:asciiTheme="minorHAnsi" w:hAnsiTheme="minorHAnsi" w:cstheme="minorHAnsi"/>
          <w:b/>
          <w:sz w:val="36"/>
          <w:szCs w:val="36"/>
        </w:rPr>
        <w:t>č. 841/NAWT/100/2023</w:t>
      </w:r>
    </w:p>
    <w:p w14:paraId="7BB90A94" w14:textId="1AF693E0" w:rsidR="00DD30B7" w:rsidRPr="003D3FBC" w:rsidRDefault="00DD30B7" w:rsidP="00821866">
      <w:pPr>
        <w:spacing w:after="0"/>
        <w:jc w:val="center"/>
        <w:rPr>
          <w:rFonts w:cstheme="minorHAnsi"/>
          <w:szCs w:val="20"/>
        </w:rPr>
      </w:pPr>
      <w:r w:rsidRPr="003D3FBC">
        <w:rPr>
          <w:rFonts w:cstheme="minorHAnsi"/>
          <w:szCs w:val="20"/>
        </w:rPr>
        <w:t xml:space="preserve">uzavřené dne </w:t>
      </w:r>
      <w:r w:rsidR="00DD41B7">
        <w:rPr>
          <w:rFonts w:cstheme="minorHAnsi"/>
          <w:szCs w:val="20"/>
        </w:rPr>
        <w:t>31</w:t>
      </w:r>
      <w:r w:rsidRPr="003D3FBC">
        <w:rPr>
          <w:rFonts w:cstheme="minorHAnsi"/>
          <w:szCs w:val="20"/>
        </w:rPr>
        <w:t xml:space="preserve">. </w:t>
      </w:r>
      <w:r w:rsidR="00DD41B7">
        <w:rPr>
          <w:rFonts w:cstheme="minorHAnsi"/>
          <w:szCs w:val="20"/>
        </w:rPr>
        <w:t>8</w:t>
      </w:r>
      <w:r w:rsidRPr="003D3FBC">
        <w:rPr>
          <w:rFonts w:cstheme="minorHAnsi"/>
          <w:szCs w:val="20"/>
        </w:rPr>
        <w:t>. 202</w:t>
      </w:r>
      <w:r w:rsidR="00FE23F7" w:rsidRPr="003D3FBC">
        <w:rPr>
          <w:rFonts w:cstheme="minorHAnsi"/>
          <w:szCs w:val="20"/>
        </w:rPr>
        <w:t>3</w:t>
      </w:r>
      <w:r w:rsidRPr="003D3FBC">
        <w:rPr>
          <w:rFonts w:cstheme="minorHAnsi"/>
          <w:szCs w:val="20"/>
        </w:rPr>
        <w:t xml:space="preserve"> podle ust. § 2586 a násl. zákona č. 89/2012, občanský zákoník </w:t>
      </w:r>
    </w:p>
    <w:p w14:paraId="04D7C75B" w14:textId="77777777" w:rsidR="00DD30B7" w:rsidRPr="003D3FBC" w:rsidRDefault="00DD30B7" w:rsidP="00821866">
      <w:pPr>
        <w:spacing w:after="0"/>
        <w:jc w:val="center"/>
        <w:rPr>
          <w:rFonts w:cstheme="minorHAnsi"/>
          <w:szCs w:val="20"/>
        </w:rPr>
      </w:pPr>
      <w:r w:rsidRPr="003D3FBC">
        <w:rPr>
          <w:rFonts w:cstheme="minorHAnsi"/>
          <w:szCs w:val="20"/>
        </w:rPr>
        <w:t>(dále jen „NOZ“) mezi těmito smluvními stranami:</w:t>
      </w:r>
    </w:p>
    <w:p w14:paraId="66F397B3" w14:textId="77777777" w:rsidR="00821866" w:rsidRDefault="00821866" w:rsidP="00821866">
      <w:pPr>
        <w:spacing w:after="0"/>
        <w:jc w:val="center"/>
        <w:rPr>
          <w:rFonts w:cstheme="minorHAnsi"/>
          <w:sz w:val="24"/>
        </w:rPr>
      </w:pPr>
    </w:p>
    <w:p w14:paraId="7110E473" w14:textId="7359CCA3" w:rsidR="00DD41B7" w:rsidRDefault="00DD41B7" w:rsidP="00DD41B7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Mikroregion Šternbersko</w:t>
      </w:r>
    </w:p>
    <w:p w14:paraId="301913E1" w14:textId="77777777" w:rsidR="00DD41B7" w:rsidRDefault="00DD41B7" w:rsidP="00DD41B7">
      <w:pPr>
        <w:spacing w:after="0"/>
        <w:rPr>
          <w:rFonts w:cstheme="minorHAnsi"/>
        </w:rPr>
      </w:pPr>
      <w:r>
        <w:rPr>
          <w:rFonts w:cstheme="minorHAnsi"/>
        </w:rPr>
        <w:t>se sídlem:</w:t>
      </w:r>
      <w:r>
        <w:rPr>
          <w:rFonts w:cstheme="minorHAnsi"/>
        </w:rPr>
        <w:tab/>
      </w:r>
      <w:r>
        <w:rPr>
          <w:rFonts w:cstheme="minorHAnsi"/>
        </w:rPr>
        <w:tab/>
        <w:t>Horní nám. 78/16, 785 01 Šternberk</w:t>
      </w:r>
    </w:p>
    <w:p w14:paraId="4D1C5B34" w14:textId="653327C2" w:rsidR="00DD41B7" w:rsidRDefault="00DD41B7" w:rsidP="00DD41B7">
      <w:pPr>
        <w:pStyle w:val="Bezmezer"/>
        <w:tabs>
          <w:tab w:val="left" w:pos="708"/>
        </w:tabs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szCs w:val="22"/>
        </w:rPr>
        <w:t>IČ: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7C77D5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</w:rPr>
        <w:t>04234201</w:t>
      </w:r>
    </w:p>
    <w:p w14:paraId="53E3CA22" w14:textId="77777777" w:rsidR="00DD41B7" w:rsidRDefault="00DD41B7" w:rsidP="00DD41B7">
      <w:pPr>
        <w:pStyle w:val="Bezmezer"/>
        <w:tabs>
          <w:tab w:val="left" w:pos="708"/>
        </w:tabs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Bankovní spojení:</w:t>
      </w:r>
      <w:r>
        <w:rPr>
          <w:rFonts w:asciiTheme="minorHAnsi" w:hAnsiTheme="minorHAnsi" w:cstheme="minorHAnsi"/>
          <w:sz w:val="22"/>
        </w:rPr>
        <w:tab/>
        <w:t>Česká národní banka</w:t>
      </w:r>
    </w:p>
    <w:p w14:paraId="64CE57EF" w14:textId="77777777" w:rsidR="00DD41B7" w:rsidRDefault="00DD41B7" w:rsidP="00DD41B7">
      <w:pPr>
        <w:pStyle w:val="Bezmezer"/>
        <w:tabs>
          <w:tab w:val="left" w:pos="708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</w:rPr>
        <w:t>Číslo účtu: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  <w:t>94-11815811/0710</w:t>
      </w:r>
    </w:p>
    <w:p w14:paraId="5B106701" w14:textId="77777777" w:rsidR="00DD41B7" w:rsidRDefault="00DD41B7" w:rsidP="00DD41B7">
      <w:pPr>
        <w:pStyle w:val="Normln1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szCs w:val="22"/>
        </w:rPr>
        <w:t>Zastoupení: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</w:rPr>
        <w:t xml:space="preserve">Ing. Rudolf Pečinka, předseda </w:t>
      </w:r>
    </w:p>
    <w:p w14:paraId="1F4C82E2" w14:textId="77777777" w:rsidR="00DD41B7" w:rsidRDefault="00DD41B7" w:rsidP="00DD41B7">
      <w:pPr>
        <w:pStyle w:val="Bezmez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kontakt: +420 733 111 910; e-mail: pecinka@dolany-ol.cz</w:t>
      </w:r>
    </w:p>
    <w:p w14:paraId="5545D2B2" w14:textId="77777777" w:rsidR="00DD41B7" w:rsidRDefault="00DD41B7" w:rsidP="00DD41B7">
      <w:pPr>
        <w:pStyle w:val="Odstavec"/>
        <w:ind w:firstLine="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 technických věcech jedná za objednatele: 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</w:p>
    <w:p w14:paraId="47198B7B" w14:textId="3FCB3919" w:rsidR="00872E94" w:rsidRPr="000C4769" w:rsidRDefault="00872E94" w:rsidP="00872E94">
      <w:pPr>
        <w:pStyle w:val="Bezmez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0C4769">
        <w:rPr>
          <w:rFonts w:asciiTheme="minorHAnsi" w:hAnsiTheme="minorHAnsi" w:cstheme="minorHAnsi"/>
          <w:sz w:val="22"/>
          <w:szCs w:val="22"/>
        </w:rPr>
        <w:t>HSS stavební servis s.r.o., IČ: 27834719, sídlo: Dolany 109, 78316 Dolany</w:t>
      </w:r>
    </w:p>
    <w:p w14:paraId="0FF19AE8" w14:textId="77777777" w:rsidR="00872E94" w:rsidRDefault="00872E94" w:rsidP="00872E94">
      <w:pPr>
        <w:tabs>
          <w:tab w:val="left" w:pos="360"/>
          <w:tab w:val="left" w:pos="2268"/>
        </w:tabs>
        <w:spacing w:after="0"/>
        <w:ind w:left="357"/>
        <w:rPr>
          <w:rStyle w:val="Hypertextovodkaz"/>
          <w:rFonts w:ascii="Times New Roman" w:hAnsi="Times New Roman"/>
          <w:szCs w:val="24"/>
        </w:rPr>
      </w:pPr>
      <w:r>
        <w:rPr>
          <w:rFonts w:cstheme="minorHAnsi"/>
        </w:rPr>
        <w:tab/>
        <w:t xml:space="preserve">                                    </w:t>
      </w:r>
      <w:r w:rsidRPr="000C4769">
        <w:rPr>
          <w:rFonts w:cstheme="minorHAnsi"/>
        </w:rPr>
        <w:t>Ing. Jiří Hovorka, telefon:</w:t>
      </w:r>
      <w:r>
        <w:rPr>
          <w:rFonts w:cstheme="minorHAnsi"/>
        </w:rPr>
        <w:t xml:space="preserve"> </w:t>
      </w:r>
      <w:r w:rsidRPr="000C4769">
        <w:rPr>
          <w:rFonts w:cstheme="minorHAnsi"/>
        </w:rPr>
        <w:t>602 501 526, e-mail</w:t>
      </w:r>
      <w:r w:rsidRPr="00736FAB">
        <w:rPr>
          <w:rFonts w:ascii="Times New Roman" w:hAnsi="Times New Roman"/>
          <w:szCs w:val="24"/>
        </w:rPr>
        <w:t>:</w:t>
      </w:r>
      <w:r w:rsidRPr="00736FAB">
        <w:rPr>
          <w:rFonts w:ascii="Times New Roman" w:hAnsi="Times New Roman"/>
          <w:szCs w:val="24"/>
        </w:rPr>
        <w:tab/>
      </w:r>
      <w:hyperlink r:id="rId8" w:history="1">
        <w:r w:rsidRPr="00F57469">
          <w:rPr>
            <w:rStyle w:val="Hypertextovodkaz"/>
            <w:rFonts w:cstheme="minorHAnsi"/>
            <w:color w:val="auto"/>
            <w:szCs w:val="24"/>
            <w:u w:val="none"/>
          </w:rPr>
          <w:t>hovorka@hss-olomouc.c</w:t>
        </w:r>
        <w:r w:rsidRPr="00F57469">
          <w:rPr>
            <w:rStyle w:val="Hypertextovodkaz"/>
            <w:rFonts w:ascii="Times New Roman" w:hAnsi="Times New Roman"/>
            <w:color w:val="auto"/>
            <w:szCs w:val="24"/>
            <w:u w:val="none"/>
          </w:rPr>
          <w:t>z</w:t>
        </w:r>
      </w:hyperlink>
    </w:p>
    <w:p w14:paraId="6A4DACFB" w14:textId="25F054CA" w:rsidR="00A70A8F" w:rsidRDefault="00872E94" w:rsidP="00872E94">
      <w:pPr>
        <w:tabs>
          <w:tab w:val="left" w:pos="360"/>
          <w:tab w:val="left" w:pos="2268"/>
        </w:tabs>
        <w:spacing w:after="0"/>
        <w:ind w:left="357"/>
        <w:rPr>
          <w:rFonts w:cstheme="minorHAnsi"/>
          <w:iCs/>
        </w:rPr>
      </w:pPr>
      <w:r w:rsidRPr="00A70A8F">
        <w:rPr>
          <w:rFonts w:cstheme="minorHAnsi"/>
          <w:iCs/>
        </w:rPr>
        <w:t xml:space="preserve"> </w:t>
      </w:r>
      <w:r w:rsidR="00A70A8F" w:rsidRPr="00A70A8F">
        <w:rPr>
          <w:rFonts w:cstheme="minorHAnsi"/>
          <w:iCs/>
        </w:rPr>
        <w:t>(dále jen „objednatel“)</w:t>
      </w:r>
      <w:r w:rsidR="00A70A8F">
        <w:rPr>
          <w:rFonts w:cstheme="minorHAnsi"/>
          <w:iCs/>
        </w:rPr>
        <w:t xml:space="preserve"> na straně jedné</w:t>
      </w:r>
    </w:p>
    <w:p w14:paraId="24394BED" w14:textId="45228BEE" w:rsidR="00A70A8F" w:rsidRPr="00A70A8F" w:rsidRDefault="00A70A8F" w:rsidP="009077DA">
      <w:pPr>
        <w:tabs>
          <w:tab w:val="left" w:pos="360"/>
          <w:tab w:val="left" w:pos="2268"/>
          <w:tab w:val="left" w:pos="2694"/>
        </w:tabs>
        <w:spacing w:before="120" w:after="120"/>
        <w:rPr>
          <w:rFonts w:cstheme="minorHAnsi"/>
          <w:iCs/>
        </w:rPr>
      </w:pPr>
      <w:r>
        <w:rPr>
          <w:rFonts w:cstheme="minorHAnsi"/>
          <w:iCs/>
        </w:rPr>
        <w:t>a</w:t>
      </w:r>
    </w:p>
    <w:p w14:paraId="3A0F5FFF" w14:textId="77777777" w:rsidR="00DD41B7" w:rsidRDefault="00DD41B7" w:rsidP="00DD41B7">
      <w:pPr>
        <w:pStyle w:val="Bezmezer"/>
        <w:tabs>
          <w:tab w:val="left" w:pos="708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STRABAG a.s.</w:t>
      </w:r>
      <w:r>
        <w:rPr>
          <w:rFonts w:asciiTheme="minorHAnsi" w:hAnsiTheme="minorHAnsi" w:cstheme="minorHAnsi"/>
          <w:b/>
          <w:sz w:val="22"/>
          <w:szCs w:val="22"/>
        </w:rPr>
        <w:tab/>
      </w:r>
    </w:p>
    <w:p w14:paraId="7AE27F9E" w14:textId="77777777" w:rsidR="00DD41B7" w:rsidRDefault="00DD41B7" w:rsidP="00DD41B7">
      <w:pPr>
        <w:pStyle w:val="Bezmezer"/>
        <w:tabs>
          <w:tab w:val="left" w:pos="708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se sídlem: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Kačírkova 982/4, Jinonice, 158 00 Praha 5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5E46C343" w14:textId="06B8DD40" w:rsidR="00DD41B7" w:rsidRDefault="00DD41B7" w:rsidP="00DD41B7">
      <w:pPr>
        <w:pStyle w:val="Bezmezer"/>
        <w:tabs>
          <w:tab w:val="left" w:pos="708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IČ: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7C77D5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60838744</w:t>
      </w:r>
    </w:p>
    <w:p w14:paraId="5BBDCCB6" w14:textId="7D0C8ABB" w:rsidR="00DD41B7" w:rsidRDefault="00DD41B7" w:rsidP="00DD41B7">
      <w:pPr>
        <w:pStyle w:val="Bezmezer"/>
        <w:tabs>
          <w:tab w:val="left" w:pos="708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DIČ: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7C77D5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CZ60838744</w:t>
      </w:r>
    </w:p>
    <w:p w14:paraId="1B634720" w14:textId="77777777" w:rsidR="00DD41B7" w:rsidRDefault="00DD41B7" w:rsidP="00DD41B7">
      <w:pPr>
        <w:pStyle w:val="Bezmezer"/>
        <w:tabs>
          <w:tab w:val="left" w:pos="708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Bankovní spojení:</w:t>
      </w:r>
      <w:r>
        <w:rPr>
          <w:rFonts w:asciiTheme="minorHAnsi" w:hAnsiTheme="minorHAnsi" w:cstheme="minorHAnsi"/>
          <w:sz w:val="22"/>
          <w:szCs w:val="22"/>
        </w:rPr>
        <w:tab/>
      </w:r>
      <w:bookmarkStart w:id="1" w:name="_Hlk49937118"/>
      <w:r>
        <w:rPr>
          <w:rFonts w:asciiTheme="minorHAnsi" w:hAnsiTheme="minorHAnsi" w:cstheme="minorHAnsi"/>
          <w:sz w:val="22"/>
          <w:szCs w:val="22"/>
        </w:rPr>
        <w:t>UniCredit Bank Czech Republic and Slovakia, a.s.</w:t>
      </w:r>
      <w:bookmarkEnd w:id="1"/>
      <w:r>
        <w:rPr>
          <w:rFonts w:asciiTheme="minorHAnsi" w:hAnsiTheme="minorHAnsi" w:cstheme="minorHAnsi"/>
          <w:sz w:val="22"/>
          <w:szCs w:val="22"/>
        </w:rPr>
        <w:tab/>
      </w:r>
    </w:p>
    <w:p w14:paraId="4AAC4468" w14:textId="77777777" w:rsidR="00DD41B7" w:rsidRDefault="00DD41B7" w:rsidP="00DD41B7">
      <w:pPr>
        <w:pStyle w:val="Bezmezer"/>
        <w:tabs>
          <w:tab w:val="left" w:pos="708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Číslo účtu: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bookmarkStart w:id="2" w:name="_Hlk49937138"/>
      <w:r>
        <w:rPr>
          <w:rFonts w:asciiTheme="minorHAnsi" w:hAnsiTheme="minorHAnsi" w:cstheme="minorHAnsi"/>
          <w:sz w:val="22"/>
          <w:szCs w:val="22"/>
        </w:rPr>
        <w:t>5061885001/2700</w:t>
      </w:r>
      <w:bookmarkEnd w:id="2"/>
      <w:r>
        <w:rPr>
          <w:rFonts w:asciiTheme="minorHAnsi" w:hAnsiTheme="minorHAnsi" w:cstheme="minorHAnsi"/>
          <w:sz w:val="22"/>
          <w:szCs w:val="22"/>
        </w:rPr>
        <w:tab/>
      </w:r>
    </w:p>
    <w:p w14:paraId="4DC922F2" w14:textId="77777777" w:rsidR="00DD41B7" w:rsidRDefault="00DD41B7" w:rsidP="00DD41B7">
      <w:pPr>
        <w:pStyle w:val="Bezmezer"/>
        <w:tabs>
          <w:tab w:val="left" w:pos="708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Zapsaná v obchodním rejstříku vedeném Městským soudem v Praze, spisová značka B7634</w:t>
      </w:r>
    </w:p>
    <w:p w14:paraId="384E7D99" w14:textId="0268FE25" w:rsidR="00DD41B7" w:rsidRDefault="00DD41B7" w:rsidP="00DD41B7">
      <w:pPr>
        <w:pStyle w:val="Bezmezer"/>
        <w:tabs>
          <w:tab w:val="left" w:pos="708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Zastoupená/Jednající:</w:t>
      </w:r>
      <w:r>
        <w:rPr>
          <w:rFonts w:asciiTheme="minorHAnsi" w:hAnsiTheme="minorHAnsi" w:cstheme="minorHAnsi"/>
          <w:sz w:val="22"/>
          <w:szCs w:val="22"/>
        </w:rPr>
        <w:tab/>
        <w:t>Ing. Jan Hýzl, prokurista</w:t>
      </w:r>
    </w:p>
    <w:p w14:paraId="36352EB3" w14:textId="10EA9122" w:rsidR="00DD41B7" w:rsidRDefault="00DD41B7" w:rsidP="00DD41B7">
      <w:pPr>
        <w:pStyle w:val="Bezmezer"/>
        <w:tabs>
          <w:tab w:val="left" w:pos="708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Ing. Jiří Svoboda, Ph.D., prokurista</w:t>
      </w:r>
    </w:p>
    <w:p w14:paraId="153F0364" w14:textId="77777777" w:rsidR="00DD41B7" w:rsidRDefault="00DD41B7" w:rsidP="00DD41B7">
      <w:pPr>
        <w:numPr>
          <w:ilvl w:val="12"/>
          <w:numId w:val="0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V technických věcech jedná za zhotovitele: Ing. Viktor Superata</w:t>
      </w:r>
    </w:p>
    <w:p w14:paraId="20E24F46" w14:textId="5E538E9F" w:rsidR="00DD41B7" w:rsidRDefault="00DD41B7" w:rsidP="009077DA">
      <w:pPr>
        <w:numPr>
          <w:ilvl w:val="12"/>
          <w:numId w:val="0"/>
        </w:numPr>
        <w:spacing w:after="120"/>
        <w:ind w:left="1418" w:firstLine="709"/>
        <w:jc w:val="both"/>
        <w:rPr>
          <w:rFonts w:cstheme="minorHAnsi"/>
          <w:iCs/>
        </w:rPr>
      </w:pPr>
      <w:r>
        <w:t>kontakt: 724 158 063; e-mail: viktor.superata@strabag.com</w:t>
      </w:r>
    </w:p>
    <w:p w14:paraId="76A80B20" w14:textId="014DCDF1" w:rsidR="00A70A8F" w:rsidRPr="00A70A8F" w:rsidRDefault="00A70A8F" w:rsidP="00DD41B7">
      <w:pPr>
        <w:numPr>
          <w:ilvl w:val="12"/>
          <w:numId w:val="0"/>
        </w:numPr>
        <w:spacing w:after="0"/>
        <w:ind w:left="357"/>
        <w:jc w:val="both"/>
        <w:rPr>
          <w:rFonts w:cstheme="minorHAnsi"/>
          <w:iCs/>
        </w:rPr>
      </w:pPr>
      <w:r w:rsidRPr="00A70A8F">
        <w:rPr>
          <w:rFonts w:cstheme="minorHAnsi"/>
          <w:iCs/>
        </w:rPr>
        <w:t>(dále jen „zhotovitel“)</w:t>
      </w:r>
      <w:r>
        <w:rPr>
          <w:rFonts w:cstheme="minorHAnsi"/>
          <w:iCs/>
        </w:rPr>
        <w:t xml:space="preserve"> na straně druhé</w:t>
      </w:r>
    </w:p>
    <w:p w14:paraId="06E391E5" w14:textId="77777777" w:rsidR="00EC06AB" w:rsidRPr="00EC06AB" w:rsidRDefault="00EC06AB" w:rsidP="00EC06AB">
      <w:pPr>
        <w:spacing w:before="360" w:after="120"/>
        <w:jc w:val="center"/>
        <w:rPr>
          <w:rFonts w:cstheme="minorHAnsi"/>
          <w:b/>
          <w:bCs/>
        </w:rPr>
      </w:pPr>
      <w:r w:rsidRPr="00EC06AB">
        <w:rPr>
          <w:rFonts w:cstheme="minorHAnsi"/>
          <w:b/>
          <w:bCs/>
        </w:rPr>
        <w:t>I. Preambule</w:t>
      </w:r>
    </w:p>
    <w:p w14:paraId="18FAF5FE" w14:textId="77777777" w:rsidR="006905DC" w:rsidRDefault="00EC06AB" w:rsidP="006905DC">
      <w:pPr>
        <w:numPr>
          <w:ilvl w:val="0"/>
          <w:numId w:val="5"/>
        </w:numPr>
        <w:spacing w:after="120"/>
        <w:jc w:val="both"/>
        <w:rPr>
          <w:rFonts w:cstheme="minorHAnsi"/>
          <w:bCs/>
        </w:rPr>
      </w:pPr>
      <w:r w:rsidRPr="00EC06AB">
        <w:rPr>
          <w:rFonts w:cstheme="minorHAnsi"/>
          <w:bCs/>
        </w:rPr>
        <w:t xml:space="preserve">Smluvní strany se v souladu s odst. </w:t>
      </w:r>
      <w:r w:rsidR="006905DC" w:rsidRPr="006905DC">
        <w:rPr>
          <w:rFonts w:cstheme="minorHAnsi"/>
          <w:bCs/>
        </w:rPr>
        <w:t>3</w:t>
      </w:r>
      <w:r w:rsidRPr="00EC06AB">
        <w:rPr>
          <w:rFonts w:cstheme="minorHAnsi"/>
          <w:bCs/>
        </w:rPr>
        <w:t xml:space="preserve"> čl. XI Smlouvy o dílo dohodly na provedení změn.</w:t>
      </w:r>
    </w:p>
    <w:p w14:paraId="6A2D2DBF" w14:textId="26A4BD32" w:rsidR="00EC06AB" w:rsidRPr="006905DC" w:rsidRDefault="00EC06AB" w:rsidP="006905DC">
      <w:pPr>
        <w:numPr>
          <w:ilvl w:val="0"/>
          <w:numId w:val="5"/>
        </w:numPr>
        <w:spacing w:after="0"/>
        <w:jc w:val="both"/>
        <w:rPr>
          <w:rFonts w:cstheme="minorHAnsi"/>
          <w:bCs/>
        </w:rPr>
      </w:pPr>
      <w:r w:rsidRPr="006905DC">
        <w:rPr>
          <w:rFonts w:cstheme="minorHAnsi"/>
          <w:bCs/>
        </w:rPr>
        <w:t>V průběhu plnění předmětu Smlouvy o dílo byla zjištěna potřeba provedení změn této Smlouvy o dílo specifikovaných v čl. II tohoto Dodatku.</w:t>
      </w:r>
    </w:p>
    <w:p w14:paraId="6F6C0BC9" w14:textId="4A81A067" w:rsidR="009C0917" w:rsidRPr="005F6E5A" w:rsidRDefault="009C0917" w:rsidP="00EC06AB">
      <w:pPr>
        <w:pStyle w:val="Bezmezer"/>
        <w:spacing w:before="360"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F6E5A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="00EC06AB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Pr="005F6E5A">
        <w:rPr>
          <w:rFonts w:asciiTheme="minorHAnsi" w:hAnsiTheme="minorHAnsi" w:cstheme="minorHAnsi"/>
          <w:b/>
          <w:bCs/>
          <w:sz w:val="22"/>
          <w:szCs w:val="22"/>
        </w:rPr>
        <w:t>. Předmět</w:t>
      </w:r>
      <w:r w:rsidR="00DD30B7">
        <w:rPr>
          <w:rFonts w:asciiTheme="minorHAnsi" w:hAnsiTheme="minorHAnsi" w:cstheme="minorHAnsi"/>
          <w:b/>
          <w:bCs/>
          <w:sz w:val="22"/>
          <w:szCs w:val="22"/>
        </w:rPr>
        <w:t xml:space="preserve"> dodatku</w:t>
      </w:r>
    </w:p>
    <w:p w14:paraId="47E82EFD" w14:textId="26A8A5CF" w:rsidR="00A17946" w:rsidRPr="00A17946" w:rsidRDefault="00DD30B7" w:rsidP="004700ED">
      <w:pPr>
        <w:pStyle w:val="Bezmezer"/>
        <w:numPr>
          <w:ilvl w:val="0"/>
          <w:numId w:val="6"/>
        </w:numPr>
        <w:spacing w:after="120"/>
        <w:rPr>
          <w:rFonts w:asciiTheme="minorHAnsi" w:hAnsiTheme="minorHAnsi" w:cstheme="minorHAnsi"/>
          <w:sz w:val="22"/>
          <w:szCs w:val="22"/>
          <w:u w:val="single"/>
        </w:rPr>
      </w:pPr>
      <w:r w:rsidRPr="00FE23F7">
        <w:rPr>
          <w:rFonts w:asciiTheme="minorHAnsi" w:hAnsiTheme="minorHAnsi" w:cstheme="minorHAnsi"/>
          <w:sz w:val="22"/>
          <w:szCs w:val="22"/>
        </w:rPr>
        <w:t xml:space="preserve">Předmětem dodatku </w:t>
      </w:r>
      <w:r w:rsidR="00E01C0D" w:rsidRPr="00FE23F7">
        <w:rPr>
          <w:rFonts w:asciiTheme="minorHAnsi" w:hAnsiTheme="minorHAnsi" w:cstheme="minorHAnsi"/>
          <w:sz w:val="22"/>
          <w:szCs w:val="22"/>
        </w:rPr>
        <w:t>je</w:t>
      </w:r>
      <w:r w:rsidR="009E6450" w:rsidRPr="00FE23F7">
        <w:rPr>
          <w:rFonts w:asciiTheme="minorHAnsi" w:hAnsiTheme="minorHAnsi" w:cstheme="minorHAnsi"/>
          <w:sz w:val="22"/>
          <w:szCs w:val="22"/>
        </w:rPr>
        <w:t xml:space="preserve"> nepodstatná </w:t>
      </w:r>
      <w:r w:rsidR="00E01C0D" w:rsidRPr="00FE23F7">
        <w:rPr>
          <w:rFonts w:asciiTheme="minorHAnsi" w:hAnsiTheme="minorHAnsi" w:cstheme="minorHAnsi"/>
          <w:sz w:val="22"/>
          <w:szCs w:val="22"/>
        </w:rPr>
        <w:t>změna závazku ze smlouvy na veřejnou zakázku „</w:t>
      </w:r>
      <w:r w:rsidR="007C77D5" w:rsidRPr="007C77D5">
        <w:rPr>
          <w:rFonts w:asciiTheme="minorHAnsi" w:hAnsiTheme="minorHAnsi" w:cstheme="minorHAnsi"/>
          <w:b/>
          <w:sz w:val="22"/>
          <w:szCs w:val="22"/>
        </w:rPr>
        <w:t>Cyklostezka Černovír - Štěpánov podél dráhy</w:t>
      </w:r>
      <w:r w:rsidR="00E01C0D" w:rsidRPr="00FE23F7">
        <w:rPr>
          <w:rFonts w:asciiTheme="minorHAnsi" w:hAnsiTheme="minorHAnsi" w:cstheme="minorHAnsi"/>
          <w:b/>
          <w:sz w:val="22"/>
          <w:szCs w:val="22"/>
        </w:rPr>
        <w:t xml:space="preserve">“ </w:t>
      </w:r>
      <w:r w:rsidR="00A17946" w:rsidRPr="00A17946">
        <w:rPr>
          <w:rFonts w:asciiTheme="minorHAnsi" w:hAnsiTheme="minorHAnsi" w:cstheme="minorHAnsi"/>
          <w:bCs/>
          <w:sz w:val="22"/>
          <w:szCs w:val="22"/>
        </w:rPr>
        <w:t>v souladu s ustanovením odst. 6 § 222 zákona č. 134/2016 Sb., o zadávání veřejných zakázek. Jedná se o nepodstatnou změnu závazku, která nemění celkovou povahu veřejné zakázky a jejíž potřeba vznikla v důsledku okolností, které zadavatel jednající s náležitou péčí nemohl předvídat. Celkový cenový nárůst související s těmito změnami</w:t>
      </w:r>
      <w:r w:rsidR="00F00BFA">
        <w:rPr>
          <w:rFonts w:asciiTheme="minorHAnsi" w:hAnsiTheme="minorHAnsi" w:cstheme="minorHAnsi"/>
          <w:bCs/>
          <w:sz w:val="22"/>
          <w:szCs w:val="22"/>
        </w:rPr>
        <w:t xml:space="preserve"> včetně změn z předchozích dodatků</w:t>
      </w:r>
      <w:r w:rsidR="00A17946" w:rsidRPr="00A17946">
        <w:rPr>
          <w:rFonts w:asciiTheme="minorHAnsi" w:hAnsiTheme="minorHAnsi" w:cstheme="minorHAnsi"/>
          <w:bCs/>
          <w:sz w:val="22"/>
          <w:szCs w:val="22"/>
        </w:rPr>
        <w:t xml:space="preserve"> při odečtení stavebních prací, které nebyly s ohledem na změny realizovány, nepřesahuje </w:t>
      </w:r>
      <w:r w:rsidR="00534294">
        <w:rPr>
          <w:rFonts w:asciiTheme="minorHAnsi" w:hAnsiTheme="minorHAnsi" w:cstheme="minorHAnsi"/>
          <w:bCs/>
          <w:sz w:val="22"/>
          <w:szCs w:val="22"/>
        </w:rPr>
        <w:br/>
      </w:r>
      <w:r w:rsidR="00A17946" w:rsidRPr="00A17946">
        <w:rPr>
          <w:rFonts w:asciiTheme="minorHAnsi" w:hAnsiTheme="minorHAnsi" w:cstheme="minorHAnsi"/>
          <w:bCs/>
          <w:sz w:val="22"/>
          <w:szCs w:val="22"/>
        </w:rPr>
        <w:t>30 % původní hodnoty závazku.</w:t>
      </w:r>
      <w:r w:rsidR="00F00BFA" w:rsidRPr="00F00BFA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00F00BFA" w:rsidRPr="00F00BFA">
        <w:rPr>
          <w:rFonts w:asciiTheme="minorHAnsi" w:hAnsiTheme="minorHAnsi" w:cstheme="minorHAnsi"/>
          <w:bCs/>
          <w:sz w:val="22"/>
          <w:szCs w:val="22"/>
        </w:rPr>
        <w:t xml:space="preserve">Předmětem nepodstatné změny je vznik dodatečných stavebních prací a následný vznik vyvolaných méněprací. Rozsah jednotlivých změn je detailně vysvětlen a </w:t>
      </w:r>
      <w:r w:rsidR="00F00BFA" w:rsidRPr="00F00BFA">
        <w:rPr>
          <w:rFonts w:asciiTheme="minorHAnsi" w:hAnsiTheme="minorHAnsi" w:cstheme="minorHAnsi"/>
          <w:bCs/>
          <w:sz w:val="22"/>
          <w:szCs w:val="22"/>
        </w:rPr>
        <w:lastRenderedPageBreak/>
        <w:t>vymezen v přílohách tohoto dodatku.</w:t>
      </w:r>
    </w:p>
    <w:p w14:paraId="12AE5A9B" w14:textId="4574A6AE" w:rsidR="0056750A" w:rsidRDefault="00F00BFA" w:rsidP="004700ED">
      <w:pPr>
        <w:pStyle w:val="Bezmezer"/>
        <w:numPr>
          <w:ilvl w:val="0"/>
          <w:numId w:val="6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9077DA">
        <w:rPr>
          <w:rFonts w:asciiTheme="minorHAnsi" w:hAnsiTheme="minorHAnsi" w:cstheme="minorHAnsi"/>
          <w:sz w:val="22"/>
          <w:szCs w:val="22"/>
        </w:rPr>
        <w:t xml:space="preserve">Předmětem dodatku je nepodstatná změna závazku ze smlouvy na veřejnou zakázku v souladu </w:t>
      </w:r>
      <w:r w:rsidR="00534294">
        <w:rPr>
          <w:rFonts w:asciiTheme="minorHAnsi" w:hAnsiTheme="minorHAnsi" w:cstheme="minorHAnsi"/>
          <w:sz w:val="22"/>
          <w:szCs w:val="22"/>
        </w:rPr>
        <w:br/>
      </w:r>
      <w:r w:rsidRPr="009077DA">
        <w:rPr>
          <w:rFonts w:asciiTheme="minorHAnsi" w:hAnsiTheme="minorHAnsi" w:cstheme="minorHAnsi"/>
          <w:sz w:val="22"/>
          <w:szCs w:val="22"/>
        </w:rPr>
        <w:t xml:space="preserve">s ustanovením odst. 2 § 222 zákona č. 134/2016 Sb., o zadávání veřejných zakázek. Jedná se o nepodstatnou změnu závazku, která byla vyhrazena </w:t>
      </w:r>
      <w:r w:rsidR="009077DA">
        <w:rPr>
          <w:rFonts w:asciiTheme="minorHAnsi" w:hAnsiTheme="minorHAnsi" w:cstheme="minorHAnsi"/>
          <w:sz w:val="22"/>
          <w:szCs w:val="22"/>
        </w:rPr>
        <w:t>ve</w:t>
      </w:r>
      <w:r w:rsidRPr="009077DA">
        <w:rPr>
          <w:rFonts w:asciiTheme="minorHAnsi" w:hAnsiTheme="minorHAnsi" w:cstheme="minorHAnsi"/>
          <w:sz w:val="22"/>
          <w:szCs w:val="22"/>
        </w:rPr>
        <w:t xml:space="preserve"> smlouvě o dílo</w:t>
      </w:r>
      <w:r w:rsidR="009077DA" w:rsidRPr="009077DA">
        <w:rPr>
          <w:rFonts w:asciiTheme="minorHAnsi" w:hAnsiTheme="minorHAnsi" w:cstheme="minorHAnsi"/>
          <w:sz w:val="22"/>
          <w:szCs w:val="22"/>
        </w:rPr>
        <w:t xml:space="preserve"> </w:t>
      </w:r>
      <w:r w:rsidR="009077DA">
        <w:rPr>
          <w:rFonts w:asciiTheme="minorHAnsi" w:hAnsiTheme="minorHAnsi" w:cstheme="minorHAnsi"/>
          <w:sz w:val="22"/>
          <w:szCs w:val="22"/>
        </w:rPr>
        <w:t xml:space="preserve">v </w:t>
      </w:r>
      <w:r w:rsidR="00DB38AA" w:rsidRPr="009077DA">
        <w:rPr>
          <w:rFonts w:asciiTheme="minorHAnsi" w:hAnsiTheme="minorHAnsi" w:cstheme="minorHAnsi"/>
          <w:sz w:val="22"/>
          <w:szCs w:val="22"/>
        </w:rPr>
        <w:t xml:space="preserve">odst. </w:t>
      </w:r>
      <w:r w:rsidR="00DB38AA">
        <w:rPr>
          <w:rFonts w:asciiTheme="minorHAnsi" w:hAnsiTheme="minorHAnsi" w:cstheme="minorHAnsi"/>
          <w:sz w:val="22"/>
          <w:szCs w:val="22"/>
        </w:rPr>
        <w:t xml:space="preserve">5, </w:t>
      </w:r>
      <w:r w:rsidR="00DB38AA" w:rsidRPr="009077DA">
        <w:rPr>
          <w:rFonts w:asciiTheme="minorHAnsi" w:hAnsiTheme="minorHAnsi" w:cstheme="minorHAnsi"/>
          <w:sz w:val="22"/>
          <w:szCs w:val="22"/>
        </w:rPr>
        <w:t>6</w:t>
      </w:r>
      <w:r w:rsidR="00DB38AA">
        <w:rPr>
          <w:rFonts w:asciiTheme="minorHAnsi" w:hAnsiTheme="minorHAnsi" w:cstheme="minorHAnsi"/>
          <w:sz w:val="22"/>
          <w:szCs w:val="22"/>
        </w:rPr>
        <w:t xml:space="preserve"> </w:t>
      </w:r>
      <w:r w:rsidRPr="009077DA">
        <w:rPr>
          <w:rFonts w:asciiTheme="minorHAnsi" w:hAnsiTheme="minorHAnsi" w:cstheme="minorHAnsi"/>
          <w:sz w:val="22"/>
          <w:szCs w:val="22"/>
        </w:rPr>
        <w:t>čl. III.</w:t>
      </w:r>
      <w:r w:rsidR="009077DA">
        <w:rPr>
          <w:rFonts w:asciiTheme="minorHAnsi" w:hAnsiTheme="minorHAnsi" w:cstheme="minorHAnsi"/>
          <w:sz w:val="22"/>
          <w:szCs w:val="22"/>
        </w:rPr>
        <w:t xml:space="preserve">, </w:t>
      </w:r>
      <w:r w:rsidR="0056750A">
        <w:rPr>
          <w:rFonts w:asciiTheme="minorHAnsi" w:hAnsiTheme="minorHAnsi" w:cstheme="minorHAnsi"/>
          <w:sz w:val="22"/>
          <w:szCs w:val="22"/>
        </w:rPr>
        <w:t>a kterou je řešeno prodloužení termínu dokončení díla.</w:t>
      </w:r>
    </w:p>
    <w:p w14:paraId="57AEB01F" w14:textId="272B3B6D" w:rsidR="002B0C80" w:rsidRPr="007E676E" w:rsidRDefault="002B0C80" w:rsidP="00B6674B">
      <w:pPr>
        <w:pStyle w:val="Odstavecseseznamem"/>
        <w:numPr>
          <w:ilvl w:val="1"/>
          <w:numId w:val="6"/>
        </w:numPr>
        <w:spacing w:after="120"/>
        <w:ind w:left="1077" w:hanging="357"/>
        <w:contextualSpacing w:val="0"/>
        <w:jc w:val="both"/>
        <w:rPr>
          <w:rFonts w:eastAsia="Times New Roman" w:cstheme="minorHAnsi"/>
        </w:rPr>
      </w:pPr>
      <w:r w:rsidRPr="007E676E">
        <w:rPr>
          <w:rFonts w:cstheme="minorHAnsi"/>
        </w:rPr>
        <w:t>Součástí předmětu plnění je úprava</w:t>
      </w:r>
      <w:r w:rsidR="0056750A" w:rsidRPr="0056750A">
        <w:t xml:space="preserve"> </w:t>
      </w:r>
      <w:r w:rsidR="0056750A" w:rsidRPr="007E676E">
        <w:rPr>
          <w:rFonts w:cstheme="minorHAnsi"/>
        </w:rPr>
        <w:t>příjezdov</w:t>
      </w:r>
      <w:r w:rsidRPr="007E676E">
        <w:rPr>
          <w:rFonts w:cstheme="minorHAnsi"/>
        </w:rPr>
        <w:t>é</w:t>
      </w:r>
      <w:r w:rsidR="0056750A" w:rsidRPr="007E676E">
        <w:rPr>
          <w:rFonts w:cstheme="minorHAnsi"/>
        </w:rPr>
        <w:t xml:space="preserve"> komunikace pro staveništní techniku</w:t>
      </w:r>
      <w:r w:rsidR="000D0690" w:rsidRPr="007E676E">
        <w:rPr>
          <w:rFonts w:cstheme="minorHAnsi"/>
        </w:rPr>
        <w:t xml:space="preserve"> na ose B v části I. </w:t>
      </w:r>
      <w:r w:rsidRPr="007E676E">
        <w:rPr>
          <w:rFonts w:cstheme="minorHAnsi"/>
        </w:rPr>
        <w:t>E</w:t>
      </w:r>
      <w:r w:rsidR="000D0690" w:rsidRPr="007E676E">
        <w:rPr>
          <w:rFonts w:cstheme="minorHAnsi"/>
        </w:rPr>
        <w:t>tapy</w:t>
      </w:r>
      <w:r w:rsidRPr="007E676E">
        <w:rPr>
          <w:rFonts w:cstheme="minorHAnsi"/>
        </w:rPr>
        <w:t xml:space="preserve">, která je </w:t>
      </w:r>
      <w:r w:rsidR="0056750A" w:rsidRPr="007E676E">
        <w:rPr>
          <w:rFonts w:cstheme="minorHAnsi"/>
        </w:rPr>
        <w:t>navržena v</w:t>
      </w:r>
      <w:r w:rsidRPr="007E676E">
        <w:rPr>
          <w:rFonts w:cstheme="minorHAnsi"/>
        </w:rPr>
        <w:t> </w:t>
      </w:r>
      <w:r w:rsidR="0056750A" w:rsidRPr="007E676E">
        <w:rPr>
          <w:rFonts w:cstheme="minorHAnsi"/>
        </w:rPr>
        <w:t>minimáln</w:t>
      </w:r>
      <w:r w:rsidRPr="007E676E">
        <w:rPr>
          <w:rFonts w:cstheme="minorHAnsi"/>
        </w:rPr>
        <w:t>ím rozsahu</w:t>
      </w:r>
      <w:r w:rsidR="0056750A" w:rsidRPr="007E676E">
        <w:rPr>
          <w:rFonts w:cstheme="minorHAnsi"/>
        </w:rPr>
        <w:t xml:space="preserve">, </w:t>
      </w:r>
      <w:r w:rsidRPr="007E676E">
        <w:rPr>
          <w:rFonts w:cstheme="minorHAnsi"/>
        </w:rPr>
        <w:t xml:space="preserve">a </w:t>
      </w:r>
      <w:r w:rsidR="0056750A" w:rsidRPr="007E676E">
        <w:rPr>
          <w:rFonts w:cstheme="minorHAnsi"/>
        </w:rPr>
        <w:t>která však reálně neodpovídá poškození vzniklému letošními vydatnými dešti a těžkou technikou</w:t>
      </w:r>
      <w:r w:rsidRPr="007E676E">
        <w:rPr>
          <w:rFonts w:cstheme="minorHAnsi"/>
        </w:rPr>
        <w:t>. R</w:t>
      </w:r>
      <w:r w:rsidR="0056750A" w:rsidRPr="007E676E">
        <w:rPr>
          <w:rFonts w:cstheme="minorHAnsi"/>
        </w:rPr>
        <w:t xml:space="preserve">ealizace původní </w:t>
      </w:r>
      <w:r w:rsidRPr="007E676E">
        <w:rPr>
          <w:rFonts w:cstheme="minorHAnsi"/>
        </w:rPr>
        <w:t xml:space="preserve">navržené </w:t>
      </w:r>
      <w:r w:rsidR="0056750A" w:rsidRPr="007E676E">
        <w:rPr>
          <w:rFonts w:cstheme="minorHAnsi"/>
        </w:rPr>
        <w:t xml:space="preserve">úpravy by nezajistila dlouhodobou kvalitu a podmínky pro údržbu. </w:t>
      </w:r>
      <w:r w:rsidR="000D0690" w:rsidRPr="007E676E">
        <w:rPr>
          <w:rFonts w:cstheme="minorHAnsi"/>
        </w:rPr>
        <w:t>Na základě tohoto zjištění b</w:t>
      </w:r>
      <w:r w:rsidR="0056750A" w:rsidRPr="007E676E">
        <w:rPr>
          <w:rFonts w:cstheme="minorHAnsi"/>
        </w:rPr>
        <w:t xml:space="preserve">yla </w:t>
      </w:r>
      <w:r w:rsidR="007E676E">
        <w:rPr>
          <w:rFonts w:cstheme="minorHAnsi"/>
        </w:rPr>
        <w:t xml:space="preserve">na KD č. 17 dne 17. 4. 2024 </w:t>
      </w:r>
      <w:r w:rsidR="0056750A" w:rsidRPr="007E676E">
        <w:rPr>
          <w:rFonts w:cstheme="minorHAnsi"/>
        </w:rPr>
        <w:t>navržena změna technologie</w:t>
      </w:r>
      <w:r w:rsidR="000D0690" w:rsidRPr="007E676E">
        <w:rPr>
          <w:rFonts w:cstheme="minorHAnsi"/>
        </w:rPr>
        <w:t xml:space="preserve"> opravy této účelové komunikace, kdy dojde ke </w:t>
      </w:r>
      <w:r w:rsidR="0056750A" w:rsidRPr="007E676E">
        <w:rPr>
          <w:rFonts w:cstheme="minorHAnsi"/>
        </w:rPr>
        <w:t>sjednocen</w:t>
      </w:r>
      <w:r w:rsidR="000D0690" w:rsidRPr="007E676E">
        <w:rPr>
          <w:rFonts w:cstheme="minorHAnsi"/>
        </w:rPr>
        <w:t>í</w:t>
      </w:r>
      <w:r w:rsidR="0056750A" w:rsidRPr="007E676E">
        <w:rPr>
          <w:rFonts w:cstheme="minorHAnsi"/>
        </w:rPr>
        <w:t xml:space="preserve"> povrch</w:t>
      </w:r>
      <w:r w:rsidR="000D0690" w:rsidRPr="007E676E">
        <w:rPr>
          <w:rFonts w:cstheme="minorHAnsi"/>
        </w:rPr>
        <w:t>u</w:t>
      </w:r>
      <w:r w:rsidR="0056750A" w:rsidRPr="007E676E">
        <w:rPr>
          <w:rFonts w:cstheme="minorHAnsi"/>
        </w:rPr>
        <w:t xml:space="preserve"> přístupové účelové komunikace s povrchem cyklostezky, což přispěje ke komfortu a bezpečnosti pro cyklisty.</w:t>
      </w:r>
      <w:r w:rsidR="000D0690" w:rsidRPr="007E676E">
        <w:rPr>
          <w:rFonts w:cstheme="minorHAnsi"/>
        </w:rPr>
        <w:t xml:space="preserve"> </w:t>
      </w:r>
      <w:r w:rsidR="00ED6297" w:rsidRPr="007E676E">
        <w:rPr>
          <w:rFonts w:cstheme="minorHAnsi"/>
        </w:rPr>
        <w:t>Touto změnou technologie</w:t>
      </w:r>
      <w:r w:rsidR="00ED6297" w:rsidRPr="00ED6297">
        <w:t xml:space="preserve"> </w:t>
      </w:r>
      <w:r w:rsidR="00ED6297" w:rsidRPr="007E676E">
        <w:rPr>
          <w:rFonts w:cstheme="minorHAnsi"/>
        </w:rPr>
        <w:t>došlo ke vzniku dodatečných stavebních prací a následný vznik vyvolaných méněprací, které jsou řešeny v odst. 1 čl. I</w:t>
      </w:r>
      <w:r w:rsidR="008865FF" w:rsidRPr="007E676E">
        <w:rPr>
          <w:rFonts w:cstheme="minorHAnsi"/>
        </w:rPr>
        <w:t>I</w:t>
      </w:r>
      <w:r w:rsidR="00ED6297" w:rsidRPr="007E676E">
        <w:rPr>
          <w:rFonts w:cstheme="minorHAnsi"/>
        </w:rPr>
        <w:t xml:space="preserve"> tohoto dodatku</w:t>
      </w:r>
      <w:r w:rsidR="008865FF" w:rsidRPr="007E676E">
        <w:rPr>
          <w:rFonts w:cstheme="minorHAnsi"/>
        </w:rPr>
        <w:t xml:space="preserve">, </w:t>
      </w:r>
      <w:r w:rsidR="008865FF" w:rsidRPr="007E676E">
        <w:rPr>
          <w:rFonts w:cstheme="minorHAnsi"/>
          <w:i/>
          <w:iCs/>
        </w:rPr>
        <w:t>část 21-ZL3-6-M Oprava účelové komunikace Chomoutov směr Oskava</w:t>
      </w:r>
      <w:r w:rsidR="00ED6297" w:rsidRPr="007E676E">
        <w:rPr>
          <w:rFonts w:cstheme="minorHAnsi"/>
        </w:rPr>
        <w:t xml:space="preserve">. </w:t>
      </w:r>
      <w:r w:rsidR="000D0690" w:rsidRPr="007E676E">
        <w:rPr>
          <w:rFonts w:cstheme="minorHAnsi"/>
        </w:rPr>
        <w:t>Nové</w:t>
      </w:r>
      <w:r w:rsidR="00ED6297" w:rsidRPr="007E676E">
        <w:rPr>
          <w:rFonts w:cstheme="minorHAnsi"/>
        </w:rPr>
        <w:t xml:space="preserve"> </w:t>
      </w:r>
      <w:r w:rsidR="000D0690" w:rsidRPr="007E676E">
        <w:rPr>
          <w:rFonts w:cstheme="minorHAnsi"/>
        </w:rPr>
        <w:t>technologické řešení přístupové účelové komunikace</w:t>
      </w:r>
      <w:r w:rsidR="007E676E" w:rsidRPr="007E676E">
        <w:rPr>
          <w:rFonts w:cstheme="minorHAnsi"/>
        </w:rPr>
        <w:t xml:space="preserve"> podléhá dodatečnému stavebnímu řízení. Projektovou dokumentaci pro řízení o změně stavby před dokončením zpracovala Ing. Linda Smítalová – Atelis, a ta včetně všech potřebných vyjádření a souhlasů </w:t>
      </w:r>
      <w:r w:rsidR="000D0690" w:rsidRPr="007E676E">
        <w:rPr>
          <w:rFonts w:cstheme="minorHAnsi"/>
        </w:rPr>
        <w:t>byla podána jakou součást žádosti na Stavební úřad o vydání změny stavby před jejím dokončením</w:t>
      </w:r>
      <w:r w:rsidR="007E676E">
        <w:rPr>
          <w:rFonts w:cstheme="minorHAnsi"/>
        </w:rPr>
        <w:t xml:space="preserve"> dne 2. 10. 2024</w:t>
      </w:r>
      <w:r w:rsidR="000D0690" w:rsidRPr="007E676E">
        <w:rPr>
          <w:rFonts w:cstheme="minorHAnsi"/>
        </w:rPr>
        <w:t xml:space="preserve">. Nové rozhodnutí bylo vydáno dne </w:t>
      </w:r>
      <w:r w:rsidR="00996E8A">
        <w:rPr>
          <w:rFonts w:cstheme="minorHAnsi"/>
        </w:rPr>
        <w:t xml:space="preserve">9. 11. 2024 </w:t>
      </w:r>
      <w:r w:rsidR="00996E8A" w:rsidRPr="00996E8A">
        <w:rPr>
          <w:rFonts w:cstheme="minorHAnsi"/>
          <w:i/>
          <w:iCs/>
        </w:rPr>
        <w:t>(zatím bez nabytí právní moci)</w:t>
      </w:r>
      <w:r w:rsidR="00996E8A">
        <w:rPr>
          <w:rFonts w:cstheme="minorHAnsi"/>
        </w:rPr>
        <w:t>.</w:t>
      </w:r>
      <w:r w:rsidR="000D0690" w:rsidRPr="007E676E">
        <w:rPr>
          <w:rFonts w:cstheme="minorHAnsi"/>
        </w:rPr>
        <w:t xml:space="preserve"> </w:t>
      </w:r>
      <w:r w:rsidR="00996E8A">
        <w:rPr>
          <w:rFonts w:cstheme="minorHAnsi"/>
        </w:rPr>
        <w:t>Do doby nabytí právní moci nového rozhodnutí nemůže</w:t>
      </w:r>
      <w:r w:rsidRPr="007E676E">
        <w:rPr>
          <w:rFonts w:eastAsia="Times New Roman" w:cstheme="minorHAnsi"/>
        </w:rPr>
        <w:t xml:space="preserve"> zhotovitel předmětnou část stavebních prací realizovat. Z tohoto důvodu se obě smluvní strany dohodly na prodloužení termínu dokončení této části díla. Současně do doby prodloužení je </w:t>
      </w:r>
      <w:r w:rsidR="00ED6297" w:rsidRPr="007E676E">
        <w:rPr>
          <w:rFonts w:eastAsia="Times New Roman" w:cstheme="minorHAnsi"/>
        </w:rPr>
        <w:t>započítána</w:t>
      </w:r>
      <w:r w:rsidRPr="007E676E">
        <w:rPr>
          <w:rFonts w:eastAsia="Times New Roman" w:cstheme="minorHAnsi"/>
        </w:rPr>
        <w:t xml:space="preserve"> i doba zimních měsíců, kdy není možné na základě technologických procesů provádět dané práce. Proto se obě strany dohodly o prodloužení termínu lhůty plnění</w:t>
      </w:r>
      <w:r w:rsidR="00C0556C" w:rsidRPr="007E676E">
        <w:rPr>
          <w:rFonts w:eastAsia="Times New Roman" w:cstheme="minorHAnsi"/>
        </w:rPr>
        <w:t xml:space="preserve">, na základě vzniklé překážky na straně objednatele, </w:t>
      </w:r>
      <w:r w:rsidRPr="007E676E">
        <w:rPr>
          <w:rFonts w:eastAsia="Times New Roman" w:cstheme="minorHAnsi"/>
        </w:rPr>
        <w:t>pro část</w:t>
      </w:r>
      <w:r w:rsidR="0074739B" w:rsidRPr="007E676E">
        <w:rPr>
          <w:rFonts w:eastAsia="Times New Roman" w:cstheme="minorHAnsi"/>
        </w:rPr>
        <w:t xml:space="preserve"> úprava </w:t>
      </w:r>
      <w:r w:rsidRPr="007E676E">
        <w:rPr>
          <w:rFonts w:eastAsia="Times New Roman" w:cstheme="minorHAnsi"/>
        </w:rPr>
        <w:t xml:space="preserve">přístupové účelové komunikace do </w:t>
      </w:r>
      <w:r w:rsidRPr="007E676E">
        <w:rPr>
          <w:rFonts w:eastAsia="Times New Roman" w:cstheme="minorHAnsi"/>
          <w:b/>
          <w:bCs/>
        </w:rPr>
        <w:t>31. 05. 2025</w:t>
      </w:r>
      <w:r w:rsidRPr="007E676E">
        <w:rPr>
          <w:rFonts w:eastAsia="Times New Roman" w:cstheme="minorHAnsi"/>
        </w:rPr>
        <w:t xml:space="preserve">. </w:t>
      </w:r>
    </w:p>
    <w:p w14:paraId="4977C0D6" w14:textId="435C91A9" w:rsidR="0074739B" w:rsidRPr="0074739B" w:rsidRDefault="00721558" w:rsidP="0074739B">
      <w:pPr>
        <w:pStyle w:val="Odstavecseseznamem"/>
        <w:numPr>
          <w:ilvl w:val="1"/>
          <w:numId w:val="6"/>
        </w:numPr>
        <w:spacing w:after="120"/>
        <w:jc w:val="both"/>
        <w:rPr>
          <w:rFonts w:eastAsia="Times New Roman" w:cstheme="minorHAnsi"/>
        </w:rPr>
      </w:pPr>
      <w:r w:rsidRPr="0074739B">
        <w:rPr>
          <w:rFonts w:cstheme="minorHAnsi"/>
        </w:rPr>
        <w:t>Součástí předmětu plnění je revitalizace tůně u Hromova dubu u osy B v části I. etapy.</w:t>
      </w:r>
      <w:r w:rsidR="0074739B" w:rsidRPr="0074739B">
        <w:rPr>
          <w:rFonts w:cstheme="minorHAnsi"/>
        </w:rPr>
        <w:t xml:space="preserve"> Práce této části plnění musel</w:t>
      </w:r>
      <w:r w:rsidR="00534294">
        <w:rPr>
          <w:rFonts w:cstheme="minorHAnsi"/>
        </w:rPr>
        <w:t>y</w:t>
      </w:r>
      <w:r w:rsidR="0074739B" w:rsidRPr="0074739B">
        <w:rPr>
          <w:rFonts w:cstheme="minorHAnsi"/>
        </w:rPr>
        <w:t xml:space="preserve"> být přerušeny z důvodu zásahu vyšší moci, kdy došlo v záři 2024 k masivním záplavám v této oblasti</w:t>
      </w:r>
      <w:r w:rsidR="009A3AD6">
        <w:rPr>
          <w:rFonts w:cstheme="minorHAnsi"/>
        </w:rPr>
        <w:t xml:space="preserve">, a jelikož došlo k podmáčení půdy </w:t>
      </w:r>
      <w:r w:rsidR="0074739B" w:rsidRPr="0074739B">
        <w:rPr>
          <w:rFonts w:cstheme="minorHAnsi"/>
        </w:rPr>
        <w:t xml:space="preserve">nebylo možno v pracích pokračovat. Z těchto objektivních důvodů se </w:t>
      </w:r>
      <w:r w:rsidR="0074739B" w:rsidRPr="0074739B">
        <w:rPr>
          <w:rFonts w:eastAsia="Times New Roman" w:cstheme="minorHAnsi"/>
        </w:rPr>
        <w:t xml:space="preserve">obě strany dohodly </w:t>
      </w:r>
      <w:r w:rsidR="008865FF">
        <w:rPr>
          <w:rFonts w:eastAsia="Times New Roman" w:cstheme="minorHAnsi"/>
        </w:rPr>
        <w:t xml:space="preserve">na </w:t>
      </w:r>
      <w:r w:rsidR="0074739B" w:rsidRPr="0074739B">
        <w:rPr>
          <w:rFonts w:eastAsia="Times New Roman" w:cstheme="minorHAnsi"/>
        </w:rPr>
        <w:t xml:space="preserve">prodloužení termínu lhůty plnění, na základě </w:t>
      </w:r>
      <w:r w:rsidR="0074739B">
        <w:rPr>
          <w:rFonts w:eastAsia="Times New Roman" w:cstheme="minorHAnsi"/>
        </w:rPr>
        <w:t>zásahu vyšší moci</w:t>
      </w:r>
      <w:r w:rsidR="0074739B" w:rsidRPr="0074739B">
        <w:rPr>
          <w:rFonts w:eastAsia="Times New Roman" w:cstheme="minorHAnsi"/>
        </w:rPr>
        <w:t xml:space="preserve">, pro část </w:t>
      </w:r>
      <w:r w:rsidR="0074739B">
        <w:rPr>
          <w:rFonts w:eastAsia="Times New Roman" w:cstheme="minorHAnsi"/>
        </w:rPr>
        <w:t>revitalizace tůně u Hromova dubu</w:t>
      </w:r>
      <w:r w:rsidR="0074739B" w:rsidRPr="0074739B">
        <w:rPr>
          <w:rFonts w:eastAsia="Times New Roman" w:cstheme="minorHAnsi"/>
        </w:rPr>
        <w:t xml:space="preserve"> </w:t>
      </w:r>
      <w:r w:rsidR="0074739B" w:rsidRPr="008865FF">
        <w:rPr>
          <w:rFonts w:eastAsia="Times New Roman" w:cstheme="minorHAnsi"/>
          <w:b/>
          <w:bCs/>
        </w:rPr>
        <w:t>do 31. 08. 2025</w:t>
      </w:r>
      <w:r w:rsidR="0074739B" w:rsidRPr="0074739B">
        <w:rPr>
          <w:rFonts w:eastAsia="Times New Roman" w:cstheme="minorHAnsi"/>
        </w:rPr>
        <w:t xml:space="preserve">. </w:t>
      </w:r>
    </w:p>
    <w:p w14:paraId="15286C7D" w14:textId="5477FB6F" w:rsidR="00721558" w:rsidRPr="00721558" w:rsidRDefault="0074739B" w:rsidP="00D82E55">
      <w:pPr>
        <w:pStyle w:val="Bezmezer"/>
        <w:numPr>
          <w:ilvl w:val="1"/>
          <w:numId w:val="6"/>
        </w:numPr>
        <w:spacing w:after="120"/>
        <w:ind w:left="1077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Všechny ostatní práce v souladu s předmětem plnění, vyjma prací definovaných v</w:t>
      </w:r>
      <w:r w:rsidR="004700ED">
        <w:rPr>
          <w:rFonts w:asciiTheme="minorHAnsi" w:hAnsiTheme="minorHAnsi" w:cstheme="minorHAnsi"/>
          <w:sz w:val="22"/>
          <w:szCs w:val="22"/>
        </w:rPr>
        <w:t> písm. a,</w:t>
      </w:r>
      <w:r w:rsidR="00DB38AA">
        <w:rPr>
          <w:rFonts w:asciiTheme="minorHAnsi" w:hAnsiTheme="minorHAnsi" w:cstheme="minorHAnsi"/>
          <w:sz w:val="22"/>
          <w:szCs w:val="22"/>
        </w:rPr>
        <w:t xml:space="preserve"> b</w:t>
      </w:r>
      <w:r w:rsidR="004700E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odst. 2 čl. II</w:t>
      </w:r>
      <w:r w:rsidR="004700E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tohoto dodatku budou dokončeny v původním termínu dle Smlouvy o dílo</w:t>
      </w:r>
      <w:r w:rsidR="004700ED">
        <w:rPr>
          <w:rFonts w:asciiTheme="minorHAnsi" w:hAnsiTheme="minorHAnsi" w:cstheme="minorHAnsi"/>
          <w:sz w:val="22"/>
          <w:szCs w:val="22"/>
        </w:rPr>
        <w:t>, tj. do 15 kalendářních měsíců od zahájení stavebních prací.</w:t>
      </w:r>
    </w:p>
    <w:p w14:paraId="4BF400A7" w14:textId="3FBC6108" w:rsidR="0056750A" w:rsidRDefault="0056750A" w:rsidP="00D82E55">
      <w:pPr>
        <w:pStyle w:val="Bezmezer"/>
        <w:numPr>
          <w:ilvl w:val="0"/>
          <w:numId w:val="6"/>
        </w:numPr>
        <w:spacing w:after="120"/>
        <w:ind w:left="357" w:hanging="357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Na základě skutečnosti uvedených v odst. 2 čl. II tohoto dodatku dochází k nahrazení </w:t>
      </w:r>
      <w:r w:rsidR="004700ED">
        <w:rPr>
          <w:rFonts w:asciiTheme="minorHAnsi" w:hAnsiTheme="minorHAnsi" w:cstheme="minorHAnsi"/>
          <w:sz w:val="22"/>
          <w:szCs w:val="22"/>
        </w:rPr>
        <w:t xml:space="preserve">textu </w:t>
      </w:r>
      <w:r>
        <w:rPr>
          <w:rFonts w:asciiTheme="minorHAnsi" w:hAnsiTheme="minorHAnsi" w:cstheme="minorHAnsi"/>
          <w:sz w:val="22"/>
          <w:szCs w:val="22"/>
        </w:rPr>
        <w:t xml:space="preserve">odst. 3 čl. III </w:t>
      </w:r>
      <w:r w:rsidR="008865FF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>mlouvy o dílo takto:</w:t>
      </w:r>
    </w:p>
    <w:p w14:paraId="20BB6A03" w14:textId="75A56217" w:rsidR="004700ED" w:rsidRDefault="004700ED" w:rsidP="0039665A">
      <w:pPr>
        <w:pStyle w:val="Bezmezer"/>
        <w:spacing w:after="120"/>
        <w:ind w:left="360"/>
        <w:rPr>
          <w:rFonts w:asciiTheme="minorHAnsi" w:hAnsiTheme="minorHAnsi" w:cstheme="minorHAnsi"/>
          <w:sz w:val="22"/>
          <w:szCs w:val="22"/>
        </w:rPr>
      </w:pPr>
      <w:r w:rsidRPr="004700ED">
        <w:rPr>
          <w:rFonts w:asciiTheme="minorHAnsi" w:hAnsiTheme="minorHAnsi" w:cstheme="minorHAnsi"/>
          <w:sz w:val="22"/>
          <w:szCs w:val="22"/>
        </w:rPr>
        <w:t xml:space="preserve">Lhůtu pro dokončení všech stavebních prací spojených s realizací veřejné zakázky stanovil objednatel </w:t>
      </w:r>
      <w:r>
        <w:rPr>
          <w:rFonts w:asciiTheme="minorHAnsi" w:hAnsiTheme="minorHAnsi" w:cstheme="minorHAnsi"/>
          <w:sz w:val="22"/>
          <w:szCs w:val="22"/>
        </w:rPr>
        <w:t>pro jednotlivé části plnění takto:</w:t>
      </w:r>
    </w:p>
    <w:p w14:paraId="76A062AD" w14:textId="55FD0639" w:rsidR="004700ED" w:rsidRDefault="004700ED" w:rsidP="0039665A">
      <w:pPr>
        <w:pStyle w:val="Bezmezer"/>
        <w:numPr>
          <w:ilvl w:val="0"/>
          <w:numId w:val="8"/>
        </w:numPr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Práce v části I. etapy, osa B, část plnění úprava přístupové účelové komunikace </w:t>
      </w:r>
      <w:r w:rsidRPr="004700ED">
        <w:rPr>
          <w:rFonts w:asciiTheme="minorHAnsi" w:hAnsiTheme="minorHAnsi" w:cstheme="minorHAnsi"/>
          <w:b/>
          <w:bCs/>
          <w:sz w:val="22"/>
          <w:szCs w:val="22"/>
        </w:rPr>
        <w:t>do 31. 5. 2025</w:t>
      </w:r>
    </w:p>
    <w:p w14:paraId="16DD5DB8" w14:textId="77777777" w:rsidR="004700ED" w:rsidRDefault="004700ED" w:rsidP="0039665A">
      <w:pPr>
        <w:pStyle w:val="Bezmezer"/>
        <w:numPr>
          <w:ilvl w:val="0"/>
          <w:numId w:val="8"/>
        </w:numPr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Práce v části I. etapa, osa B, část revitalizace tůně u Hromova dubu </w:t>
      </w:r>
      <w:r w:rsidRPr="008865FF">
        <w:rPr>
          <w:rFonts w:asciiTheme="minorHAnsi" w:hAnsiTheme="minorHAnsi" w:cstheme="minorHAnsi"/>
          <w:b/>
          <w:bCs/>
          <w:sz w:val="22"/>
          <w:szCs w:val="22"/>
        </w:rPr>
        <w:t>do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700ED">
        <w:rPr>
          <w:rFonts w:asciiTheme="minorHAnsi" w:hAnsiTheme="minorHAnsi" w:cstheme="minorHAnsi"/>
          <w:b/>
          <w:bCs/>
          <w:sz w:val="22"/>
          <w:szCs w:val="22"/>
        </w:rPr>
        <w:t>31. 8. 2025</w:t>
      </w:r>
    </w:p>
    <w:p w14:paraId="51D5187E" w14:textId="1FED8EE4" w:rsidR="004700ED" w:rsidRDefault="004700ED" w:rsidP="00DB38AA">
      <w:pPr>
        <w:pStyle w:val="Bezmezer"/>
        <w:numPr>
          <w:ilvl w:val="0"/>
          <w:numId w:val="8"/>
        </w:numPr>
        <w:spacing w:after="360"/>
        <w:rPr>
          <w:rFonts w:asciiTheme="minorHAnsi" w:hAnsiTheme="minorHAnsi" w:cstheme="minorHAnsi"/>
          <w:sz w:val="22"/>
          <w:szCs w:val="22"/>
        </w:rPr>
      </w:pPr>
      <w:r w:rsidRPr="004700ED">
        <w:rPr>
          <w:rFonts w:asciiTheme="minorHAnsi" w:hAnsiTheme="minorHAnsi" w:cstheme="minorHAnsi"/>
          <w:sz w:val="22"/>
          <w:szCs w:val="22"/>
        </w:rPr>
        <w:t>Práce v části I. etapa, vyjma prací na ose B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4700ED">
        <w:rPr>
          <w:rFonts w:asciiTheme="minorHAnsi" w:hAnsiTheme="minorHAnsi" w:cstheme="minorHAnsi"/>
          <w:sz w:val="22"/>
          <w:szCs w:val="22"/>
        </w:rPr>
        <w:t>úprava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700ED">
        <w:rPr>
          <w:rFonts w:asciiTheme="minorHAnsi" w:hAnsiTheme="minorHAnsi" w:cstheme="minorHAnsi"/>
          <w:sz w:val="22"/>
          <w:szCs w:val="22"/>
        </w:rPr>
        <w:t xml:space="preserve">přístupové účelové komunikace a revitalizace tůně u Hromova dubu, </w:t>
      </w:r>
      <w:r w:rsidRPr="004700ED">
        <w:rPr>
          <w:rFonts w:asciiTheme="minorHAnsi" w:hAnsiTheme="minorHAnsi" w:cstheme="minorHAnsi"/>
          <w:b/>
          <w:bCs/>
          <w:sz w:val="22"/>
          <w:szCs w:val="22"/>
        </w:rPr>
        <w:t>do 15 kalendářních měsíců</w:t>
      </w:r>
      <w:r w:rsidRPr="004700E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od dne</w:t>
      </w:r>
      <w:r w:rsidRPr="004700ED">
        <w:rPr>
          <w:rFonts w:asciiTheme="minorHAnsi" w:hAnsiTheme="minorHAnsi" w:cstheme="minorHAnsi"/>
          <w:sz w:val="22"/>
          <w:szCs w:val="22"/>
        </w:rPr>
        <w:t xml:space="preserve"> zahájení stavebních prací odst. 2 čl. III</w:t>
      </w:r>
      <w:r>
        <w:rPr>
          <w:rFonts w:asciiTheme="minorHAnsi" w:hAnsiTheme="minorHAnsi" w:cstheme="minorHAnsi"/>
          <w:sz w:val="22"/>
          <w:szCs w:val="22"/>
        </w:rPr>
        <w:t xml:space="preserve"> Smlouvy</w:t>
      </w:r>
      <w:r w:rsidRPr="004700ED">
        <w:rPr>
          <w:rFonts w:asciiTheme="minorHAnsi" w:hAnsiTheme="minorHAnsi" w:cstheme="minorHAnsi"/>
          <w:sz w:val="22"/>
          <w:szCs w:val="22"/>
        </w:rPr>
        <w:t>.</w:t>
      </w:r>
    </w:p>
    <w:p w14:paraId="74D5358A" w14:textId="48D5372C" w:rsidR="004700ED" w:rsidRDefault="004700ED" w:rsidP="004700ED">
      <w:pPr>
        <w:pStyle w:val="Bezmezer"/>
        <w:numPr>
          <w:ilvl w:val="0"/>
          <w:numId w:val="8"/>
        </w:numPr>
        <w:spacing w:after="80"/>
        <w:rPr>
          <w:rFonts w:asciiTheme="minorHAnsi" w:hAnsiTheme="minorHAnsi" w:cstheme="minorHAnsi"/>
          <w:sz w:val="22"/>
          <w:szCs w:val="22"/>
        </w:rPr>
      </w:pPr>
      <w:r w:rsidRPr="004700ED">
        <w:rPr>
          <w:rFonts w:asciiTheme="minorHAnsi" w:hAnsiTheme="minorHAnsi" w:cstheme="minorHAnsi"/>
          <w:sz w:val="22"/>
          <w:szCs w:val="22"/>
        </w:rPr>
        <w:lastRenderedPageBreak/>
        <w:t>Práce v části I</w:t>
      </w:r>
      <w:r>
        <w:rPr>
          <w:rFonts w:asciiTheme="minorHAnsi" w:hAnsiTheme="minorHAnsi" w:cstheme="minorHAnsi"/>
          <w:sz w:val="22"/>
          <w:szCs w:val="22"/>
        </w:rPr>
        <w:t>I</w:t>
      </w:r>
      <w:r w:rsidRPr="004700ED">
        <w:rPr>
          <w:rFonts w:asciiTheme="minorHAnsi" w:hAnsiTheme="minorHAnsi" w:cstheme="minorHAnsi"/>
          <w:sz w:val="22"/>
          <w:szCs w:val="22"/>
        </w:rPr>
        <w:t>. etapa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700ED">
        <w:rPr>
          <w:rFonts w:asciiTheme="minorHAnsi" w:hAnsiTheme="minorHAnsi" w:cstheme="minorHAnsi"/>
          <w:b/>
          <w:bCs/>
          <w:sz w:val="22"/>
          <w:szCs w:val="22"/>
        </w:rPr>
        <w:t>do 15 kalendářních měsíců</w:t>
      </w:r>
      <w:r w:rsidRPr="004700E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od dne</w:t>
      </w:r>
      <w:r w:rsidRPr="004700ED">
        <w:rPr>
          <w:rFonts w:asciiTheme="minorHAnsi" w:hAnsiTheme="minorHAnsi" w:cstheme="minorHAnsi"/>
          <w:sz w:val="22"/>
          <w:szCs w:val="22"/>
        </w:rPr>
        <w:t xml:space="preserve"> zahájení stavebních prací odst. 2 čl. III</w:t>
      </w:r>
      <w:r>
        <w:rPr>
          <w:rFonts w:asciiTheme="minorHAnsi" w:hAnsiTheme="minorHAnsi" w:cstheme="minorHAnsi"/>
          <w:sz w:val="22"/>
          <w:szCs w:val="22"/>
        </w:rPr>
        <w:t xml:space="preserve"> Smlouvy</w:t>
      </w:r>
      <w:r w:rsidRPr="004700ED">
        <w:rPr>
          <w:rFonts w:asciiTheme="minorHAnsi" w:hAnsiTheme="minorHAnsi" w:cstheme="minorHAnsi"/>
          <w:sz w:val="22"/>
          <w:szCs w:val="22"/>
        </w:rPr>
        <w:t>.</w:t>
      </w:r>
    </w:p>
    <w:p w14:paraId="50CC089E" w14:textId="69F55DEB" w:rsidR="00821866" w:rsidRDefault="00821866" w:rsidP="0039665A">
      <w:pPr>
        <w:tabs>
          <w:tab w:val="left" w:pos="4536"/>
        </w:tabs>
        <w:spacing w:before="360" w:after="12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I</w:t>
      </w:r>
      <w:r w:rsidR="0056750A">
        <w:rPr>
          <w:rFonts w:ascii="Calibri" w:hAnsi="Calibri" w:cs="Calibri"/>
          <w:b/>
        </w:rPr>
        <w:t>I</w:t>
      </w:r>
      <w:r>
        <w:rPr>
          <w:rFonts w:ascii="Calibri" w:hAnsi="Calibri" w:cs="Calibri"/>
          <w:b/>
        </w:rPr>
        <w:t>I. Cena díla dodatku</w:t>
      </w:r>
    </w:p>
    <w:p w14:paraId="6BFF97A0" w14:textId="29B4A3C1" w:rsidR="00821866" w:rsidRPr="00821866" w:rsidRDefault="00821866" w:rsidP="00EE7CD4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</w:rPr>
      </w:pPr>
      <w:r w:rsidRPr="00821866">
        <w:rPr>
          <w:rFonts w:ascii="Calibri" w:hAnsi="Calibri" w:cs="Calibri"/>
        </w:rPr>
        <w:t>Zhotovitel a objednatel se dohodli na ceně dodatečných stavebních prací/díla a méněprací, která zahrnuje rovněž náklady zhotovitele na realizaci plnění, které je předmětem tohoto dodatku v následujícím rozsahu:</w:t>
      </w:r>
    </w:p>
    <w:tbl>
      <w:tblPr>
        <w:tblW w:w="8944" w:type="dxa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0"/>
        <w:gridCol w:w="1714"/>
      </w:tblGrid>
      <w:tr w:rsidR="005A4402" w:rsidRPr="00AC110C" w14:paraId="1E50C3C5" w14:textId="77777777" w:rsidTr="00CB03B9">
        <w:trPr>
          <w:trHeight w:val="160"/>
          <w:jc w:val="center"/>
        </w:trPr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85BA38" w14:textId="5041B700" w:rsidR="005A4402" w:rsidRPr="005A4402" w:rsidRDefault="005A4402" w:rsidP="005E6F3E">
            <w:pPr>
              <w:overflowPunct w:val="0"/>
              <w:autoSpaceDE w:val="0"/>
              <w:autoSpaceDN w:val="0"/>
              <w:adjustRightInd w:val="0"/>
              <w:spacing w:after="0"/>
              <w:rPr>
                <w:b/>
                <w:bCs/>
              </w:rPr>
            </w:pPr>
            <w:r w:rsidRPr="005A4402">
              <w:rPr>
                <w:b/>
                <w:bCs/>
              </w:rPr>
              <w:t>I. etapa</w:t>
            </w: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B45C2D8" w14:textId="77777777" w:rsidR="005A4402" w:rsidRDefault="005A4402" w:rsidP="005E6F3E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</w:rPr>
            </w:pPr>
          </w:p>
        </w:tc>
      </w:tr>
      <w:tr w:rsidR="005E6F3E" w:rsidRPr="00AC110C" w14:paraId="03FAB385" w14:textId="77777777" w:rsidTr="007C77D5">
        <w:trPr>
          <w:trHeight w:val="160"/>
          <w:jc w:val="center"/>
        </w:trPr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30680" w14:textId="7A694E18" w:rsidR="005E6F3E" w:rsidRPr="00AC110C" w:rsidRDefault="005E6F3E" w:rsidP="005E6F3E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t xml:space="preserve">SO 101.1 - </w:t>
            </w:r>
            <w:r w:rsidRPr="00B36B29">
              <w:t xml:space="preserve">111-ZL3-5-M Změna povrchu v přechodových oblastech SO 201 </w:t>
            </w:r>
            <w:r>
              <w:t>–</w:t>
            </w:r>
            <w:r w:rsidRPr="00B36B29">
              <w:t xml:space="preserve"> méněpráce</w:t>
            </w: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80D5ECE" w14:textId="419F7B53" w:rsidR="005E6F3E" w:rsidRPr="00AC110C" w:rsidRDefault="005E6F3E" w:rsidP="005E6F3E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</w:t>
            </w:r>
            <w:r w:rsidRPr="005E6F3E">
              <w:rPr>
                <w:rFonts w:ascii="Calibri" w:hAnsi="Calibri" w:cs="Calibri"/>
              </w:rPr>
              <w:t>12 314,84</w:t>
            </w:r>
          </w:p>
        </w:tc>
      </w:tr>
      <w:tr w:rsidR="005E6F3E" w:rsidRPr="00AC110C" w14:paraId="20ED4830" w14:textId="77777777" w:rsidTr="007C77D5">
        <w:trPr>
          <w:trHeight w:val="160"/>
          <w:jc w:val="center"/>
        </w:trPr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5AF03" w14:textId="01DC4E9D" w:rsidR="005E6F3E" w:rsidRPr="00AC110C" w:rsidRDefault="005E6F3E" w:rsidP="005E6F3E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t xml:space="preserve">SO 101.1 - </w:t>
            </w:r>
            <w:r w:rsidRPr="00B36B29">
              <w:t xml:space="preserve">111-ZL3-5-V Změna povrchu v přechodových oblastech SO 201 </w:t>
            </w:r>
            <w:r w:rsidR="00DB38AA">
              <w:t>–</w:t>
            </w:r>
            <w:r w:rsidRPr="00B36B29">
              <w:t xml:space="preserve"> vícepráce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D7DAB0" w14:textId="10A0206D" w:rsidR="005E6F3E" w:rsidRPr="00AC110C" w:rsidRDefault="005E6F3E" w:rsidP="005E6F3E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</w:rPr>
            </w:pPr>
            <w:r w:rsidRPr="005E6F3E">
              <w:rPr>
                <w:rFonts w:ascii="Calibri" w:hAnsi="Calibri" w:cs="Calibri"/>
              </w:rPr>
              <w:t>14 725,97</w:t>
            </w:r>
          </w:p>
        </w:tc>
      </w:tr>
      <w:tr w:rsidR="005A4402" w:rsidRPr="00AC110C" w14:paraId="316BF890" w14:textId="77777777" w:rsidTr="007C77D5">
        <w:trPr>
          <w:trHeight w:val="160"/>
          <w:jc w:val="center"/>
        </w:trPr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19421" w14:textId="2B261146" w:rsidR="005A4402" w:rsidRDefault="0039341C" w:rsidP="005E6F3E">
            <w:pPr>
              <w:overflowPunct w:val="0"/>
              <w:autoSpaceDE w:val="0"/>
              <w:autoSpaceDN w:val="0"/>
              <w:adjustRightInd w:val="0"/>
              <w:spacing w:after="0"/>
            </w:pPr>
            <w:r>
              <w:t xml:space="preserve">SO 101.1 - </w:t>
            </w:r>
            <w:r w:rsidR="005A4402" w:rsidRPr="005A4402">
              <w:t>111-ZL3-7-M - Náhrada za strojní třídění - méněpráce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CC8736" w14:textId="12D4A53C" w:rsidR="005A4402" w:rsidRPr="005E6F3E" w:rsidRDefault="005A4402" w:rsidP="005E6F3E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</w:t>
            </w:r>
            <w:r w:rsidRPr="005A4402">
              <w:rPr>
                <w:rFonts w:ascii="Calibri" w:hAnsi="Calibri" w:cs="Calibri"/>
              </w:rPr>
              <w:t>288 283,78</w:t>
            </w:r>
          </w:p>
        </w:tc>
      </w:tr>
      <w:tr w:rsidR="005A4402" w:rsidRPr="00AC110C" w14:paraId="349DB161" w14:textId="77777777" w:rsidTr="007C77D5">
        <w:trPr>
          <w:trHeight w:val="160"/>
          <w:jc w:val="center"/>
        </w:trPr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59486" w14:textId="6E717608" w:rsidR="005A4402" w:rsidRDefault="0039341C" w:rsidP="005E6F3E">
            <w:pPr>
              <w:overflowPunct w:val="0"/>
              <w:autoSpaceDE w:val="0"/>
              <w:autoSpaceDN w:val="0"/>
              <w:adjustRightInd w:val="0"/>
              <w:spacing w:after="0"/>
            </w:pPr>
            <w:r>
              <w:t xml:space="preserve">SO 101.1 - </w:t>
            </w:r>
            <w:r w:rsidRPr="0039341C">
              <w:t>111-ZL3-7-V - Náhrada za strojní třídění - vícepráce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DF8928" w14:textId="73C4B58A" w:rsidR="005A4402" w:rsidRPr="005E6F3E" w:rsidRDefault="0039341C" w:rsidP="005E6F3E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</w:rPr>
            </w:pPr>
            <w:r w:rsidRPr="0039341C">
              <w:rPr>
                <w:rFonts w:ascii="Calibri" w:hAnsi="Calibri" w:cs="Calibri"/>
              </w:rPr>
              <w:t>282 376,18</w:t>
            </w:r>
          </w:p>
        </w:tc>
      </w:tr>
      <w:tr w:rsidR="005A4402" w:rsidRPr="00AC110C" w14:paraId="037B0231" w14:textId="77777777" w:rsidTr="007C77D5">
        <w:trPr>
          <w:trHeight w:val="160"/>
          <w:jc w:val="center"/>
        </w:trPr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34758" w14:textId="11C9F550" w:rsidR="005A4402" w:rsidRDefault="0039341C" w:rsidP="005E6F3E">
            <w:pPr>
              <w:overflowPunct w:val="0"/>
              <w:autoSpaceDE w:val="0"/>
              <w:autoSpaceDN w:val="0"/>
              <w:adjustRightInd w:val="0"/>
              <w:spacing w:after="0"/>
            </w:pPr>
            <w:r>
              <w:t xml:space="preserve">SO 101.1 - </w:t>
            </w:r>
            <w:r w:rsidRPr="0039341C">
              <w:t>111-ZL3-9-M - Náhrada za skládkovné - méněpráce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484BE07" w14:textId="77EDB0E2" w:rsidR="005A4402" w:rsidRPr="005E6F3E" w:rsidRDefault="0039341C" w:rsidP="005E6F3E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</w:t>
            </w:r>
            <w:r w:rsidRPr="0039341C">
              <w:rPr>
                <w:rFonts w:ascii="Calibri" w:hAnsi="Calibri" w:cs="Calibri"/>
              </w:rPr>
              <w:t>35 695,49</w:t>
            </w:r>
          </w:p>
        </w:tc>
      </w:tr>
      <w:tr w:rsidR="0039341C" w:rsidRPr="00AC110C" w14:paraId="4246A49E" w14:textId="77777777" w:rsidTr="007C77D5">
        <w:trPr>
          <w:trHeight w:val="160"/>
          <w:jc w:val="center"/>
        </w:trPr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F9933" w14:textId="3E84A35C" w:rsidR="0039341C" w:rsidRDefault="00CB582E" w:rsidP="005E6F3E">
            <w:pPr>
              <w:overflowPunct w:val="0"/>
              <w:autoSpaceDE w:val="0"/>
              <w:autoSpaceDN w:val="0"/>
              <w:adjustRightInd w:val="0"/>
              <w:spacing w:after="0"/>
            </w:pPr>
            <w:r>
              <w:t xml:space="preserve">SO 101.2 - </w:t>
            </w:r>
            <w:r w:rsidRPr="00CB582E">
              <w:t>113-ZL3-8-M - Náhrada za strojní třídění - méněpráce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055450B" w14:textId="5A041109" w:rsidR="0039341C" w:rsidRDefault="00F35B2B" w:rsidP="005E6F3E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</w:t>
            </w:r>
            <w:r w:rsidRPr="00F35B2B">
              <w:rPr>
                <w:rFonts w:ascii="Calibri" w:hAnsi="Calibri" w:cs="Calibri"/>
              </w:rPr>
              <w:t>57 141,93</w:t>
            </w:r>
          </w:p>
        </w:tc>
      </w:tr>
      <w:tr w:rsidR="0039341C" w:rsidRPr="00AC110C" w14:paraId="513E681F" w14:textId="77777777" w:rsidTr="007C77D5">
        <w:trPr>
          <w:trHeight w:val="160"/>
          <w:jc w:val="center"/>
        </w:trPr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45838" w14:textId="7235DD98" w:rsidR="0039341C" w:rsidRDefault="00E84E22" w:rsidP="005E6F3E">
            <w:pPr>
              <w:overflowPunct w:val="0"/>
              <w:autoSpaceDE w:val="0"/>
              <w:autoSpaceDN w:val="0"/>
              <w:adjustRightInd w:val="0"/>
              <w:spacing w:after="0"/>
            </w:pPr>
            <w:r>
              <w:t xml:space="preserve">SO 101.2 - </w:t>
            </w:r>
            <w:r w:rsidRPr="00E84E22">
              <w:t>113-ZL3-8-V - Náhrada za strojní třídění - vícepráce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CF940FA" w14:textId="6BC66DCA" w:rsidR="0039341C" w:rsidRDefault="00E84E22" w:rsidP="005E6F3E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</w:rPr>
            </w:pPr>
            <w:r w:rsidRPr="00E84E22">
              <w:rPr>
                <w:rFonts w:ascii="Calibri" w:hAnsi="Calibri" w:cs="Calibri"/>
              </w:rPr>
              <w:t>55 970,96</w:t>
            </w:r>
          </w:p>
        </w:tc>
      </w:tr>
      <w:tr w:rsidR="0039341C" w:rsidRPr="00AC110C" w14:paraId="375B8823" w14:textId="77777777" w:rsidTr="007C77D5">
        <w:trPr>
          <w:trHeight w:val="160"/>
          <w:jc w:val="center"/>
        </w:trPr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61C59" w14:textId="46BEB2FC" w:rsidR="0039341C" w:rsidRDefault="00FF680E" w:rsidP="005E6F3E">
            <w:pPr>
              <w:overflowPunct w:val="0"/>
              <w:autoSpaceDE w:val="0"/>
              <w:autoSpaceDN w:val="0"/>
              <w:adjustRightInd w:val="0"/>
              <w:spacing w:after="0"/>
            </w:pPr>
            <w:r>
              <w:t xml:space="preserve">SO 101.2 - </w:t>
            </w:r>
            <w:r w:rsidRPr="00FF680E">
              <w:t>113-ZL3-10-M - Náhrada za skládkovné - méněpráce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6AA8920" w14:textId="07772813" w:rsidR="0039341C" w:rsidRDefault="00FF680E" w:rsidP="005E6F3E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</w:t>
            </w:r>
            <w:r w:rsidRPr="00FF680E">
              <w:rPr>
                <w:rFonts w:ascii="Calibri" w:hAnsi="Calibri" w:cs="Calibri"/>
              </w:rPr>
              <w:t>122 832,40</w:t>
            </w:r>
          </w:p>
        </w:tc>
      </w:tr>
      <w:tr w:rsidR="005E6F3E" w:rsidRPr="00AC110C" w14:paraId="6DC4DCCD" w14:textId="77777777" w:rsidTr="007C77D5">
        <w:trPr>
          <w:trHeight w:val="160"/>
          <w:jc w:val="center"/>
        </w:trPr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85EF3" w14:textId="2504A84F" w:rsidR="005E6F3E" w:rsidRDefault="005E6F3E" w:rsidP="005E6F3E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t xml:space="preserve">SO 101.4 - </w:t>
            </w:r>
            <w:r w:rsidRPr="00842F25">
              <w:t xml:space="preserve">114-ZL3-3-M Osa B - nahrazení části úseku z AHV novou zámkovou dlažbou </w:t>
            </w:r>
            <w:r w:rsidR="00DB38AA">
              <w:t>–</w:t>
            </w:r>
            <w:r w:rsidRPr="00842F25">
              <w:t xml:space="preserve"> méněpráce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41F3F1B" w14:textId="283E774C" w:rsidR="005E6F3E" w:rsidRDefault="005E6F3E" w:rsidP="005E6F3E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</w:t>
            </w:r>
            <w:r w:rsidRPr="005E6F3E">
              <w:rPr>
                <w:rFonts w:ascii="Calibri" w:hAnsi="Calibri" w:cs="Calibri"/>
              </w:rPr>
              <w:t>18 713,31</w:t>
            </w:r>
          </w:p>
        </w:tc>
      </w:tr>
      <w:tr w:rsidR="005E6F3E" w:rsidRPr="00AC110C" w14:paraId="097CEDB8" w14:textId="77777777" w:rsidTr="007C77D5">
        <w:trPr>
          <w:trHeight w:val="160"/>
          <w:jc w:val="center"/>
        </w:trPr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6DCE6" w14:textId="74A1A68B" w:rsidR="005E6F3E" w:rsidRDefault="005E6F3E" w:rsidP="005E6F3E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t xml:space="preserve">SO 101.4 - </w:t>
            </w:r>
            <w:r w:rsidRPr="00842F25">
              <w:t xml:space="preserve">114-ZL3-3-V Osa B - nahrazení části úseku z AHV novou zámkovou dlažbou </w:t>
            </w:r>
            <w:r w:rsidR="00DB38AA">
              <w:t>–</w:t>
            </w:r>
            <w:r w:rsidRPr="00842F25">
              <w:t xml:space="preserve"> vícepráce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3554676" w14:textId="61ECD22F" w:rsidR="005E6F3E" w:rsidRDefault="005E6F3E" w:rsidP="005E6F3E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</w:rPr>
            </w:pPr>
            <w:r w:rsidRPr="005E6F3E">
              <w:rPr>
                <w:rFonts w:ascii="Calibri" w:hAnsi="Calibri" w:cs="Calibri"/>
              </w:rPr>
              <w:t>21 418,76</w:t>
            </w:r>
          </w:p>
        </w:tc>
      </w:tr>
      <w:tr w:rsidR="00CB03B9" w:rsidRPr="00AC110C" w14:paraId="3442EEDA" w14:textId="77777777" w:rsidTr="007C77D5">
        <w:trPr>
          <w:trHeight w:val="160"/>
          <w:jc w:val="center"/>
        </w:trPr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0AAE4" w14:textId="5E55DFA8" w:rsidR="00CB03B9" w:rsidRDefault="00CB03B9" w:rsidP="005E6F3E">
            <w:pPr>
              <w:overflowPunct w:val="0"/>
              <w:autoSpaceDE w:val="0"/>
              <w:autoSpaceDN w:val="0"/>
              <w:adjustRightInd w:val="0"/>
              <w:spacing w:after="0"/>
            </w:pPr>
            <w:r>
              <w:t xml:space="preserve">SO 101.4 - </w:t>
            </w:r>
            <w:r w:rsidRPr="00CB03B9">
              <w:t>114-ZL3-11-M - Náhrada za skládkovné - méněpráce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258D07B" w14:textId="0F538C00" w:rsidR="00CB03B9" w:rsidRPr="005E6F3E" w:rsidRDefault="00CB03B9" w:rsidP="005E6F3E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</w:t>
            </w:r>
            <w:r w:rsidRPr="00CB03B9">
              <w:rPr>
                <w:rFonts w:ascii="Calibri" w:hAnsi="Calibri" w:cs="Calibri"/>
              </w:rPr>
              <w:t>20 572,99</w:t>
            </w:r>
          </w:p>
        </w:tc>
      </w:tr>
      <w:tr w:rsidR="005E6F3E" w:rsidRPr="00AC110C" w14:paraId="1D783CB9" w14:textId="77777777" w:rsidTr="007C77D5">
        <w:trPr>
          <w:trHeight w:val="160"/>
          <w:jc w:val="center"/>
        </w:trPr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BFD42" w14:textId="0FADD0A6" w:rsidR="005E6F3E" w:rsidRDefault="005E6F3E" w:rsidP="005E6F3E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t xml:space="preserve">SO 201 - </w:t>
            </w:r>
            <w:r w:rsidRPr="00574913">
              <w:t>12-ZL3-1-M Kamenná rovnanina v korytě toku SO 201 - méněpráce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7BFA05F" w14:textId="4192D1CD" w:rsidR="005E6F3E" w:rsidRDefault="005E6F3E" w:rsidP="005E6F3E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</w:t>
            </w:r>
            <w:r w:rsidR="00600CC7" w:rsidRPr="00600CC7">
              <w:rPr>
                <w:rFonts w:ascii="Calibri" w:hAnsi="Calibri" w:cs="Calibri"/>
              </w:rPr>
              <w:t>74 048,67</w:t>
            </w:r>
          </w:p>
        </w:tc>
      </w:tr>
      <w:tr w:rsidR="005E6F3E" w:rsidRPr="00AC110C" w14:paraId="70813C97" w14:textId="77777777" w:rsidTr="007C77D5">
        <w:trPr>
          <w:trHeight w:val="160"/>
          <w:jc w:val="center"/>
        </w:trPr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E4160" w14:textId="5153A66B" w:rsidR="005E6F3E" w:rsidRDefault="005E6F3E" w:rsidP="005E6F3E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t xml:space="preserve">SO 201 - </w:t>
            </w:r>
            <w:r w:rsidRPr="00574913">
              <w:t>12-ZL3-1-V Kamenná rovnanina v korytě toku SO 201 - vícepráce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5DED43F" w14:textId="3FE4F4D6" w:rsidR="005E6F3E" w:rsidRDefault="005E6F3E" w:rsidP="005E6F3E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</w:rPr>
            </w:pPr>
            <w:r w:rsidRPr="005E6F3E">
              <w:rPr>
                <w:rFonts w:ascii="Calibri" w:hAnsi="Calibri" w:cs="Calibri"/>
              </w:rPr>
              <w:t>124 276,56</w:t>
            </w:r>
          </w:p>
        </w:tc>
      </w:tr>
      <w:tr w:rsidR="005E6F3E" w:rsidRPr="00AC110C" w14:paraId="05937D30" w14:textId="77777777" w:rsidTr="007C77D5">
        <w:trPr>
          <w:trHeight w:val="160"/>
          <w:jc w:val="center"/>
        </w:trPr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591F3" w14:textId="05AAA8F6" w:rsidR="005E6F3E" w:rsidRDefault="005E6F3E" w:rsidP="005E6F3E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 w:rsidRPr="00D3308F">
              <w:t>21-ZL3-6-M Oprava účelové komunikace Chomoutov směr Oskava - méněpráce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20CF157" w14:textId="332DC143" w:rsidR="005E6F3E" w:rsidRDefault="005E6F3E" w:rsidP="005E6F3E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</w:t>
            </w:r>
            <w:r w:rsidRPr="005E6F3E">
              <w:rPr>
                <w:rFonts w:ascii="Calibri" w:hAnsi="Calibri" w:cs="Calibri"/>
              </w:rPr>
              <w:t>484 721,25</w:t>
            </w:r>
          </w:p>
        </w:tc>
      </w:tr>
      <w:tr w:rsidR="005E6F3E" w:rsidRPr="00AC110C" w14:paraId="588AC04C" w14:textId="77777777" w:rsidTr="007C77D5">
        <w:trPr>
          <w:trHeight w:val="160"/>
          <w:jc w:val="center"/>
        </w:trPr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6411B" w14:textId="7F208AAE" w:rsidR="005E6F3E" w:rsidRDefault="005E6F3E" w:rsidP="005E6F3E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 w:rsidRPr="00D3308F">
              <w:t>21-ZL3-6-V Oprava účelové komunikace Chomoutov směr Oskava - vícepráce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6C51CB" w14:textId="780D4F17" w:rsidR="005E6F3E" w:rsidRDefault="00CB03B9" w:rsidP="005E6F3E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</w:rPr>
            </w:pPr>
            <w:r w:rsidRPr="00CB03B9">
              <w:rPr>
                <w:rFonts w:ascii="Calibri" w:hAnsi="Calibri" w:cs="Calibri"/>
              </w:rPr>
              <w:t>2 655 935,65</w:t>
            </w:r>
          </w:p>
        </w:tc>
      </w:tr>
      <w:tr w:rsidR="005A4402" w:rsidRPr="00AC110C" w14:paraId="6B1231F9" w14:textId="77777777" w:rsidTr="00CB03B9">
        <w:trPr>
          <w:trHeight w:val="160"/>
          <w:jc w:val="center"/>
        </w:trPr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182C99" w14:textId="067B6031" w:rsidR="005A4402" w:rsidRPr="005A4402" w:rsidRDefault="005A4402" w:rsidP="005E6F3E">
            <w:pPr>
              <w:overflowPunct w:val="0"/>
              <w:autoSpaceDE w:val="0"/>
              <w:autoSpaceDN w:val="0"/>
              <w:adjustRightInd w:val="0"/>
              <w:spacing w:after="0"/>
              <w:rPr>
                <w:b/>
                <w:bCs/>
              </w:rPr>
            </w:pPr>
            <w:r w:rsidRPr="005A4402">
              <w:rPr>
                <w:b/>
                <w:bCs/>
              </w:rPr>
              <w:t>II. etapa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C73A1C8" w14:textId="77777777" w:rsidR="005A4402" w:rsidRPr="005E6F3E" w:rsidRDefault="005A4402" w:rsidP="005E6F3E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</w:rPr>
            </w:pPr>
          </w:p>
        </w:tc>
      </w:tr>
      <w:tr w:rsidR="00E373FB" w:rsidRPr="00AC110C" w14:paraId="2960158B" w14:textId="77777777" w:rsidTr="007C77D5">
        <w:trPr>
          <w:trHeight w:val="160"/>
          <w:jc w:val="center"/>
        </w:trPr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C2A8A" w14:textId="0B6EABA5" w:rsidR="00E373FB" w:rsidRDefault="00E373FB" w:rsidP="005E6F3E">
            <w:pPr>
              <w:overflowPunct w:val="0"/>
              <w:autoSpaceDE w:val="0"/>
              <w:autoSpaceDN w:val="0"/>
              <w:adjustRightInd w:val="0"/>
              <w:spacing w:after="0"/>
            </w:pPr>
            <w:r>
              <w:t xml:space="preserve">SO 101.2 - </w:t>
            </w:r>
            <w:r w:rsidRPr="00E373FB">
              <w:t>511-ZL3-12-M - Náhrada za skládkovné - méněpráce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28D42A" w14:textId="78A5B380" w:rsidR="00E373FB" w:rsidRDefault="00E373FB" w:rsidP="005E6F3E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</w:t>
            </w:r>
            <w:r w:rsidRPr="00E373FB">
              <w:rPr>
                <w:rFonts w:ascii="Calibri" w:hAnsi="Calibri" w:cs="Calibri"/>
              </w:rPr>
              <w:t>279 179,68</w:t>
            </w:r>
          </w:p>
        </w:tc>
      </w:tr>
      <w:tr w:rsidR="00E373FB" w:rsidRPr="00AC110C" w14:paraId="0350F235" w14:textId="77777777" w:rsidTr="007C77D5">
        <w:trPr>
          <w:trHeight w:val="160"/>
          <w:jc w:val="center"/>
        </w:trPr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2A579" w14:textId="50003FAA" w:rsidR="00E373FB" w:rsidRDefault="00E373FB" w:rsidP="005E6F3E">
            <w:pPr>
              <w:overflowPunct w:val="0"/>
              <w:autoSpaceDE w:val="0"/>
              <w:autoSpaceDN w:val="0"/>
              <w:adjustRightInd w:val="0"/>
              <w:spacing w:after="0"/>
            </w:pPr>
            <w:r>
              <w:t xml:space="preserve">SO 101.2 - </w:t>
            </w:r>
            <w:r w:rsidRPr="00E373FB">
              <w:t>511-ZL3-12-V - Náhrada za skládkovné - vícepráce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462F4AA" w14:textId="39907262" w:rsidR="00E373FB" w:rsidRDefault="00E373FB" w:rsidP="005E6F3E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</w:rPr>
            </w:pPr>
            <w:r w:rsidRPr="00E373FB">
              <w:rPr>
                <w:rFonts w:ascii="Calibri" w:hAnsi="Calibri" w:cs="Calibri"/>
              </w:rPr>
              <w:t>349 213,26</w:t>
            </w:r>
          </w:p>
        </w:tc>
      </w:tr>
      <w:tr w:rsidR="00E373FB" w:rsidRPr="00AC110C" w14:paraId="414C26B8" w14:textId="77777777" w:rsidTr="007C77D5">
        <w:trPr>
          <w:trHeight w:val="160"/>
          <w:jc w:val="center"/>
        </w:trPr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6CC2A" w14:textId="59447CD4" w:rsidR="00E373FB" w:rsidRDefault="0014506C" w:rsidP="005E6F3E">
            <w:pPr>
              <w:overflowPunct w:val="0"/>
              <w:autoSpaceDE w:val="0"/>
              <w:autoSpaceDN w:val="0"/>
              <w:adjustRightInd w:val="0"/>
              <w:spacing w:after="0"/>
            </w:pPr>
            <w:r>
              <w:t xml:space="preserve">SO 101.2 - </w:t>
            </w:r>
            <w:r w:rsidRPr="0014506C">
              <w:t xml:space="preserve">512-ZL3-13-M - Náhrada za skládkovné </w:t>
            </w:r>
            <w:r>
              <w:t>–</w:t>
            </w:r>
            <w:r w:rsidRPr="0014506C">
              <w:t xml:space="preserve"> méněpráce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E0357CC" w14:textId="0E00287D" w:rsidR="00E373FB" w:rsidRDefault="0014506C" w:rsidP="005E6F3E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</w:t>
            </w:r>
            <w:r w:rsidRPr="0014506C">
              <w:rPr>
                <w:rFonts w:ascii="Calibri" w:hAnsi="Calibri" w:cs="Calibri"/>
              </w:rPr>
              <w:t>46 114,02</w:t>
            </w:r>
          </w:p>
        </w:tc>
      </w:tr>
      <w:tr w:rsidR="005E6F3E" w:rsidRPr="00AC110C" w14:paraId="69F745C0" w14:textId="77777777" w:rsidTr="007C77D5">
        <w:trPr>
          <w:trHeight w:val="160"/>
          <w:jc w:val="center"/>
        </w:trPr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73DA4" w14:textId="10E95AAC" w:rsidR="005E6F3E" w:rsidRDefault="005E6F3E" w:rsidP="005E6F3E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t xml:space="preserve">SO 101.3 - </w:t>
            </w:r>
            <w:r w:rsidRPr="00F23249">
              <w:t>513-ZL3-4-M Zkrácení CB krytu a výměna za AHV mezi SO 202 a SO 203 - méněpráce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22469B0" w14:textId="35A2810F" w:rsidR="005E6F3E" w:rsidRDefault="005E6F3E" w:rsidP="005E6F3E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</w:t>
            </w:r>
            <w:r w:rsidRPr="005E6F3E">
              <w:rPr>
                <w:rFonts w:ascii="Calibri" w:hAnsi="Calibri" w:cs="Calibri"/>
              </w:rPr>
              <w:t>57 645,58</w:t>
            </w:r>
          </w:p>
        </w:tc>
      </w:tr>
      <w:tr w:rsidR="005E6F3E" w:rsidRPr="00AC110C" w14:paraId="6DB8F80B" w14:textId="77777777" w:rsidTr="007C77D5">
        <w:trPr>
          <w:trHeight w:val="160"/>
          <w:jc w:val="center"/>
        </w:trPr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BC0A9" w14:textId="6652825F" w:rsidR="005E6F3E" w:rsidRDefault="005E6F3E" w:rsidP="005E6F3E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t xml:space="preserve">SO 101.3 - </w:t>
            </w:r>
            <w:r w:rsidRPr="00F23249">
              <w:t>513-ZL3-4-V Zkrácení CB krytu a výměna za AHV mezi SO 202 a SO 203 - vícepráce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55AF6BF" w14:textId="43003C4C" w:rsidR="005E6F3E" w:rsidRDefault="005E6F3E" w:rsidP="005E6F3E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</w:rPr>
            </w:pPr>
            <w:r w:rsidRPr="005E6F3E">
              <w:rPr>
                <w:rFonts w:ascii="Calibri" w:hAnsi="Calibri" w:cs="Calibri"/>
              </w:rPr>
              <w:t>42 928,62</w:t>
            </w:r>
          </w:p>
        </w:tc>
      </w:tr>
      <w:tr w:rsidR="00E373FB" w:rsidRPr="00AC110C" w14:paraId="7B61A84C" w14:textId="77777777" w:rsidTr="007C77D5">
        <w:trPr>
          <w:trHeight w:val="160"/>
          <w:jc w:val="center"/>
        </w:trPr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50C52" w14:textId="5E7883C1" w:rsidR="00E373FB" w:rsidRDefault="0014506C" w:rsidP="005E6F3E">
            <w:pPr>
              <w:overflowPunct w:val="0"/>
              <w:autoSpaceDE w:val="0"/>
              <w:autoSpaceDN w:val="0"/>
              <w:adjustRightInd w:val="0"/>
              <w:spacing w:after="0"/>
            </w:pPr>
            <w:r>
              <w:t xml:space="preserve">SO 101.3 - </w:t>
            </w:r>
            <w:r w:rsidRPr="0014506C">
              <w:t>513-ZL3-14-M - Náhrada za skládkovné - méněpráce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076748A" w14:textId="7D5CC3FC" w:rsidR="00E373FB" w:rsidRPr="005E6F3E" w:rsidRDefault="009230CD" w:rsidP="005E6F3E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</w:t>
            </w:r>
            <w:r w:rsidRPr="009230CD">
              <w:rPr>
                <w:rFonts w:ascii="Calibri" w:hAnsi="Calibri" w:cs="Calibri"/>
              </w:rPr>
              <w:t>86 776,46</w:t>
            </w:r>
          </w:p>
        </w:tc>
      </w:tr>
      <w:tr w:rsidR="005E6F3E" w:rsidRPr="00AC110C" w14:paraId="244DF89F" w14:textId="77777777" w:rsidTr="007C77D5">
        <w:trPr>
          <w:trHeight w:val="160"/>
          <w:jc w:val="center"/>
        </w:trPr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0A518" w14:textId="47A7EBE1" w:rsidR="005E6F3E" w:rsidRDefault="005E6F3E" w:rsidP="007C77D5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SO 202 - </w:t>
            </w:r>
            <w:r w:rsidRPr="005E6F3E">
              <w:rPr>
                <w:rFonts w:ascii="Calibri" w:hAnsi="Calibri" w:cs="Calibri"/>
              </w:rPr>
              <w:t>52-ZL3-2-M Odpočet zádlažby u SO 202 - méněpráce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59A8786" w14:textId="55B55942" w:rsidR="005E6F3E" w:rsidRDefault="005E6F3E" w:rsidP="007C77D5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</w:t>
            </w:r>
            <w:r w:rsidR="00D82E55" w:rsidRPr="00D82E55">
              <w:rPr>
                <w:rFonts w:ascii="Calibri" w:hAnsi="Calibri" w:cs="Calibri"/>
              </w:rPr>
              <w:t>72 405,66</w:t>
            </w:r>
          </w:p>
        </w:tc>
      </w:tr>
      <w:tr w:rsidR="009230CD" w:rsidRPr="00AC110C" w14:paraId="700A8FF9" w14:textId="77777777" w:rsidTr="007C77D5">
        <w:trPr>
          <w:trHeight w:val="160"/>
          <w:jc w:val="center"/>
        </w:trPr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81235" w14:textId="496A5D10" w:rsidR="009230CD" w:rsidRDefault="009230CD" w:rsidP="007C77D5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SO 202 - </w:t>
            </w:r>
            <w:r w:rsidRPr="009230CD">
              <w:rPr>
                <w:rFonts w:ascii="Calibri" w:hAnsi="Calibri" w:cs="Calibri"/>
              </w:rPr>
              <w:t>52-ZL3-15-M - Náhrada za skládkovné - méněpráce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82F7790" w14:textId="44F49FCE" w:rsidR="009230CD" w:rsidRDefault="009230CD" w:rsidP="007C77D5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</w:t>
            </w:r>
            <w:r w:rsidRPr="009230CD">
              <w:rPr>
                <w:rFonts w:ascii="Calibri" w:hAnsi="Calibri" w:cs="Calibri"/>
              </w:rPr>
              <w:t>132 094,54</w:t>
            </w:r>
          </w:p>
        </w:tc>
      </w:tr>
      <w:tr w:rsidR="009230CD" w:rsidRPr="00AC110C" w14:paraId="342AC333" w14:textId="77777777" w:rsidTr="007C77D5">
        <w:trPr>
          <w:trHeight w:val="160"/>
          <w:jc w:val="center"/>
        </w:trPr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2E327" w14:textId="08D7CE85" w:rsidR="009230CD" w:rsidRDefault="009230CD" w:rsidP="007C77D5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SO 203 - </w:t>
            </w:r>
            <w:r w:rsidRPr="009230CD">
              <w:rPr>
                <w:rFonts w:ascii="Calibri" w:hAnsi="Calibri" w:cs="Calibri"/>
              </w:rPr>
              <w:t>53-ZL3-16-M - Náhrada za skládkovné - méněpráce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4113BAA" w14:textId="2273C509" w:rsidR="009230CD" w:rsidRDefault="009230CD" w:rsidP="007C77D5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</w:t>
            </w:r>
            <w:r w:rsidRPr="009230CD">
              <w:rPr>
                <w:rFonts w:ascii="Calibri" w:hAnsi="Calibri" w:cs="Calibri"/>
              </w:rPr>
              <w:t>112 951,78</w:t>
            </w:r>
          </w:p>
        </w:tc>
      </w:tr>
    </w:tbl>
    <w:p w14:paraId="7D76C0C6" w14:textId="28328E18" w:rsidR="00821866" w:rsidRPr="00AC110C" w:rsidRDefault="00821866" w:rsidP="007C77D5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240" w:after="12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Rekapitulace ceny díla na základě uzavřeného dodatku č. </w:t>
      </w:r>
      <w:r w:rsidR="00D82E55">
        <w:rPr>
          <w:rFonts w:ascii="Calibri" w:hAnsi="Calibri" w:cs="Calibri"/>
        </w:rPr>
        <w:t>3</w:t>
      </w:r>
      <w:r>
        <w:rPr>
          <w:rFonts w:ascii="Calibri" w:hAnsi="Calibri" w:cs="Calibri"/>
        </w:rPr>
        <w:t>:</w:t>
      </w: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9"/>
        <w:gridCol w:w="2552"/>
      </w:tblGrid>
      <w:tr w:rsidR="00821866" w14:paraId="6FA465C9" w14:textId="77777777" w:rsidTr="00D82E55">
        <w:trPr>
          <w:trHeight w:val="341"/>
          <w:jc w:val="center"/>
        </w:trPr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FCE5F78" w14:textId="77777777" w:rsidR="00821866" w:rsidRDefault="00821866" w:rsidP="008978C9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Cena díla dle SoD (bez DPH)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14:paraId="3B315C08" w14:textId="4D9A3D05" w:rsidR="00821866" w:rsidRDefault="007C77D5" w:rsidP="008978C9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72 934 848,18</w:t>
            </w:r>
          </w:p>
        </w:tc>
      </w:tr>
      <w:tr w:rsidR="00A17946" w14:paraId="48ABE58C" w14:textId="77777777" w:rsidTr="00D82E55">
        <w:trPr>
          <w:trHeight w:val="341"/>
          <w:jc w:val="center"/>
        </w:trPr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296FC3" w14:textId="0336A0C8" w:rsidR="00A17946" w:rsidRDefault="00A17946" w:rsidP="008978C9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Cena díla dle dodatku č. 1 (bez DPH)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2BB13786" w14:textId="6422DC69" w:rsidR="00A17946" w:rsidRDefault="00A17946" w:rsidP="008978C9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</w:rPr>
            </w:pPr>
            <w:r w:rsidRPr="00A17946">
              <w:rPr>
                <w:rFonts w:ascii="Calibri" w:hAnsi="Calibri" w:cs="Calibri"/>
              </w:rPr>
              <w:t>73 827 627,63</w:t>
            </w:r>
          </w:p>
        </w:tc>
      </w:tr>
      <w:tr w:rsidR="00D82E55" w14:paraId="5A615628" w14:textId="77777777" w:rsidTr="00D82E55">
        <w:trPr>
          <w:trHeight w:val="341"/>
          <w:jc w:val="center"/>
        </w:trPr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BCBE364" w14:textId="766A00CB" w:rsidR="00D82E55" w:rsidRDefault="00D82E55" w:rsidP="008978C9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Cena díla dle dodatku č. 2 (bez DPH)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47DF3E2E" w14:textId="27083181" w:rsidR="00D82E55" w:rsidRPr="00A17946" w:rsidRDefault="00D82E55" w:rsidP="008978C9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</w:rPr>
            </w:pPr>
            <w:r w:rsidRPr="00D82E55">
              <w:rPr>
                <w:rFonts w:ascii="Calibri" w:hAnsi="Calibri" w:cs="Calibri"/>
              </w:rPr>
              <w:t>75 951 272,88</w:t>
            </w:r>
          </w:p>
        </w:tc>
      </w:tr>
      <w:tr w:rsidR="00821866" w14:paraId="39BD6BE7" w14:textId="77777777" w:rsidTr="00D82E55">
        <w:trPr>
          <w:trHeight w:val="357"/>
          <w:jc w:val="center"/>
        </w:trPr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E1C9C8" w14:textId="256B546A" w:rsidR="00821866" w:rsidRDefault="00FE23F7" w:rsidP="008978C9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VCP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106B793" w14:textId="36C6547A" w:rsidR="00821866" w:rsidRDefault="009230CD" w:rsidP="008978C9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</w:rPr>
            </w:pPr>
            <w:r w:rsidRPr="009230CD">
              <w:rPr>
                <w:rFonts w:ascii="Calibri" w:hAnsi="Calibri" w:cs="Calibri"/>
              </w:rPr>
              <w:t>3 546 845,96</w:t>
            </w:r>
          </w:p>
        </w:tc>
      </w:tr>
      <w:tr w:rsidR="00821866" w14:paraId="0757F331" w14:textId="77777777" w:rsidTr="00D82E55">
        <w:trPr>
          <w:trHeight w:val="357"/>
          <w:jc w:val="center"/>
        </w:trPr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E14D2B" w14:textId="24A37A40" w:rsidR="00821866" w:rsidRDefault="00FE23F7" w:rsidP="008978C9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MNP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85A32B5" w14:textId="487B6F41" w:rsidR="00821866" w:rsidRDefault="00A17946" w:rsidP="008978C9">
            <w:pPr>
              <w:overflowPunct w:val="0"/>
              <w:autoSpaceDE w:val="0"/>
              <w:autoSpaceDN w:val="0"/>
              <w:adjustRightInd w:val="0"/>
              <w:spacing w:after="0"/>
              <w:ind w:left="405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</w:t>
            </w:r>
            <w:r w:rsidR="009230CD" w:rsidRPr="009230CD">
              <w:rPr>
                <w:rFonts w:ascii="Calibri" w:hAnsi="Calibri" w:cs="Calibri"/>
              </w:rPr>
              <w:t>1 901 492,38</w:t>
            </w:r>
          </w:p>
        </w:tc>
      </w:tr>
      <w:tr w:rsidR="00821866" w:rsidRPr="00DA1D29" w14:paraId="6484D1F6" w14:textId="77777777" w:rsidTr="00D82E55">
        <w:trPr>
          <w:trHeight w:val="357"/>
          <w:jc w:val="center"/>
        </w:trPr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BC0D92" w14:textId="6035CA4F" w:rsidR="00821866" w:rsidRPr="00DA1D29" w:rsidRDefault="00821866" w:rsidP="00821866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b/>
              </w:rPr>
            </w:pPr>
            <w:r w:rsidRPr="00DA1D29">
              <w:rPr>
                <w:rFonts w:ascii="Calibri" w:hAnsi="Calibri" w:cs="Calibri"/>
                <w:b/>
              </w:rPr>
              <w:t>Celkem cena díla dle S</w:t>
            </w:r>
            <w:r>
              <w:rPr>
                <w:rFonts w:ascii="Calibri" w:hAnsi="Calibri" w:cs="Calibri"/>
                <w:b/>
              </w:rPr>
              <w:t>oD (bez DPH) včetně dodatku č. 1</w:t>
            </w:r>
            <w:r w:rsidR="00D82E55">
              <w:rPr>
                <w:rFonts w:ascii="Calibri" w:hAnsi="Calibri" w:cs="Calibri"/>
                <w:b/>
              </w:rPr>
              <w:t xml:space="preserve">, </w:t>
            </w:r>
            <w:r w:rsidR="00A17946">
              <w:rPr>
                <w:rFonts w:ascii="Calibri" w:hAnsi="Calibri" w:cs="Calibri"/>
                <w:b/>
              </w:rPr>
              <w:t>2</w:t>
            </w:r>
            <w:r w:rsidR="00D82E55">
              <w:rPr>
                <w:rFonts w:ascii="Calibri" w:hAnsi="Calibri" w:cs="Calibri"/>
                <w:b/>
              </w:rPr>
              <w:t xml:space="preserve"> a 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B6172FA" w14:textId="070DE089" w:rsidR="00821866" w:rsidRPr="00DA1D29" w:rsidRDefault="009230CD" w:rsidP="008978C9">
            <w:pPr>
              <w:overflowPunct w:val="0"/>
              <w:autoSpaceDE w:val="0"/>
              <w:autoSpaceDN w:val="0"/>
              <w:adjustRightInd w:val="0"/>
              <w:spacing w:after="0"/>
              <w:ind w:left="405"/>
              <w:jc w:val="right"/>
              <w:rPr>
                <w:rFonts w:ascii="Calibri" w:hAnsi="Calibri" w:cs="Calibri"/>
                <w:b/>
              </w:rPr>
            </w:pPr>
            <w:r w:rsidRPr="009230CD">
              <w:rPr>
                <w:rFonts w:ascii="Calibri" w:hAnsi="Calibri" w:cs="Calibri"/>
                <w:b/>
              </w:rPr>
              <w:t>77 596 626,46</w:t>
            </w:r>
          </w:p>
        </w:tc>
      </w:tr>
      <w:tr w:rsidR="00FE23F7" w:rsidRPr="00DA1D29" w14:paraId="1889DEEB" w14:textId="77777777" w:rsidTr="00D82E55">
        <w:trPr>
          <w:trHeight w:val="357"/>
          <w:jc w:val="center"/>
        </w:trPr>
        <w:tc>
          <w:tcPr>
            <w:tcW w:w="63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D82A95" w14:textId="2CD022F9" w:rsidR="00FE23F7" w:rsidRPr="00DA1D29" w:rsidRDefault="00FE23F7" w:rsidP="00821866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b/>
              </w:rPr>
            </w:pPr>
            <w:r w:rsidRPr="00DA1D29">
              <w:rPr>
                <w:rFonts w:ascii="Calibri" w:hAnsi="Calibri" w:cs="Calibri"/>
                <w:b/>
              </w:rPr>
              <w:t>Celkem cena díla dle S</w:t>
            </w:r>
            <w:r>
              <w:rPr>
                <w:rFonts w:ascii="Calibri" w:hAnsi="Calibri" w:cs="Calibri"/>
                <w:b/>
              </w:rPr>
              <w:t>oD (včetně DPH) včetně dodatku č. 1</w:t>
            </w:r>
            <w:r w:rsidR="00D82E55">
              <w:rPr>
                <w:rFonts w:ascii="Calibri" w:hAnsi="Calibri" w:cs="Calibri"/>
                <w:b/>
              </w:rPr>
              <w:t>,</w:t>
            </w:r>
            <w:r w:rsidR="00A17946">
              <w:rPr>
                <w:rFonts w:ascii="Calibri" w:hAnsi="Calibri" w:cs="Calibri"/>
                <w:b/>
              </w:rPr>
              <w:t xml:space="preserve"> 2</w:t>
            </w:r>
            <w:r w:rsidR="00D82E55">
              <w:rPr>
                <w:rFonts w:ascii="Calibri" w:hAnsi="Calibri" w:cs="Calibri"/>
                <w:b/>
              </w:rPr>
              <w:t xml:space="preserve"> a 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5E68BB1" w14:textId="669FD2C1" w:rsidR="00FE23F7" w:rsidRPr="00FE23F7" w:rsidRDefault="009230CD" w:rsidP="008978C9">
            <w:pPr>
              <w:overflowPunct w:val="0"/>
              <w:autoSpaceDE w:val="0"/>
              <w:autoSpaceDN w:val="0"/>
              <w:adjustRightInd w:val="0"/>
              <w:spacing w:after="0"/>
              <w:ind w:left="405"/>
              <w:jc w:val="right"/>
              <w:rPr>
                <w:rFonts w:ascii="Calibri" w:hAnsi="Calibri" w:cs="Calibri"/>
                <w:b/>
              </w:rPr>
            </w:pPr>
            <w:r w:rsidRPr="009230CD">
              <w:rPr>
                <w:rFonts w:ascii="Calibri" w:hAnsi="Calibri" w:cs="Calibri"/>
                <w:b/>
              </w:rPr>
              <w:t>93 891 918,02</w:t>
            </w:r>
          </w:p>
        </w:tc>
      </w:tr>
    </w:tbl>
    <w:p w14:paraId="21BBB9ED" w14:textId="78A6ACB0" w:rsidR="00B6604C" w:rsidRPr="003E319D" w:rsidRDefault="00381D6D" w:rsidP="00D82E55">
      <w:pPr>
        <w:pStyle w:val="Bezmezer"/>
        <w:spacing w:before="360" w:after="120"/>
        <w:jc w:val="center"/>
        <w:rPr>
          <w:rFonts w:asciiTheme="minorHAnsi" w:hAnsiTheme="minorHAnsi" w:cstheme="minorHAnsi"/>
          <w:caps/>
          <w:sz w:val="22"/>
          <w:szCs w:val="22"/>
        </w:rPr>
      </w:pPr>
      <w:bookmarkStart w:id="3" w:name="_Toc524858454"/>
      <w:bookmarkStart w:id="4" w:name="_Toc1458321"/>
      <w:bookmarkStart w:id="5" w:name="_Toc114987480"/>
      <w:r w:rsidRPr="003E319D">
        <w:rPr>
          <w:rFonts w:asciiTheme="minorHAnsi" w:hAnsiTheme="minorHAnsi" w:cstheme="minorHAnsi"/>
          <w:b/>
          <w:sz w:val="22"/>
          <w:szCs w:val="22"/>
        </w:rPr>
        <w:t>I</w:t>
      </w:r>
      <w:r w:rsidR="00225B48">
        <w:rPr>
          <w:rFonts w:asciiTheme="minorHAnsi" w:hAnsiTheme="minorHAnsi" w:cstheme="minorHAnsi"/>
          <w:b/>
          <w:sz w:val="22"/>
          <w:szCs w:val="22"/>
        </w:rPr>
        <w:t>V</w:t>
      </w:r>
      <w:r w:rsidRPr="003E319D">
        <w:rPr>
          <w:rFonts w:asciiTheme="minorHAnsi" w:hAnsiTheme="minorHAnsi" w:cstheme="minorHAnsi"/>
          <w:b/>
          <w:sz w:val="22"/>
          <w:szCs w:val="22"/>
        </w:rPr>
        <w:t>. Ostatní ujednání</w:t>
      </w:r>
    </w:p>
    <w:bookmarkEnd w:id="3"/>
    <w:bookmarkEnd w:id="4"/>
    <w:bookmarkEnd w:id="5"/>
    <w:p w14:paraId="2A29505B" w14:textId="35E0BEBB" w:rsidR="00FE23F7" w:rsidRPr="00EF7D0F" w:rsidRDefault="00FE23F7" w:rsidP="00D82E55">
      <w:pPr>
        <w:pStyle w:val="Bezmezer"/>
        <w:numPr>
          <w:ilvl w:val="0"/>
          <w:numId w:val="2"/>
        </w:numPr>
        <w:tabs>
          <w:tab w:val="clear" w:pos="851"/>
          <w:tab w:val="clear" w:pos="1418"/>
          <w:tab w:val="left" w:pos="0"/>
        </w:tabs>
        <w:spacing w:after="120"/>
        <w:ind w:left="357" w:right="-1" w:hanging="357"/>
        <w:rPr>
          <w:rFonts w:asciiTheme="minorHAnsi" w:hAnsiTheme="minorHAnsi" w:cstheme="minorHAnsi"/>
          <w:sz w:val="22"/>
          <w:szCs w:val="22"/>
        </w:rPr>
      </w:pPr>
      <w:r w:rsidRPr="00EF7D0F">
        <w:rPr>
          <w:rFonts w:asciiTheme="minorHAnsi" w:hAnsiTheme="minorHAnsi" w:cstheme="minorHAnsi"/>
          <w:sz w:val="22"/>
          <w:szCs w:val="22"/>
        </w:rPr>
        <w:t xml:space="preserve">Ostatní ujednání smlouvy o dílo ze dne </w:t>
      </w:r>
      <w:r w:rsidR="007C77D5">
        <w:rPr>
          <w:rFonts w:asciiTheme="minorHAnsi" w:hAnsiTheme="minorHAnsi" w:cstheme="minorHAnsi"/>
          <w:sz w:val="22"/>
          <w:szCs w:val="22"/>
        </w:rPr>
        <w:t>31. 8</w:t>
      </w:r>
      <w:r w:rsidRPr="00CA15A1">
        <w:rPr>
          <w:rFonts w:asciiTheme="minorHAnsi" w:hAnsiTheme="minorHAnsi" w:cstheme="minorHAnsi"/>
          <w:sz w:val="22"/>
          <w:szCs w:val="22"/>
        </w:rPr>
        <w:t>. 2023</w:t>
      </w:r>
      <w:r w:rsidRPr="00EF7D0F">
        <w:rPr>
          <w:rFonts w:asciiTheme="minorHAnsi" w:hAnsiTheme="minorHAnsi" w:cstheme="minorHAnsi"/>
          <w:sz w:val="22"/>
          <w:szCs w:val="22"/>
        </w:rPr>
        <w:t xml:space="preserve"> tímto dodatkem č. </w:t>
      </w:r>
      <w:r w:rsidR="00D82E55">
        <w:rPr>
          <w:rFonts w:asciiTheme="minorHAnsi" w:hAnsiTheme="minorHAnsi" w:cstheme="minorHAnsi"/>
          <w:sz w:val="22"/>
          <w:szCs w:val="22"/>
        </w:rPr>
        <w:t>3</w:t>
      </w:r>
      <w:r w:rsidRPr="00EF7D0F">
        <w:rPr>
          <w:rFonts w:asciiTheme="minorHAnsi" w:hAnsiTheme="minorHAnsi" w:cstheme="minorHAnsi"/>
          <w:sz w:val="22"/>
          <w:szCs w:val="22"/>
        </w:rPr>
        <w:t xml:space="preserve"> nedotčená zůstávají v platnosti beze změny.</w:t>
      </w:r>
    </w:p>
    <w:p w14:paraId="0DFC7C7E" w14:textId="62DBA460" w:rsidR="00FE23F7" w:rsidRDefault="00FE23F7" w:rsidP="00D82E55">
      <w:pPr>
        <w:pStyle w:val="Bezmezer"/>
        <w:numPr>
          <w:ilvl w:val="0"/>
          <w:numId w:val="2"/>
        </w:numPr>
        <w:spacing w:after="120"/>
        <w:ind w:left="357" w:right="-1" w:hanging="357"/>
        <w:rPr>
          <w:rFonts w:asciiTheme="minorHAnsi" w:hAnsiTheme="minorHAnsi" w:cstheme="minorHAnsi"/>
          <w:sz w:val="22"/>
          <w:szCs w:val="22"/>
        </w:rPr>
      </w:pPr>
      <w:r w:rsidRPr="006B537D">
        <w:rPr>
          <w:rFonts w:asciiTheme="minorHAnsi" w:hAnsiTheme="minorHAnsi" w:cstheme="minorHAnsi"/>
          <w:sz w:val="22"/>
          <w:szCs w:val="22"/>
        </w:rPr>
        <w:t>T</w:t>
      </w:r>
      <w:r>
        <w:rPr>
          <w:rFonts w:asciiTheme="minorHAnsi" w:hAnsiTheme="minorHAnsi" w:cstheme="minorHAnsi"/>
          <w:sz w:val="22"/>
          <w:szCs w:val="22"/>
        </w:rPr>
        <w:t>ento dodatek č.</w:t>
      </w:r>
      <w:r w:rsidR="00A17946">
        <w:rPr>
          <w:rFonts w:asciiTheme="minorHAnsi" w:hAnsiTheme="minorHAnsi" w:cstheme="minorHAnsi"/>
          <w:sz w:val="22"/>
          <w:szCs w:val="22"/>
        </w:rPr>
        <w:t xml:space="preserve"> </w:t>
      </w:r>
      <w:r w:rsidR="00D82E55">
        <w:rPr>
          <w:rFonts w:asciiTheme="minorHAnsi" w:hAnsiTheme="minorHAnsi" w:cstheme="minorHAnsi"/>
          <w:sz w:val="22"/>
          <w:szCs w:val="22"/>
        </w:rPr>
        <w:t>3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B537D">
        <w:rPr>
          <w:rFonts w:asciiTheme="minorHAnsi" w:hAnsiTheme="minorHAnsi" w:cstheme="minorHAnsi"/>
          <w:sz w:val="22"/>
          <w:szCs w:val="22"/>
        </w:rPr>
        <w:t xml:space="preserve">nabývá platnosti </w:t>
      </w:r>
      <w:r>
        <w:rPr>
          <w:rFonts w:asciiTheme="minorHAnsi" w:hAnsiTheme="minorHAnsi" w:cstheme="minorHAnsi"/>
          <w:sz w:val="22"/>
          <w:szCs w:val="22"/>
        </w:rPr>
        <w:t xml:space="preserve">a účinnosti </w:t>
      </w:r>
      <w:r w:rsidRPr="006B537D">
        <w:rPr>
          <w:rFonts w:asciiTheme="minorHAnsi" w:hAnsiTheme="minorHAnsi" w:cstheme="minorHAnsi"/>
          <w:sz w:val="22"/>
          <w:szCs w:val="22"/>
        </w:rPr>
        <w:t>dnem jejího podpisu posledním Účastníkem t</w:t>
      </w:r>
      <w:r>
        <w:rPr>
          <w:rFonts w:asciiTheme="minorHAnsi" w:hAnsiTheme="minorHAnsi" w:cstheme="minorHAnsi"/>
          <w:sz w:val="22"/>
          <w:szCs w:val="22"/>
        </w:rPr>
        <w:t>ohoto dodatku č.</w:t>
      </w:r>
      <w:r w:rsidR="00A17946">
        <w:rPr>
          <w:rFonts w:asciiTheme="minorHAnsi" w:hAnsiTheme="minorHAnsi" w:cstheme="minorHAnsi"/>
          <w:sz w:val="22"/>
          <w:szCs w:val="22"/>
        </w:rPr>
        <w:t xml:space="preserve"> </w:t>
      </w:r>
      <w:r w:rsidR="00D82E55">
        <w:rPr>
          <w:rFonts w:asciiTheme="minorHAnsi" w:hAnsiTheme="minorHAnsi" w:cstheme="minorHAnsi"/>
          <w:sz w:val="22"/>
          <w:szCs w:val="22"/>
        </w:rPr>
        <w:t>3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2A40A18D" w14:textId="0CA6E9BC" w:rsidR="00FE23F7" w:rsidRDefault="00FE23F7" w:rsidP="00D82E55">
      <w:pPr>
        <w:pStyle w:val="Bezmezer"/>
        <w:numPr>
          <w:ilvl w:val="0"/>
          <w:numId w:val="2"/>
        </w:numPr>
        <w:spacing w:after="120"/>
        <w:ind w:left="357" w:right="-1" w:hanging="357"/>
        <w:rPr>
          <w:rFonts w:asciiTheme="minorHAnsi" w:hAnsiTheme="minorHAnsi" w:cstheme="minorHAnsi"/>
          <w:sz w:val="22"/>
          <w:szCs w:val="22"/>
        </w:rPr>
      </w:pPr>
      <w:r w:rsidRPr="006B537D">
        <w:rPr>
          <w:rFonts w:asciiTheme="minorHAnsi" w:hAnsiTheme="minorHAnsi" w:cstheme="minorHAnsi"/>
          <w:sz w:val="22"/>
          <w:szCs w:val="22"/>
        </w:rPr>
        <w:t>T</w:t>
      </w:r>
      <w:r>
        <w:rPr>
          <w:rFonts w:asciiTheme="minorHAnsi" w:hAnsiTheme="minorHAnsi" w:cstheme="minorHAnsi"/>
          <w:sz w:val="22"/>
          <w:szCs w:val="22"/>
        </w:rPr>
        <w:t>ento dodatek č.</w:t>
      </w:r>
      <w:r w:rsidR="00A17946">
        <w:rPr>
          <w:rFonts w:asciiTheme="minorHAnsi" w:hAnsiTheme="minorHAnsi" w:cstheme="minorHAnsi"/>
          <w:sz w:val="22"/>
          <w:szCs w:val="22"/>
        </w:rPr>
        <w:t xml:space="preserve"> </w:t>
      </w:r>
      <w:r w:rsidR="00D82E55">
        <w:rPr>
          <w:rFonts w:asciiTheme="minorHAnsi" w:hAnsiTheme="minorHAnsi" w:cstheme="minorHAnsi"/>
          <w:sz w:val="22"/>
          <w:szCs w:val="22"/>
        </w:rPr>
        <w:t>3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23523">
        <w:rPr>
          <w:rFonts w:asciiTheme="minorHAnsi" w:hAnsiTheme="minorHAnsi" w:cstheme="minorHAnsi"/>
          <w:sz w:val="22"/>
          <w:szCs w:val="22"/>
        </w:rPr>
        <w:t xml:space="preserve">je uzavřen </w:t>
      </w:r>
      <w:r>
        <w:rPr>
          <w:rFonts w:asciiTheme="minorHAnsi" w:hAnsiTheme="minorHAnsi" w:cstheme="minorHAnsi"/>
          <w:sz w:val="22"/>
          <w:szCs w:val="22"/>
        </w:rPr>
        <w:t>elektronickou formou. Součástí dodatku č.</w:t>
      </w:r>
      <w:r w:rsidR="00B02318">
        <w:rPr>
          <w:rFonts w:asciiTheme="minorHAnsi" w:hAnsiTheme="minorHAnsi" w:cstheme="minorHAnsi"/>
          <w:sz w:val="22"/>
          <w:szCs w:val="22"/>
        </w:rPr>
        <w:t xml:space="preserve"> </w:t>
      </w:r>
      <w:r w:rsidR="00D82E55">
        <w:rPr>
          <w:rFonts w:asciiTheme="minorHAnsi" w:hAnsiTheme="minorHAnsi" w:cstheme="minorHAnsi"/>
          <w:sz w:val="22"/>
          <w:szCs w:val="22"/>
        </w:rPr>
        <w:t>3</w:t>
      </w:r>
      <w:r>
        <w:rPr>
          <w:rFonts w:asciiTheme="minorHAnsi" w:hAnsiTheme="minorHAnsi" w:cstheme="minorHAnsi"/>
          <w:sz w:val="22"/>
          <w:szCs w:val="22"/>
        </w:rPr>
        <w:t xml:space="preserve"> j</w:t>
      </w:r>
      <w:r w:rsidR="0019284A">
        <w:rPr>
          <w:rFonts w:asciiTheme="minorHAnsi" w:hAnsiTheme="minorHAnsi" w:cstheme="minorHAnsi"/>
          <w:sz w:val="22"/>
          <w:szCs w:val="22"/>
        </w:rPr>
        <w:t>sou</w:t>
      </w:r>
      <w:r>
        <w:rPr>
          <w:rFonts w:asciiTheme="minorHAnsi" w:hAnsiTheme="minorHAnsi" w:cstheme="minorHAnsi"/>
          <w:sz w:val="22"/>
          <w:szCs w:val="22"/>
        </w:rPr>
        <w:t xml:space="preserve"> příloh</w:t>
      </w:r>
      <w:r w:rsidR="0019284A">
        <w:rPr>
          <w:rFonts w:asciiTheme="minorHAnsi" w:hAnsiTheme="minorHAnsi" w:cstheme="minorHAnsi"/>
          <w:sz w:val="22"/>
          <w:szCs w:val="22"/>
        </w:rPr>
        <w:t>y</w:t>
      </w:r>
      <w:r>
        <w:rPr>
          <w:rFonts w:asciiTheme="minorHAnsi" w:hAnsiTheme="minorHAnsi" w:cstheme="minorHAnsi"/>
          <w:sz w:val="22"/>
          <w:szCs w:val="22"/>
        </w:rPr>
        <w:t>, kter</w:t>
      </w:r>
      <w:r w:rsidR="0019284A">
        <w:rPr>
          <w:rFonts w:asciiTheme="minorHAnsi" w:hAnsiTheme="minorHAnsi" w:cstheme="minorHAnsi"/>
          <w:sz w:val="22"/>
          <w:szCs w:val="22"/>
        </w:rPr>
        <w:t>é</w:t>
      </w:r>
      <w:r>
        <w:rPr>
          <w:rFonts w:asciiTheme="minorHAnsi" w:hAnsiTheme="minorHAnsi" w:cstheme="minorHAnsi"/>
          <w:sz w:val="22"/>
          <w:szCs w:val="22"/>
        </w:rPr>
        <w:t xml:space="preserve"> tvoří nedílnou součást dodatku č.</w:t>
      </w:r>
      <w:r w:rsidR="00B02318">
        <w:rPr>
          <w:rFonts w:asciiTheme="minorHAnsi" w:hAnsiTheme="minorHAnsi" w:cstheme="minorHAnsi"/>
          <w:sz w:val="22"/>
          <w:szCs w:val="22"/>
        </w:rPr>
        <w:t xml:space="preserve"> </w:t>
      </w:r>
      <w:r w:rsidR="00D82E55">
        <w:rPr>
          <w:rFonts w:asciiTheme="minorHAnsi" w:hAnsiTheme="minorHAnsi" w:cstheme="minorHAnsi"/>
          <w:sz w:val="22"/>
          <w:szCs w:val="22"/>
        </w:rPr>
        <w:t>3</w:t>
      </w:r>
      <w:r>
        <w:rPr>
          <w:rFonts w:asciiTheme="minorHAnsi" w:hAnsiTheme="minorHAnsi" w:cstheme="minorHAnsi"/>
          <w:sz w:val="22"/>
          <w:szCs w:val="22"/>
        </w:rPr>
        <w:t xml:space="preserve"> – oceněný položkový rozpočet</w:t>
      </w:r>
      <w:r w:rsidR="0019284A">
        <w:rPr>
          <w:rFonts w:asciiTheme="minorHAnsi" w:hAnsiTheme="minorHAnsi" w:cstheme="minorHAnsi"/>
          <w:sz w:val="22"/>
          <w:szCs w:val="22"/>
        </w:rPr>
        <w:t xml:space="preserve"> a změnov</w:t>
      </w:r>
      <w:r w:rsidR="00A17946">
        <w:rPr>
          <w:rFonts w:asciiTheme="minorHAnsi" w:hAnsiTheme="minorHAnsi" w:cstheme="minorHAnsi"/>
          <w:sz w:val="22"/>
          <w:szCs w:val="22"/>
        </w:rPr>
        <w:t>ý</w:t>
      </w:r>
      <w:r w:rsidR="0019284A">
        <w:rPr>
          <w:rFonts w:asciiTheme="minorHAnsi" w:hAnsiTheme="minorHAnsi" w:cstheme="minorHAnsi"/>
          <w:sz w:val="22"/>
          <w:szCs w:val="22"/>
        </w:rPr>
        <w:t xml:space="preserve"> list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2E25C6E8" w14:textId="7A53A1CB" w:rsidR="00927E2B" w:rsidRPr="00927E2B" w:rsidRDefault="00927E2B" w:rsidP="00D82E55">
      <w:pPr>
        <w:pStyle w:val="Odstavecseseznamem"/>
        <w:numPr>
          <w:ilvl w:val="0"/>
          <w:numId w:val="2"/>
        </w:numPr>
        <w:spacing w:after="120"/>
        <w:ind w:left="357" w:hanging="357"/>
        <w:contextualSpacing w:val="0"/>
        <w:jc w:val="both"/>
        <w:rPr>
          <w:rFonts w:eastAsia="Times New Roman" w:cstheme="minorHAnsi"/>
        </w:rPr>
      </w:pPr>
      <w:r w:rsidRPr="00927E2B">
        <w:rPr>
          <w:rFonts w:eastAsia="Times New Roman" w:cstheme="minorHAnsi"/>
        </w:rPr>
        <w:t xml:space="preserve">Zhotovitel souhlasí se zveřejněním </w:t>
      </w:r>
      <w:r>
        <w:rPr>
          <w:rFonts w:eastAsia="Times New Roman" w:cstheme="minorHAnsi"/>
        </w:rPr>
        <w:t>dodatku</w:t>
      </w:r>
      <w:r w:rsidR="00062295">
        <w:rPr>
          <w:rFonts w:eastAsia="Times New Roman" w:cstheme="minorHAnsi"/>
        </w:rPr>
        <w:t xml:space="preserve"> </w:t>
      </w:r>
      <w:r w:rsidRPr="00927E2B">
        <w:rPr>
          <w:rFonts w:eastAsia="Times New Roman" w:cstheme="minorHAnsi"/>
        </w:rPr>
        <w:t>na profilu zadavatele</w:t>
      </w:r>
      <w:r>
        <w:rPr>
          <w:rFonts w:eastAsia="Times New Roman" w:cstheme="minorHAnsi"/>
        </w:rPr>
        <w:t xml:space="preserve"> Objednatele</w:t>
      </w:r>
      <w:r w:rsidR="00062295">
        <w:rPr>
          <w:rFonts w:eastAsia="Times New Roman" w:cstheme="minorHAnsi"/>
        </w:rPr>
        <w:t>, registru smluv</w:t>
      </w:r>
      <w:r w:rsidRPr="00927E2B">
        <w:rPr>
          <w:rFonts w:eastAsia="Times New Roman" w:cstheme="minorHAnsi"/>
        </w:rPr>
        <w:t xml:space="preserve">. </w:t>
      </w:r>
    </w:p>
    <w:p w14:paraId="01790FB1" w14:textId="60633AB4" w:rsidR="00FE23F7" w:rsidRPr="00927E2B" w:rsidRDefault="00927E2B" w:rsidP="00D82E55">
      <w:pPr>
        <w:pStyle w:val="Odstavecseseznamem"/>
        <w:numPr>
          <w:ilvl w:val="0"/>
          <w:numId w:val="2"/>
        </w:numPr>
        <w:spacing w:after="120"/>
        <w:ind w:left="357" w:hanging="357"/>
        <w:contextualSpacing w:val="0"/>
        <w:jc w:val="both"/>
        <w:rPr>
          <w:rFonts w:eastAsia="Times New Roman" w:cstheme="minorHAnsi"/>
        </w:rPr>
      </w:pPr>
      <w:r w:rsidRPr="00927E2B">
        <w:rPr>
          <w:rFonts w:eastAsia="Times New Roman" w:cstheme="minorHAnsi"/>
        </w:rPr>
        <w:t xml:space="preserve">Smluvní strany shodně prohlašují, že si </w:t>
      </w:r>
      <w:r>
        <w:rPr>
          <w:rFonts w:eastAsia="Times New Roman" w:cstheme="minorHAnsi"/>
        </w:rPr>
        <w:t>dodatek</w:t>
      </w:r>
      <w:r w:rsidRPr="00927E2B">
        <w:rPr>
          <w:rFonts w:eastAsia="Times New Roman" w:cstheme="minorHAnsi"/>
        </w:rPr>
        <w:t xml:space="preserve"> před jejím podpisem přečetly</w:t>
      </w:r>
      <w:r>
        <w:rPr>
          <w:rFonts w:eastAsia="Times New Roman" w:cstheme="minorHAnsi"/>
        </w:rPr>
        <w:t>,</w:t>
      </w:r>
      <w:r w:rsidRPr="00927E2B">
        <w:rPr>
          <w:rFonts w:eastAsia="Times New Roman" w:cstheme="minorHAnsi"/>
        </w:rPr>
        <w:t xml:space="preserve"> a že byl uzavřen po vzájemném projednání podle jejich pravé a svobodné vůle, určitě, vážně a srozumitelně, nikoliv v tísni nebo za nápadně nevýhodných podmínek, a že se dohodly o celém je</w:t>
      </w:r>
      <w:r>
        <w:rPr>
          <w:rFonts w:eastAsia="Times New Roman" w:cstheme="minorHAnsi"/>
        </w:rPr>
        <w:t>ho</w:t>
      </w:r>
      <w:r w:rsidRPr="00927E2B">
        <w:rPr>
          <w:rFonts w:eastAsia="Times New Roman" w:cstheme="minorHAnsi"/>
        </w:rPr>
        <w:t xml:space="preserve"> obsahu, což stvrzují svými podpisy.</w:t>
      </w:r>
    </w:p>
    <w:p w14:paraId="1C5BA2AA" w14:textId="45268F25" w:rsidR="00FE23F7" w:rsidRPr="006B537D" w:rsidRDefault="00FE23F7" w:rsidP="00D82E55">
      <w:pPr>
        <w:pStyle w:val="Bezmezer"/>
        <w:spacing w:after="120"/>
        <w:rPr>
          <w:rFonts w:asciiTheme="minorHAnsi" w:hAnsiTheme="minorHAnsi" w:cstheme="minorHAnsi"/>
          <w:sz w:val="22"/>
          <w:szCs w:val="22"/>
        </w:rPr>
      </w:pPr>
      <w:r w:rsidRPr="006B537D">
        <w:rPr>
          <w:rFonts w:asciiTheme="minorHAnsi" w:hAnsiTheme="minorHAnsi" w:cstheme="minorHAnsi"/>
          <w:sz w:val="22"/>
          <w:szCs w:val="22"/>
        </w:rPr>
        <w:t>Níže uvedené přílohy tvoří nedílnou součást této smlouvy o dílo:</w:t>
      </w:r>
    </w:p>
    <w:p w14:paraId="027C116E" w14:textId="79131B4A" w:rsidR="00FE23F7" w:rsidRDefault="00FE23F7" w:rsidP="00B02318">
      <w:pPr>
        <w:pStyle w:val="Bezmezer"/>
        <w:spacing w:after="80"/>
        <w:rPr>
          <w:rFonts w:asciiTheme="minorHAnsi" w:hAnsiTheme="minorHAnsi" w:cstheme="minorHAnsi"/>
          <w:sz w:val="22"/>
          <w:szCs w:val="22"/>
        </w:rPr>
      </w:pPr>
      <w:r w:rsidRPr="006B537D">
        <w:rPr>
          <w:rFonts w:asciiTheme="minorHAnsi" w:hAnsiTheme="minorHAnsi" w:cstheme="minorHAnsi"/>
          <w:sz w:val="22"/>
          <w:szCs w:val="22"/>
        </w:rPr>
        <w:tab/>
        <w:t>- Příloha č. 1 – Položkov</w:t>
      </w:r>
      <w:r w:rsidR="009230CD">
        <w:rPr>
          <w:rFonts w:asciiTheme="minorHAnsi" w:hAnsiTheme="minorHAnsi" w:cstheme="minorHAnsi"/>
          <w:sz w:val="22"/>
          <w:szCs w:val="22"/>
        </w:rPr>
        <w:t>é</w:t>
      </w:r>
      <w:r w:rsidRPr="006B537D">
        <w:rPr>
          <w:rFonts w:asciiTheme="minorHAnsi" w:hAnsiTheme="minorHAnsi" w:cstheme="minorHAnsi"/>
          <w:sz w:val="22"/>
          <w:szCs w:val="22"/>
        </w:rPr>
        <w:t xml:space="preserve"> rozpočt</w:t>
      </w:r>
      <w:r w:rsidR="009230CD">
        <w:rPr>
          <w:rFonts w:asciiTheme="minorHAnsi" w:hAnsiTheme="minorHAnsi" w:cstheme="minorHAnsi"/>
          <w:sz w:val="22"/>
          <w:szCs w:val="22"/>
        </w:rPr>
        <w:t>y</w:t>
      </w:r>
    </w:p>
    <w:p w14:paraId="6BD4C721" w14:textId="0D0F507F" w:rsidR="001A3443" w:rsidRDefault="00927E2B" w:rsidP="00B02318">
      <w:pPr>
        <w:pStyle w:val="Bezmezer"/>
        <w:spacing w:after="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- Příloha č. 2 – ZL</w:t>
      </w:r>
      <w:r w:rsidR="00D82E55">
        <w:rPr>
          <w:rFonts w:asciiTheme="minorHAnsi" w:hAnsiTheme="minorHAnsi" w:cstheme="minorHAnsi"/>
          <w:sz w:val="22"/>
          <w:szCs w:val="22"/>
        </w:rPr>
        <w:t>3</w:t>
      </w:r>
      <w:r w:rsidR="001A3443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</w:t>
      </w:r>
    </w:p>
    <w:p w14:paraId="1E103027" w14:textId="3C3C0180" w:rsidR="001A3443" w:rsidRPr="00F57469" w:rsidRDefault="001A3443" w:rsidP="008C6B30">
      <w:pPr>
        <w:pStyle w:val="Bezmezer"/>
        <w:spacing w:after="80"/>
        <w:ind w:left="3828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F57469">
        <w:rPr>
          <w:rFonts w:asciiTheme="minorHAnsi" w:hAnsiTheme="minorHAnsi" w:cstheme="minorHAnsi"/>
          <w:color w:val="FF0000"/>
          <w:sz w:val="22"/>
          <w:szCs w:val="22"/>
        </w:rPr>
        <w:t xml:space="preserve">     </w:t>
      </w:r>
      <w:r w:rsidRPr="008C6B30">
        <w:rPr>
          <w:rFonts w:asciiTheme="minorHAnsi" w:hAnsiTheme="minorHAnsi" w:cstheme="minorHAnsi"/>
          <w:color w:val="000000" w:themeColor="text1"/>
          <w:sz w:val="22"/>
          <w:szCs w:val="22"/>
        </w:rPr>
        <w:t>Zkontroloval:</w:t>
      </w:r>
      <w:r w:rsidR="008C6B30" w:rsidRPr="008C6B3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Ing. Viktor Superata – vedoucí PJ Velká Bystřice</w:t>
      </w:r>
    </w:p>
    <w:p w14:paraId="628BD9A4" w14:textId="77777777" w:rsidR="00FE23F7" w:rsidRPr="003E319D" w:rsidRDefault="00FE23F7" w:rsidP="00B0231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8092612" w14:textId="77777777" w:rsidR="003E319D" w:rsidRPr="003E319D" w:rsidRDefault="003E319D" w:rsidP="003E319D">
      <w:pPr>
        <w:pStyle w:val="Bezmezer"/>
        <w:rPr>
          <w:rFonts w:asciiTheme="minorHAnsi" w:hAnsiTheme="minorHAnsi" w:cstheme="minorHAnsi"/>
          <w:sz w:val="22"/>
          <w:szCs w:val="22"/>
        </w:rPr>
      </w:pPr>
    </w:p>
    <w:p w14:paraId="061BCADE" w14:textId="2B81FD50" w:rsidR="00927E2B" w:rsidRPr="00927E2B" w:rsidRDefault="00927E2B" w:rsidP="00927E2B">
      <w:pPr>
        <w:spacing w:after="0"/>
        <w:rPr>
          <w:rFonts w:cstheme="minorHAnsi"/>
        </w:rPr>
      </w:pPr>
      <w:r w:rsidRPr="00927E2B">
        <w:rPr>
          <w:rFonts w:cstheme="minorHAnsi"/>
        </w:rPr>
        <w:t>V</w:t>
      </w:r>
      <w:r w:rsidR="00062295">
        <w:rPr>
          <w:rFonts w:cstheme="minorHAnsi"/>
        </w:rPr>
        <w:t>e Šternberku</w:t>
      </w:r>
      <w:r w:rsidRPr="00927E2B">
        <w:rPr>
          <w:rFonts w:cstheme="minorHAnsi"/>
        </w:rPr>
        <w:tab/>
      </w:r>
      <w:r w:rsidRPr="00927E2B">
        <w:rPr>
          <w:rFonts w:cstheme="minorHAnsi"/>
        </w:rPr>
        <w:tab/>
      </w:r>
      <w:r w:rsidRPr="00927E2B">
        <w:rPr>
          <w:rFonts w:cstheme="minorHAnsi"/>
        </w:rPr>
        <w:tab/>
      </w:r>
      <w:r w:rsidRPr="00927E2B">
        <w:rPr>
          <w:rFonts w:cstheme="minorHAnsi"/>
        </w:rPr>
        <w:tab/>
      </w:r>
      <w:r w:rsidRPr="00927E2B">
        <w:rPr>
          <w:rFonts w:cstheme="minorHAnsi"/>
        </w:rPr>
        <w:tab/>
      </w:r>
      <w:r>
        <w:rPr>
          <w:rFonts w:cstheme="minorHAnsi"/>
        </w:rPr>
        <w:tab/>
      </w:r>
      <w:r w:rsidRPr="00927E2B">
        <w:rPr>
          <w:rFonts w:cstheme="minorHAnsi"/>
        </w:rPr>
        <w:t>V Olomouci</w:t>
      </w:r>
    </w:p>
    <w:tbl>
      <w:tblPr>
        <w:tblStyle w:val="Mkatabulky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1417"/>
        <w:gridCol w:w="3969"/>
      </w:tblGrid>
      <w:tr w:rsidR="00927E2B" w14:paraId="33EE04E2" w14:textId="77777777" w:rsidTr="00EB2AD5">
        <w:tc>
          <w:tcPr>
            <w:tcW w:w="3969" w:type="dxa"/>
            <w:tcBorders>
              <w:bottom w:val="dashed" w:sz="4" w:space="0" w:color="auto"/>
            </w:tcBorders>
          </w:tcPr>
          <w:p w14:paraId="052A4F3C" w14:textId="77777777" w:rsidR="00927E2B" w:rsidRDefault="00927E2B" w:rsidP="00927E2B">
            <w:pPr>
              <w:rPr>
                <w:rFonts w:cstheme="minorHAnsi"/>
              </w:rPr>
            </w:pPr>
          </w:p>
          <w:p w14:paraId="62FB036E" w14:textId="77777777" w:rsidR="00927E2B" w:rsidRDefault="00927E2B" w:rsidP="00927E2B">
            <w:pPr>
              <w:rPr>
                <w:rFonts w:cstheme="minorHAnsi"/>
              </w:rPr>
            </w:pPr>
          </w:p>
          <w:p w14:paraId="19978E47" w14:textId="77777777" w:rsidR="00927E2B" w:rsidRDefault="00927E2B" w:rsidP="00927E2B">
            <w:pPr>
              <w:rPr>
                <w:rFonts w:cstheme="minorHAnsi"/>
              </w:rPr>
            </w:pPr>
          </w:p>
          <w:p w14:paraId="5AA8DB33" w14:textId="77777777" w:rsidR="00927E2B" w:rsidRDefault="00927E2B" w:rsidP="00927E2B">
            <w:pPr>
              <w:rPr>
                <w:rFonts w:cstheme="minorHAnsi"/>
              </w:rPr>
            </w:pPr>
          </w:p>
          <w:p w14:paraId="3961225F" w14:textId="77777777" w:rsidR="00927E2B" w:rsidRDefault="00927E2B" w:rsidP="00927E2B">
            <w:pPr>
              <w:rPr>
                <w:rFonts w:cstheme="minorHAnsi"/>
              </w:rPr>
            </w:pPr>
          </w:p>
          <w:p w14:paraId="5D98DC27" w14:textId="77777777" w:rsidR="00927E2B" w:rsidRDefault="00927E2B" w:rsidP="00927E2B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14:paraId="4C42BE9A" w14:textId="77777777" w:rsidR="00927E2B" w:rsidRDefault="00927E2B" w:rsidP="00927E2B">
            <w:pPr>
              <w:rPr>
                <w:rFonts w:cstheme="minorHAnsi"/>
              </w:rPr>
            </w:pPr>
          </w:p>
        </w:tc>
        <w:tc>
          <w:tcPr>
            <w:tcW w:w="3969" w:type="dxa"/>
            <w:tcBorders>
              <w:bottom w:val="dashed" w:sz="4" w:space="0" w:color="auto"/>
            </w:tcBorders>
          </w:tcPr>
          <w:p w14:paraId="3796EC24" w14:textId="77777777" w:rsidR="00927E2B" w:rsidRDefault="00927E2B" w:rsidP="00927E2B">
            <w:pPr>
              <w:rPr>
                <w:rFonts w:cstheme="minorHAnsi"/>
              </w:rPr>
            </w:pPr>
          </w:p>
        </w:tc>
      </w:tr>
      <w:tr w:rsidR="00927E2B" w14:paraId="120299A2" w14:textId="77777777" w:rsidTr="00EB2AD5">
        <w:tc>
          <w:tcPr>
            <w:tcW w:w="3969" w:type="dxa"/>
            <w:tcBorders>
              <w:top w:val="dashed" w:sz="4" w:space="0" w:color="auto"/>
            </w:tcBorders>
          </w:tcPr>
          <w:p w14:paraId="195D4B8B" w14:textId="77777777" w:rsidR="00927E2B" w:rsidRDefault="00927E2B" w:rsidP="00927E2B">
            <w:pPr>
              <w:jc w:val="center"/>
              <w:rPr>
                <w:rFonts w:cstheme="minorHAnsi"/>
              </w:rPr>
            </w:pPr>
            <w:r w:rsidRPr="00927E2B">
              <w:rPr>
                <w:rFonts w:cstheme="minorHAnsi"/>
              </w:rPr>
              <w:t>za objednatele</w:t>
            </w:r>
          </w:p>
          <w:p w14:paraId="37091565" w14:textId="77777777" w:rsidR="007C77D5" w:rsidRPr="007C77D5" w:rsidRDefault="007C77D5" w:rsidP="007C77D5">
            <w:pPr>
              <w:jc w:val="center"/>
              <w:rPr>
                <w:rFonts w:cstheme="minorHAnsi"/>
                <w:b/>
              </w:rPr>
            </w:pPr>
            <w:r w:rsidRPr="007C77D5">
              <w:rPr>
                <w:rFonts w:cstheme="minorHAnsi"/>
                <w:b/>
              </w:rPr>
              <w:t>Ing. Rudolf Pečinka</w:t>
            </w:r>
          </w:p>
          <w:p w14:paraId="4D3E29D8" w14:textId="72868879" w:rsidR="00927E2B" w:rsidRPr="007C77D5" w:rsidRDefault="007C77D5" w:rsidP="007C77D5">
            <w:pPr>
              <w:jc w:val="center"/>
              <w:rPr>
                <w:rFonts w:cstheme="minorHAnsi"/>
                <w:bCs/>
              </w:rPr>
            </w:pPr>
            <w:r w:rsidRPr="007C77D5">
              <w:rPr>
                <w:rFonts w:cstheme="minorHAnsi"/>
                <w:bCs/>
              </w:rPr>
              <w:t>předseda Mkroregion Šternbersko</w:t>
            </w:r>
          </w:p>
        </w:tc>
        <w:tc>
          <w:tcPr>
            <w:tcW w:w="1417" w:type="dxa"/>
          </w:tcPr>
          <w:p w14:paraId="64D811D8" w14:textId="77777777" w:rsidR="00927E2B" w:rsidRDefault="00927E2B" w:rsidP="00927E2B">
            <w:pPr>
              <w:rPr>
                <w:rFonts w:cstheme="minorHAnsi"/>
              </w:rPr>
            </w:pPr>
          </w:p>
        </w:tc>
        <w:tc>
          <w:tcPr>
            <w:tcW w:w="3969" w:type="dxa"/>
            <w:tcBorders>
              <w:top w:val="dashed" w:sz="4" w:space="0" w:color="auto"/>
            </w:tcBorders>
          </w:tcPr>
          <w:p w14:paraId="79403F9D" w14:textId="77777777" w:rsidR="00927E2B" w:rsidRDefault="00927E2B" w:rsidP="00927E2B">
            <w:pPr>
              <w:jc w:val="center"/>
              <w:rPr>
                <w:rFonts w:cstheme="minorHAnsi"/>
              </w:rPr>
            </w:pPr>
            <w:r w:rsidRPr="00927E2B">
              <w:rPr>
                <w:rFonts w:cstheme="minorHAnsi"/>
              </w:rPr>
              <w:t>za zhotovitele</w:t>
            </w:r>
          </w:p>
          <w:p w14:paraId="545F3269" w14:textId="25F2B3E5" w:rsidR="00EB2AD5" w:rsidRPr="00EB2AD5" w:rsidRDefault="00EB2AD5" w:rsidP="00EB2AD5">
            <w:pPr>
              <w:jc w:val="center"/>
              <w:rPr>
                <w:rFonts w:cstheme="minorHAnsi"/>
                <w:b/>
              </w:rPr>
            </w:pPr>
            <w:r w:rsidRPr="00EB2AD5">
              <w:rPr>
                <w:rFonts w:cstheme="minorHAnsi"/>
                <w:b/>
              </w:rPr>
              <w:t xml:space="preserve">Ing. Jan Hýzl </w:t>
            </w:r>
          </w:p>
          <w:p w14:paraId="50316528" w14:textId="04BB48F7" w:rsidR="00927E2B" w:rsidRPr="00EB2AD5" w:rsidRDefault="00EB2AD5" w:rsidP="00EB2AD5">
            <w:pPr>
              <w:jc w:val="center"/>
              <w:rPr>
                <w:rFonts w:cstheme="minorHAnsi"/>
                <w:bCs/>
                <w:i/>
                <w:iCs/>
                <w:color w:val="0000FF"/>
              </w:rPr>
            </w:pPr>
            <w:r w:rsidRPr="00EB2AD5">
              <w:rPr>
                <w:rFonts w:cstheme="minorHAnsi"/>
                <w:bCs/>
              </w:rPr>
              <w:t xml:space="preserve">prokurista </w:t>
            </w:r>
          </w:p>
        </w:tc>
      </w:tr>
      <w:tr w:rsidR="007C77D5" w14:paraId="3EDFC4FC" w14:textId="77777777" w:rsidTr="00EB2AD5">
        <w:tc>
          <w:tcPr>
            <w:tcW w:w="3969" w:type="dxa"/>
          </w:tcPr>
          <w:p w14:paraId="7B0F657A" w14:textId="77777777" w:rsidR="007C77D5" w:rsidRPr="00927E2B" w:rsidRDefault="007C77D5" w:rsidP="00927E2B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18B4F149" w14:textId="77777777" w:rsidR="007C77D5" w:rsidRDefault="007C77D5" w:rsidP="00927E2B">
            <w:pPr>
              <w:rPr>
                <w:rFonts w:cstheme="minorHAnsi"/>
              </w:rPr>
            </w:pPr>
          </w:p>
        </w:tc>
        <w:tc>
          <w:tcPr>
            <w:tcW w:w="3969" w:type="dxa"/>
          </w:tcPr>
          <w:p w14:paraId="7C78DB54" w14:textId="77777777" w:rsidR="007C77D5" w:rsidRDefault="007C77D5" w:rsidP="00927E2B">
            <w:pPr>
              <w:jc w:val="center"/>
              <w:rPr>
                <w:rFonts w:cstheme="minorHAnsi"/>
              </w:rPr>
            </w:pPr>
          </w:p>
          <w:p w14:paraId="1ABDA4D6" w14:textId="77777777" w:rsidR="00EB2AD5" w:rsidRDefault="00EB2AD5" w:rsidP="00927E2B">
            <w:pPr>
              <w:jc w:val="center"/>
              <w:rPr>
                <w:rFonts w:cstheme="minorHAnsi"/>
              </w:rPr>
            </w:pPr>
          </w:p>
          <w:p w14:paraId="7D512259" w14:textId="77777777" w:rsidR="00EB2AD5" w:rsidRDefault="00EB2AD5" w:rsidP="00927E2B">
            <w:pPr>
              <w:jc w:val="center"/>
              <w:rPr>
                <w:rFonts w:cstheme="minorHAnsi"/>
              </w:rPr>
            </w:pPr>
          </w:p>
          <w:p w14:paraId="0413973B" w14:textId="77777777" w:rsidR="00EB2AD5" w:rsidRDefault="00EB2AD5" w:rsidP="00EB2AD5">
            <w:pPr>
              <w:pBdr>
                <w:bottom w:val="dashed" w:sz="4" w:space="1" w:color="auto"/>
              </w:pBdr>
              <w:jc w:val="center"/>
              <w:rPr>
                <w:rFonts w:cstheme="minorHAnsi"/>
              </w:rPr>
            </w:pPr>
          </w:p>
          <w:p w14:paraId="74CEEAAC" w14:textId="77777777" w:rsidR="00EB2AD5" w:rsidRDefault="00EB2AD5" w:rsidP="00EB2AD5">
            <w:pPr>
              <w:pBdr>
                <w:bottom w:val="dashed" w:sz="4" w:space="1" w:color="auto"/>
              </w:pBdr>
              <w:jc w:val="center"/>
              <w:rPr>
                <w:rFonts w:cstheme="minorHAnsi"/>
              </w:rPr>
            </w:pPr>
          </w:p>
          <w:p w14:paraId="45410312" w14:textId="77777777" w:rsidR="00EB2AD5" w:rsidRDefault="00EB2AD5" w:rsidP="00EB2AD5">
            <w:pPr>
              <w:pBdr>
                <w:bottom w:val="dashed" w:sz="4" w:space="1" w:color="auto"/>
              </w:pBdr>
              <w:jc w:val="center"/>
              <w:rPr>
                <w:rFonts w:cstheme="minorHAnsi"/>
              </w:rPr>
            </w:pPr>
          </w:p>
          <w:p w14:paraId="709929A6" w14:textId="77777777" w:rsidR="00EB2AD5" w:rsidRPr="00927E2B" w:rsidRDefault="00EB2AD5" w:rsidP="00927E2B">
            <w:pPr>
              <w:jc w:val="center"/>
              <w:rPr>
                <w:rFonts w:cstheme="minorHAnsi"/>
              </w:rPr>
            </w:pPr>
          </w:p>
        </w:tc>
      </w:tr>
      <w:tr w:rsidR="007C77D5" w14:paraId="15D3A47B" w14:textId="77777777" w:rsidTr="00EB2AD5">
        <w:tc>
          <w:tcPr>
            <w:tcW w:w="3969" w:type="dxa"/>
          </w:tcPr>
          <w:p w14:paraId="7055F83F" w14:textId="77777777" w:rsidR="007C77D5" w:rsidRPr="00927E2B" w:rsidRDefault="007C77D5" w:rsidP="00EB2AD5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14:paraId="2D217203" w14:textId="77777777" w:rsidR="007C77D5" w:rsidRDefault="007C77D5" w:rsidP="00927E2B">
            <w:pPr>
              <w:rPr>
                <w:rFonts w:cstheme="minorHAnsi"/>
              </w:rPr>
            </w:pPr>
          </w:p>
        </w:tc>
        <w:tc>
          <w:tcPr>
            <w:tcW w:w="3969" w:type="dxa"/>
          </w:tcPr>
          <w:p w14:paraId="035FB354" w14:textId="354FE078" w:rsidR="00EB2AD5" w:rsidRPr="00EB2AD5" w:rsidRDefault="00EB2AD5" w:rsidP="00EB2AD5">
            <w:pPr>
              <w:jc w:val="center"/>
              <w:rPr>
                <w:rFonts w:cstheme="minorHAnsi"/>
              </w:rPr>
            </w:pPr>
            <w:r w:rsidRPr="00927E2B">
              <w:rPr>
                <w:rFonts w:cstheme="minorHAnsi"/>
              </w:rPr>
              <w:t>za zhotovitele</w:t>
            </w:r>
          </w:p>
          <w:p w14:paraId="7B6025FD" w14:textId="7EE3C73F" w:rsidR="00EB2AD5" w:rsidRDefault="00EB2AD5" w:rsidP="00927E2B">
            <w:pPr>
              <w:jc w:val="center"/>
              <w:rPr>
                <w:rFonts w:cstheme="minorHAnsi"/>
                <w:b/>
              </w:rPr>
            </w:pPr>
            <w:r w:rsidRPr="00EB2AD5">
              <w:rPr>
                <w:rFonts w:cstheme="minorHAnsi"/>
                <w:b/>
              </w:rPr>
              <w:t>Ing. Jiří Svoboda, Ph.D.</w:t>
            </w:r>
          </w:p>
          <w:p w14:paraId="771FB0EE" w14:textId="4EE67D42" w:rsidR="007C77D5" w:rsidRPr="00927E2B" w:rsidRDefault="00EB2AD5" w:rsidP="00927E2B">
            <w:pPr>
              <w:jc w:val="center"/>
              <w:rPr>
                <w:rFonts w:cstheme="minorHAnsi"/>
              </w:rPr>
            </w:pPr>
            <w:r w:rsidRPr="00EB2AD5">
              <w:rPr>
                <w:rFonts w:cstheme="minorHAnsi"/>
                <w:bCs/>
              </w:rPr>
              <w:t>prokurista</w:t>
            </w:r>
          </w:p>
        </w:tc>
      </w:tr>
    </w:tbl>
    <w:p w14:paraId="42344418" w14:textId="77777777" w:rsidR="00927E2B" w:rsidRDefault="00927E2B" w:rsidP="0062294B">
      <w:pPr>
        <w:spacing w:after="0"/>
        <w:rPr>
          <w:rFonts w:cstheme="minorHAnsi"/>
        </w:rPr>
      </w:pPr>
    </w:p>
    <w:sectPr w:rsidR="00927E2B" w:rsidSect="00A70A8F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416" w:bottom="1134" w:left="1134" w:header="28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E9F536" w14:textId="77777777" w:rsidR="00510DD4" w:rsidRDefault="00510DD4" w:rsidP="00240601">
      <w:pPr>
        <w:spacing w:after="0" w:line="240" w:lineRule="auto"/>
      </w:pPr>
      <w:r>
        <w:separator/>
      </w:r>
    </w:p>
  </w:endnote>
  <w:endnote w:type="continuationSeparator" w:id="0">
    <w:p w14:paraId="2FFEFEA2" w14:textId="77777777" w:rsidR="00510DD4" w:rsidRDefault="00510DD4" w:rsidP="00240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3987775"/>
      <w:docPartObj>
        <w:docPartGallery w:val="Page Numbers (Bottom of Page)"/>
        <w:docPartUnique/>
      </w:docPartObj>
    </w:sdtPr>
    <w:sdtEndPr/>
    <w:sdtContent>
      <w:p w14:paraId="6C3B2C5A" w14:textId="77777777" w:rsidR="00F82A5E" w:rsidRDefault="00F82A5E">
        <w:pPr>
          <w:pStyle w:val="Zpat"/>
          <w:jc w:val="right"/>
        </w:pPr>
      </w:p>
      <w:p w14:paraId="35216857" w14:textId="5C902BE7" w:rsidR="00F82A5E" w:rsidRDefault="009C29C9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7BB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AC9DF5" w14:textId="77777777" w:rsidR="00F82A5E" w:rsidRDefault="00F82A5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972FF6" w14:textId="6D2638F8" w:rsidR="00A70A8F" w:rsidRDefault="00A70A8F" w:rsidP="00A70A8F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44A7BB" w14:textId="77777777" w:rsidR="00510DD4" w:rsidRDefault="00510DD4" w:rsidP="00240601">
      <w:pPr>
        <w:spacing w:after="0" w:line="240" w:lineRule="auto"/>
      </w:pPr>
      <w:r>
        <w:separator/>
      </w:r>
    </w:p>
  </w:footnote>
  <w:footnote w:type="continuationSeparator" w:id="0">
    <w:p w14:paraId="103E8BE4" w14:textId="77777777" w:rsidR="00510DD4" w:rsidRDefault="00510DD4" w:rsidP="00240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066AC9" w14:textId="77777777" w:rsidR="00F82A5E" w:rsidRDefault="00F82A5E" w:rsidP="00860E56">
    <w:pPr>
      <w:pStyle w:val="Zhlav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8E0963" w14:textId="4DFF30BC" w:rsidR="001A3443" w:rsidRDefault="001A3443" w:rsidP="003D43D9">
    <w:pPr>
      <w:pStyle w:val="Zhlav"/>
      <w:spacing w:after="360"/>
      <w:jc w:val="center"/>
    </w:pPr>
    <w:r w:rsidRPr="00AF7C5C">
      <w:rPr>
        <w:noProof/>
      </w:rPr>
      <w:drawing>
        <wp:anchor distT="0" distB="0" distL="114300" distR="114300" simplePos="0" relativeHeight="251658240" behindDoc="1" locked="0" layoutInCell="1" allowOverlap="1" wp14:anchorId="69A9C0A7" wp14:editId="515D5F46">
          <wp:simplePos x="0" y="0"/>
          <wp:positionH relativeFrom="column">
            <wp:posOffset>480060</wp:posOffset>
          </wp:positionH>
          <wp:positionV relativeFrom="paragraph">
            <wp:posOffset>200025</wp:posOffset>
          </wp:positionV>
          <wp:extent cx="4968240" cy="601980"/>
          <wp:effectExtent l="0" t="0" r="3810" b="7620"/>
          <wp:wrapNone/>
          <wp:docPr id="92840107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68240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94B017" w14:textId="4337C7F7" w:rsidR="001A3443" w:rsidRDefault="001A3443" w:rsidP="003D43D9">
    <w:pPr>
      <w:pStyle w:val="Zhlav"/>
      <w:spacing w:after="360"/>
      <w:jc w:val="center"/>
    </w:pPr>
  </w:p>
  <w:p w14:paraId="37148BE6" w14:textId="43A65FD7" w:rsidR="003D43D9" w:rsidRDefault="003D43D9" w:rsidP="003D43D9">
    <w:pPr>
      <w:pStyle w:val="Zhlav"/>
      <w:spacing w:after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64AFA"/>
    <w:multiLevelType w:val="hybridMultilevel"/>
    <w:tmpl w:val="A082081E"/>
    <w:lvl w:ilvl="0" w:tplc="4FCCC41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28280C2A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5B0D0B"/>
    <w:multiLevelType w:val="hybridMultilevel"/>
    <w:tmpl w:val="A082081E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AB624B0"/>
    <w:multiLevelType w:val="hybridMultilevel"/>
    <w:tmpl w:val="6E8C68C2"/>
    <w:lvl w:ilvl="0" w:tplc="3CAA9498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C73555B"/>
    <w:multiLevelType w:val="hybridMultilevel"/>
    <w:tmpl w:val="79B802E8"/>
    <w:lvl w:ilvl="0" w:tplc="A0962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4CD4819"/>
    <w:multiLevelType w:val="hybridMultilevel"/>
    <w:tmpl w:val="7C4E3EE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54547C0"/>
    <w:multiLevelType w:val="hybridMultilevel"/>
    <w:tmpl w:val="C766141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0F36724"/>
    <w:multiLevelType w:val="hybridMultilevel"/>
    <w:tmpl w:val="A082081E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EF0"/>
    <w:rsid w:val="00004CE1"/>
    <w:rsid w:val="00005948"/>
    <w:rsid w:val="00006E82"/>
    <w:rsid w:val="00010024"/>
    <w:rsid w:val="000119DB"/>
    <w:rsid w:val="00015EAD"/>
    <w:rsid w:val="00017676"/>
    <w:rsid w:val="00027BB5"/>
    <w:rsid w:val="00031A6F"/>
    <w:rsid w:val="000342D5"/>
    <w:rsid w:val="00034D03"/>
    <w:rsid w:val="00040CCF"/>
    <w:rsid w:val="00042D3C"/>
    <w:rsid w:val="00045B55"/>
    <w:rsid w:val="000513B0"/>
    <w:rsid w:val="00062295"/>
    <w:rsid w:val="00072B19"/>
    <w:rsid w:val="000743AF"/>
    <w:rsid w:val="00076A72"/>
    <w:rsid w:val="0007777B"/>
    <w:rsid w:val="000805D5"/>
    <w:rsid w:val="00080A0E"/>
    <w:rsid w:val="00085453"/>
    <w:rsid w:val="00087A3A"/>
    <w:rsid w:val="0009032D"/>
    <w:rsid w:val="000A43E8"/>
    <w:rsid w:val="000C6426"/>
    <w:rsid w:val="000D0690"/>
    <w:rsid w:val="000D09B9"/>
    <w:rsid w:val="000D0CB8"/>
    <w:rsid w:val="000E3F49"/>
    <w:rsid w:val="000E586C"/>
    <w:rsid w:val="000E7D2B"/>
    <w:rsid w:val="000F2947"/>
    <w:rsid w:val="000F7DF2"/>
    <w:rsid w:val="00103AF1"/>
    <w:rsid w:val="001115AE"/>
    <w:rsid w:val="00117DF7"/>
    <w:rsid w:val="0014506C"/>
    <w:rsid w:val="00154220"/>
    <w:rsid w:val="001571A5"/>
    <w:rsid w:val="0016499D"/>
    <w:rsid w:val="0016538E"/>
    <w:rsid w:val="001743E9"/>
    <w:rsid w:val="00185EDB"/>
    <w:rsid w:val="00191FF1"/>
    <w:rsid w:val="0019284A"/>
    <w:rsid w:val="001A03BD"/>
    <w:rsid w:val="001A3443"/>
    <w:rsid w:val="001C5D2B"/>
    <w:rsid w:val="001C6A23"/>
    <w:rsid w:val="001C7913"/>
    <w:rsid w:val="001D0804"/>
    <w:rsid w:val="001E3A59"/>
    <w:rsid w:val="001F0874"/>
    <w:rsid w:val="002021B8"/>
    <w:rsid w:val="002035A7"/>
    <w:rsid w:val="00205F80"/>
    <w:rsid w:val="00212B92"/>
    <w:rsid w:val="00216981"/>
    <w:rsid w:val="002206EE"/>
    <w:rsid w:val="00221748"/>
    <w:rsid w:val="0022301E"/>
    <w:rsid w:val="00223B08"/>
    <w:rsid w:val="002259E5"/>
    <w:rsid w:val="00225B48"/>
    <w:rsid w:val="00227B26"/>
    <w:rsid w:val="00232B9C"/>
    <w:rsid w:val="00240601"/>
    <w:rsid w:val="002432D6"/>
    <w:rsid w:val="00243DFA"/>
    <w:rsid w:val="00251F6B"/>
    <w:rsid w:val="002564D1"/>
    <w:rsid w:val="00260E5A"/>
    <w:rsid w:val="0027197A"/>
    <w:rsid w:val="00273479"/>
    <w:rsid w:val="002801E1"/>
    <w:rsid w:val="00280549"/>
    <w:rsid w:val="00281C37"/>
    <w:rsid w:val="00282CCD"/>
    <w:rsid w:val="00294F4B"/>
    <w:rsid w:val="00297BEA"/>
    <w:rsid w:val="002A10ED"/>
    <w:rsid w:val="002A3B58"/>
    <w:rsid w:val="002B0C80"/>
    <w:rsid w:val="002C3632"/>
    <w:rsid w:val="002D7DDE"/>
    <w:rsid w:val="002E3B3D"/>
    <w:rsid w:val="002F5CF6"/>
    <w:rsid w:val="002F70E2"/>
    <w:rsid w:val="00310F35"/>
    <w:rsid w:val="00315DE4"/>
    <w:rsid w:val="0031798E"/>
    <w:rsid w:val="00320168"/>
    <w:rsid w:val="00336784"/>
    <w:rsid w:val="00342DAF"/>
    <w:rsid w:val="00346348"/>
    <w:rsid w:val="00354D7D"/>
    <w:rsid w:val="00381D6D"/>
    <w:rsid w:val="003842C4"/>
    <w:rsid w:val="00384C4B"/>
    <w:rsid w:val="00384E4A"/>
    <w:rsid w:val="00385242"/>
    <w:rsid w:val="00390301"/>
    <w:rsid w:val="0039341C"/>
    <w:rsid w:val="00394CB5"/>
    <w:rsid w:val="0039527F"/>
    <w:rsid w:val="0039665A"/>
    <w:rsid w:val="003B008A"/>
    <w:rsid w:val="003B07C8"/>
    <w:rsid w:val="003B68DE"/>
    <w:rsid w:val="003C1AD3"/>
    <w:rsid w:val="003C2430"/>
    <w:rsid w:val="003C49DC"/>
    <w:rsid w:val="003D1330"/>
    <w:rsid w:val="003D163B"/>
    <w:rsid w:val="003D3FBC"/>
    <w:rsid w:val="003D43D9"/>
    <w:rsid w:val="003D49B0"/>
    <w:rsid w:val="003D6A70"/>
    <w:rsid w:val="003E0B56"/>
    <w:rsid w:val="003E0CF8"/>
    <w:rsid w:val="003E319D"/>
    <w:rsid w:val="003F11AB"/>
    <w:rsid w:val="00405C6A"/>
    <w:rsid w:val="00406231"/>
    <w:rsid w:val="004161E1"/>
    <w:rsid w:val="00420CD7"/>
    <w:rsid w:val="00454798"/>
    <w:rsid w:val="00461A50"/>
    <w:rsid w:val="004700ED"/>
    <w:rsid w:val="004749A9"/>
    <w:rsid w:val="0048472E"/>
    <w:rsid w:val="0048665E"/>
    <w:rsid w:val="00491BA9"/>
    <w:rsid w:val="00497A86"/>
    <w:rsid w:val="004A0D4C"/>
    <w:rsid w:val="004A31E5"/>
    <w:rsid w:val="004A3936"/>
    <w:rsid w:val="004B47DC"/>
    <w:rsid w:val="004C04C6"/>
    <w:rsid w:val="004C14ED"/>
    <w:rsid w:val="004C6E9B"/>
    <w:rsid w:val="004D70A1"/>
    <w:rsid w:val="004E08CE"/>
    <w:rsid w:val="004F2456"/>
    <w:rsid w:val="004F4A35"/>
    <w:rsid w:val="004F66FD"/>
    <w:rsid w:val="00501084"/>
    <w:rsid w:val="00503BEF"/>
    <w:rsid w:val="00504B1D"/>
    <w:rsid w:val="00510DD4"/>
    <w:rsid w:val="005122C8"/>
    <w:rsid w:val="00522EC0"/>
    <w:rsid w:val="00534294"/>
    <w:rsid w:val="005417FF"/>
    <w:rsid w:val="00546759"/>
    <w:rsid w:val="00557830"/>
    <w:rsid w:val="00562C79"/>
    <w:rsid w:val="00564149"/>
    <w:rsid w:val="0056750A"/>
    <w:rsid w:val="005721CE"/>
    <w:rsid w:val="00580C69"/>
    <w:rsid w:val="005872A5"/>
    <w:rsid w:val="00594635"/>
    <w:rsid w:val="00594A31"/>
    <w:rsid w:val="00594C9C"/>
    <w:rsid w:val="005A0E93"/>
    <w:rsid w:val="005A1FC3"/>
    <w:rsid w:val="005A4402"/>
    <w:rsid w:val="005B1DD3"/>
    <w:rsid w:val="005B2C1C"/>
    <w:rsid w:val="005B7AFD"/>
    <w:rsid w:val="005C19E8"/>
    <w:rsid w:val="005C7399"/>
    <w:rsid w:val="005D7482"/>
    <w:rsid w:val="005E4A73"/>
    <w:rsid w:val="005E6F3E"/>
    <w:rsid w:val="005F3CBD"/>
    <w:rsid w:val="005F6E5A"/>
    <w:rsid w:val="00600C04"/>
    <w:rsid w:val="00600CC7"/>
    <w:rsid w:val="0060194F"/>
    <w:rsid w:val="0060409F"/>
    <w:rsid w:val="0060465F"/>
    <w:rsid w:val="0062294B"/>
    <w:rsid w:val="00632C39"/>
    <w:rsid w:val="006356C2"/>
    <w:rsid w:val="00635815"/>
    <w:rsid w:val="00657B67"/>
    <w:rsid w:val="006719B0"/>
    <w:rsid w:val="00680694"/>
    <w:rsid w:val="006905DC"/>
    <w:rsid w:val="00691C6C"/>
    <w:rsid w:val="006957AE"/>
    <w:rsid w:val="006A3A12"/>
    <w:rsid w:val="006A7BFB"/>
    <w:rsid w:val="006C77F3"/>
    <w:rsid w:val="006D0FD7"/>
    <w:rsid w:val="006D5C17"/>
    <w:rsid w:val="006E5CF9"/>
    <w:rsid w:val="006E7AA0"/>
    <w:rsid w:val="00700761"/>
    <w:rsid w:val="00706F7D"/>
    <w:rsid w:val="00710B46"/>
    <w:rsid w:val="007138E9"/>
    <w:rsid w:val="00714DA7"/>
    <w:rsid w:val="00717D3A"/>
    <w:rsid w:val="00721186"/>
    <w:rsid w:val="00721558"/>
    <w:rsid w:val="007321D3"/>
    <w:rsid w:val="00745F5E"/>
    <w:rsid w:val="0074739B"/>
    <w:rsid w:val="00754389"/>
    <w:rsid w:val="00756B55"/>
    <w:rsid w:val="0075777D"/>
    <w:rsid w:val="0076166E"/>
    <w:rsid w:val="007636C7"/>
    <w:rsid w:val="00771098"/>
    <w:rsid w:val="0077351C"/>
    <w:rsid w:val="00783291"/>
    <w:rsid w:val="007869D2"/>
    <w:rsid w:val="007932F3"/>
    <w:rsid w:val="00795F0E"/>
    <w:rsid w:val="00797822"/>
    <w:rsid w:val="007A13B2"/>
    <w:rsid w:val="007B0338"/>
    <w:rsid w:val="007B450C"/>
    <w:rsid w:val="007C77D5"/>
    <w:rsid w:val="007D0087"/>
    <w:rsid w:val="007D22BF"/>
    <w:rsid w:val="007D30CD"/>
    <w:rsid w:val="007D4ECB"/>
    <w:rsid w:val="007D7FD5"/>
    <w:rsid w:val="007E0174"/>
    <w:rsid w:val="007E676E"/>
    <w:rsid w:val="007F1AA6"/>
    <w:rsid w:val="007F4217"/>
    <w:rsid w:val="007F7ABC"/>
    <w:rsid w:val="00807C4A"/>
    <w:rsid w:val="00816F46"/>
    <w:rsid w:val="00821866"/>
    <w:rsid w:val="00822930"/>
    <w:rsid w:val="00822FBC"/>
    <w:rsid w:val="00834C36"/>
    <w:rsid w:val="00846D61"/>
    <w:rsid w:val="00847DD2"/>
    <w:rsid w:val="00850E66"/>
    <w:rsid w:val="00851F20"/>
    <w:rsid w:val="00853612"/>
    <w:rsid w:val="00853CE8"/>
    <w:rsid w:val="00860E56"/>
    <w:rsid w:val="00872E94"/>
    <w:rsid w:val="00874D2E"/>
    <w:rsid w:val="008865FF"/>
    <w:rsid w:val="00891A13"/>
    <w:rsid w:val="00893F0E"/>
    <w:rsid w:val="00896AD1"/>
    <w:rsid w:val="00897523"/>
    <w:rsid w:val="008A2C15"/>
    <w:rsid w:val="008A3686"/>
    <w:rsid w:val="008B48E3"/>
    <w:rsid w:val="008C4975"/>
    <w:rsid w:val="008C6B30"/>
    <w:rsid w:val="008D2122"/>
    <w:rsid w:val="008D6694"/>
    <w:rsid w:val="008E3794"/>
    <w:rsid w:val="008E5115"/>
    <w:rsid w:val="008E594B"/>
    <w:rsid w:val="008E669C"/>
    <w:rsid w:val="008F5A37"/>
    <w:rsid w:val="00900247"/>
    <w:rsid w:val="0090107B"/>
    <w:rsid w:val="009077DA"/>
    <w:rsid w:val="009160B0"/>
    <w:rsid w:val="009218F2"/>
    <w:rsid w:val="00922898"/>
    <w:rsid w:val="009230CD"/>
    <w:rsid w:val="00925C7E"/>
    <w:rsid w:val="00926712"/>
    <w:rsid w:val="00927E2B"/>
    <w:rsid w:val="00931434"/>
    <w:rsid w:val="00953262"/>
    <w:rsid w:val="00960534"/>
    <w:rsid w:val="009819BF"/>
    <w:rsid w:val="00981D32"/>
    <w:rsid w:val="0098369C"/>
    <w:rsid w:val="00992BA0"/>
    <w:rsid w:val="00996E8A"/>
    <w:rsid w:val="009A3AD6"/>
    <w:rsid w:val="009A4BB7"/>
    <w:rsid w:val="009A72A2"/>
    <w:rsid w:val="009B4726"/>
    <w:rsid w:val="009B4869"/>
    <w:rsid w:val="009C0917"/>
    <w:rsid w:val="009C1F4B"/>
    <w:rsid w:val="009C29C9"/>
    <w:rsid w:val="009D53DD"/>
    <w:rsid w:val="009E1F8B"/>
    <w:rsid w:val="009E57F4"/>
    <w:rsid w:val="009E6450"/>
    <w:rsid w:val="009E6EC1"/>
    <w:rsid w:val="00A12541"/>
    <w:rsid w:val="00A1343F"/>
    <w:rsid w:val="00A17946"/>
    <w:rsid w:val="00A17E79"/>
    <w:rsid w:val="00A26563"/>
    <w:rsid w:val="00A26C43"/>
    <w:rsid w:val="00A30213"/>
    <w:rsid w:val="00A33EBC"/>
    <w:rsid w:val="00A37759"/>
    <w:rsid w:val="00A43229"/>
    <w:rsid w:val="00A456CC"/>
    <w:rsid w:val="00A6117D"/>
    <w:rsid w:val="00A63042"/>
    <w:rsid w:val="00A659ED"/>
    <w:rsid w:val="00A667E9"/>
    <w:rsid w:val="00A70A8F"/>
    <w:rsid w:val="00A80EB2"/>
    <w:rsid w:val="00A8504C"/>
    <w:rsid w:val="00A97D38"/>
    <w:rsid w:val="00AA1D09"/>
    <w:rsid w:val="00AA25F5"/>
    <w:rsid w:val="00AB6EA1"/>
    <w:rsid w:val="00AC2ED7"/>
    <w:rsid w:val="00AD338E"/>
    <w:rsid w:val="00AE2286"/>
    <w:rsid w:val="00AF5DEF"/>
    <w:rsid w:val="00B003BE"/>
    <w:rsid w:val="00B00B02"/>
    <w:rsid w:val="00B0201C"/>
    <w:rsid w:val="00B02318"/>
    <w:rsid w:val="00B06C45"/>
    <w:rsid w:val="00B16645"/>
    <w:rsid w:val="00B16DB5"/>
    <w:rsid w:val="00B26B83"/>
    <w:rsid w:val="00B36E94"/>
    <w:rsid w:val="00B40AF2"/>
    <w:rsid w:val="00B41C46"/>
    <w:rsid w:val="00B51101"/>
    <w:rsid w:val="00B51745"/>
    <w:rsid w:val="00B638F5"/>
    <w:rsid w:val="00B6604C"/>
    <w:rsid w:val="00B80D9E"/>
    <w:rsid w:val="00B83E60"/>
    <w:rsid w:val="00BA1DF7"/>
    <w:rsid w:val="00BA2608"/>
    <w:rsid w:val="00BA268C"/>
    <w:rsid w:val="00BA748F"/>
    <w:rsid w:val="00BA7660"/>
    <w:rsid w:val="00BB00C7"/>
    <w:rsid w:val="00BB3B57"/>
    <w:rsid w:val="00BB73B4"/>
    <w:rsid w:val="00BC5ABB"/>
    <w:rsid w:val="00BC5D00"/>
    <w:rsid w:val="00BD483B"/>
    <w:rsid w:val="00BE6319"/>
    <w:rsid w:val="00BE77CA"/>
    <w:rsid w:val="00BF25E8"/>
    <w:rsid w:val="00BF57BA"/>
    <w:rsid w:val="00BF78DE"/>
    <w:rsid w:val="00BF7E3D"/>
    <w:rsid w:val="00C0556C"/>
    <w:rsid w:val="00C07B3D"/>
    <w:rsid w:val="00C364BE"/>
    <w:rsid w:val="00C42006"/>
    <w:rsid w:val="00C53EEE"/>
    <w:rsid w:val="00C57CC9"/>
    <w:rsid w:val="00C61310"/>
    <w:rsid w:val="00C702D4"/>
    <w:rsid w:val="00C719DA"/>
    <w:rsid w:val="00C83932"/>
    <w:rsid w:val="00C9167E"/>
    <w:rsid w:val="00C96AE7"/>
    <w:rsid w:val="00CA5C9B"/>
    <w:rsid w:val="00CB03B9"/>
    <w:rsid w:val="00CB582E"/>
    <w:rsid w:val="00CB5D7D"/>
    <w:rsid w:val="00CC2054"/>
    <w:rsid w:val="00CC322D"/>
    <w:rsid w:val="00CC6BC7"/>
    <w:rsid w:val="00CD48BA"/>
    <w:rsid w:val="00CE122E"/>
    <w:rsid w:val="00D00A45"/>
    <w:rsid w:val="00D0411C"/>
    <w:rsid w:val="00D15841"/>
    <w:rsid w:val="00D16E8C"/>
    <w:rsid w:val="00D22380"/>
    <w:rsid w:val="00D24BDB"/>
    <w:rsid w:val="00D27C56"/>
    <w:rsid w:val="00D33684"/>
    <w:rsid w:val="00D375F6"/>
    <w:rsid w:val="00D37643"/>
    <w:rsid w:val="00D40372"/>
    <w:rsid w:val="00D408D9"/>
    <w:rsid w:val="00D461E6"/>
    <w:rsid w:val="00D564F6"/>
    <w:rsid w:val="00D71976"/>
    <w:rsid w:val="00D80B85"/>
    <w:rsid w:val="00D82E55"/>
    <w:rsid w:val="00D87EA5"/>
    <w:rsid w:val="00D90A26"/>
    <w:rsid w:val="00D95CF3"/>
    <w:rsid w:val="00DA51E6"/>
    <w:rsid w:val="00DB38AA"/>
    <w:rsid w:val="00DB5287"/>
    <w:rsid w:val="00DB795B"/>
    <w:rsid w:val="00DC2CE2"/>
    <w:rsid w:val="00DC432D"/>
    <w:rsid w:val="00DD1A3A"/>
    <w:rsid w:val="00DD2875"/>
    <w:rsid w:val="00DD30B7"/>
    <w:rsid w:val="00DD33A8"/>
    <w:rsid w:val="00DD41B7"/>
    <w:rsid w:val="00DD6E07"/>
    <w:rsid w:val="00DD7056"/>
    <w:rsid w:val="00DE2C36"/>
    <w:rsid w:val="00DE72AF"/>
    <w:rsid w:val="00DE7FF6"/>
    <w:rsid w:val="00DF22EC"/>
    <w:rsid w:val="00DF263C"/>
    <w:rsid w:val="00E01C0D"/>
    <w:rsid w:val="00E04336"/>
    <w:rsid w:val="00E11A2C"/>
    <w:rsid w:val="00E13954"/>
    <w:rsid w:val="00E14B1C"/>
    <w:rsid w:val="00E15DFC"/>
    <w:rsid w:val="00E17687"/>
    <w:rsid w:val="00E25542"/>
    <w:rsid w:val="00E2653E"/>
    <w:rsid w:val="00E27EF4"/>
    <w:rsid w:val="00E30485"/>
    <w:rsid w:val="00E36479"/>
    <w:rsid w:val="00E36988"/>
    <w:rsid w:val="00E373FB"/>
    <w:rsid w:val="00E40B99"/>
    <w:rsid w:val="00E52C6A"/>
    <w:rsid w:val="00E560E5"/>
    <w:rsid w:val="00E64977"/>
    <w:rsid w:val="00E65D2C"/>
    <w:rsid w:val="00E76E74"/>
    <w:rsid w:val="00E83B7F"/>
    <w:rsid w:val="00E84E22"/>
    <w:rsid w:val="00E8660C"/>
    <w:rsid w:val="00E93851"/>
    <w:rsid w:val="00E9651C"/>
    <w:rsid w:val="00EA10F8"/>
    <w:rsid w:val="00EB00A5"/>
    <w:rsid w:val="00EB2AD5"/>
    <w:rsid w:val="00EB3653"/>
    <w:rsid w:val="00EB6469"/>
    <w:rsid w:val="00EC06AB"/>
    <w:rsid w:val="00EC6115"/>
    <w:rsid w:val="00EC6429"/>
    <w:rsid w:val="00EC66B1"/>
    <w:rsid w:val="00ED053A"/>
    <w:rsid w:val="00ED6297"/>
    <w:rsid w:val="00EE1082"/>
    <w:rsid w:val="00EE41CE"/>
    <w:rsid w:val="00EF0A23"/>
    <w:rsid w:val="00EF2658"/>
    <w:rsid w:val="00EF37B9"/>
    <w:rsid w:val="00F00BFA"/>
    <w:rsid w:val="00F023CC"/>
    <w:rsid w:val="00F034B3"/>
    <w:rsid w:val="00F069F7"/>
    <w:rsid w:val="00F1434A"/>
    <w:rsid w:val="00F2207F"/>
    <w:rsid w:val="00F2705F"/>
    <w:rsid w:val="00F35B2B"/>
    <w:rsid w:val="00F42A44"/>
    <w:rsid w:val="00F55502"/>
    <w:rsid w:val="00F57469"/>
    <w:rsid w:val="00F61809"/>
    <w:rsid w:val="00F62EC3"/>
    <w:rsid w:val="00F82A5E"/>
    <w:rsid w:val="00F85AAA"/>
    <w:rsid w:val="00F912A2"/>
    <w:rsid w:val="00FB320D"/>
    <w:rsid w:val="00FB4922"/>
    <w:rsid w:val="00FB56FB"/>
    <w:rsid w:val="00FC0998"/>
    <w:rsid w:val="00FC7DA7"/>
    <w:rsid w:val="00FD0899"/>
    <w:rsid w:val="00FD0CFA"/>
    <w:rsid w:val="00FD5382"/>
    <w:rsid w:val="00FE23F7"/>
    <w:rsid w:val="00FE6376"/>
    <w:rsid w:val="00FF680E"/>
    <w:rsid w:val="00FF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F7CC3E"/>
  <w15:docId w15:val="{10102A9D-7AA5-4E36-A00E-141C8AE5F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B2AD5"/>
  </w:style>
  <w:style w:type="paragraph" w:styleId="Nadpis1">
    <w:name w:val="heading 1"/>
    <w:basedOn w:val="Normln"/>
    <w:next w:val="Normln"/>
    <w:link w:val="Nadpis1Char"/>
    <w:uiPriority w:val="9"/>
    <w:qFormat/>
    <w:rsid w:val="009A4B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adpis1"/>
    <w:next w:val="Normln"/>
    <w:link w:val="Nadpis2Char"/>
    <w:qFormat/>
    <w:rsid w:val="009A4BB7"/>
    <w:pPr>
      <w:keepNext w:val="0"/>
      <w:tabs>
        <w:tab w:val="left" w:pos="-2410"/>
      </w:tabs>
      <w:overflowPunct w:val="0"/>
      <w:autoSpaceDE w:val="0"/>
      <w:autoSpaceDN w:val="0"/>
      <w:adjustRightInd w:val="0"/>
      <w:spacing w:before="120" w:after="120" w:line="240" w:lineRule="auto"/>
      <w:ind w:left="851" w:hanging="851"/>
      <w:textAlignment w:val="baseline"/>
      <w:outlineLvl w:val="1"/>
    </w:pPr>
    <w:rPr>
      <w:rFonts w:ascii="Arial" w:eastAsia="Times New Roman" w:hAnsi="Arial" w:cs="Times New Roman"/>
      <w:b w:val="0"/>
      <w:bCs w:val="0"/>
      <w:color w:val="auto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8504C"/>
    <w:pPr>
      <w:widowControl w:val="0"/>
      <w:tabs>
        <w:tab w:val="left" w:pos="851"/>
        <w:tab w:val="left" w:pos="1418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4"/>
      <w:szCs w:val="20"/>
    </w:rPr>
  </w:style>
  <w:style w:type="character" w:styleId="slostrnky">
    <w:name w:val="page number"/>
    <w:basedOn w:val="Standardnpsmoodstavce"/>
    <w:rsid w:val="00A8504C"/>
    <w:rPr>
      <w:rFonts w:ascii="Arial" w:hAnsi="Arial"/>
      <w:sz w:val="20"/>
    </w:rPr>
  </w:style>
  <w:style w:type="paragraph" w:styleId="Odstavecseseznamem">
    <w:name w:val="List Paragraph"/>
    <w:aliases w:val="nad 1,Název grafu,Nad,Odstavec_muj"/>
    <w:basedOn w:val="Normln"/>
    <w:link w:val="OdstavecseseznamemChar"/>
    <w:uiPriority w:val="34"/>
    <w:qFormat/>
    <w:rsid w:val="009C0917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9A4BB7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9A4B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6538E"/>
    <w:rPr>
      <w:rFonts w:cs="Times New Roman"/>
      <w:color w:val="0000FF" w:themeColor="hyperlink"/>
      <w:u w:val="single"/>
    </w:rPr>
  </w:style>
  <w:style w:type="paragraph" w:styleId="Zhlav">
    <w:name w:val="header"/>
    <w:basedOn w:val="Normln"/>
    <w:link w:val="ZhlavChar"/>
    <w:unhideWhenUsed/>
    <w:rsid w:val="00240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240601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40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40601"/>
    <w:rPr>
      <w:rFonts w:eastAsiaTheme="minorEastAsia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7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7822"/>
    <w:rPr>
      <w:rFonts w:ascii="Tahoma" w:eastAsiaTheme="minorEastAsia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702D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702D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702D4"/>
    <w:rPr>
      <w:rFonts w:eastAsiaTheme="minorEastAsia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702D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702D4"/>
    <w:rPr>
      <w:rFonts w:eastAsiaTheme="minorEastAsia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C702D4"/>
    <w:pPr>
      <w:spacing w:after="0" w:line="240" w:lineRule="auto"/>
    </w:pPr>
  </w:style>
  <w:style w:type="paragraph" w:styleId="Textvbloku">
    <w:name w:val="Block Text"/>
    <w:basedOn w:val="Normln"/>
    <w:rsid w:val="00E93851"/>
    <w:pPr>
      <w:widowControl w:val="0"/>
      <w:spacing w:after="0" w:line="240" w:lineRule="auto"/>
      <w:ind w:right="-92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Zkladntext">
    <w:name w:val="Body Text"/>
    <w:basedOn w:val="Normln"/>
    <w:link w:val="ZkladntextChar"/>
    <w:rsid w:val="00BF7E3D"/>
    <w:pPr>
      <w:spacing w:before="10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BF7E3D"/>
    <w:rPr>
      <w:rFonts w:ascii="Times New Roman" w:eastAsia="Times New Roman" w:hAnsi="Times New Roman" w:cs="Times New Roman"/>
      <w:sz w:val="24"/>
      <w:szCs w:val="20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BF7E3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BF7E3D"/>
  </w:style>
  <w:style w:type="paragraph" w:customStyle="1" w:styleId="Odstavec">
    <w:name w:val="Odstavec"/>
    <w:basedOn w:val="Zkladntext"/>
    <w:link w:val="OdstavecChar"/>
    <w:rsid w:val="00B80D9E"/>
    <w:pPr>
      <w:widowControl w:val="0"/>
      <w:spacing w:before="0"/>
      <w:ind w:firstLine="539"/>
      <w:jc w:val="both"/>
    </w:pPr>
    <w:rPr>
      <w:noProof/>
      <w:color w:val="000000"/>
      <w:szCs w:val="24"/>
      <w:lang w:val="x-none" w:eastAsia="x-none"/>
    </w:rPr>
  </w:style>
  <w:style w:type="character" w:customStyle="1" w:styleId="OdstavecChar">
    <w:name w:val="Odstavec Char"/>
    <w:basedOn w:val="ZkladntextChar"/>
    <w:link w:val="Odstavec"/>
    <w:rsid w:val="00B80D9E"/>
    <w:rPr>
      <w:rFonts w:ascii="Times New Roman" w:eastAsia="Times New Roman" w:hAnsi="Times New Roman" w:cs="Times New Roman"/>
      <w:noProof/>
      <w:color w:val="000000"/>
      <w:sz w:val="24"/>
      <w:szCs w:val="24"/>
      <w:lang w:val="x-none" w:eastAsia="x-none"/>
    </w:rPr>
  </w:style>
  <w:style w:type="paragraph" w:customStyle="1" w:styleId="Nadpis">
    <w:name w:val="Nadpis"/>
    <w:basedOn w:val="Zkladntext"/>
    <w:rsid w:val="00B80D9E"/>
    <w:pPr>
      <w:widowControl w:val="0"/>
      <w:spacing w:before="360" w:after="180"/>
      <w:jc w:val="center"/>
    </w:pPr>
    <w:rPr>
      <w:noProof/>
      <w:color w:val="000000"/>
      <w:sz w:val="48"/>
      <w:szCs w:val="48"/>
      <w:lang w:val="x-none" w:eastAsia="x-none"/>
    </w:rPr>
  </w:style>
  <w:style w:type="paragraph" w:customStyle="1" w:styleId="Normln1">
    <w:name w:val="Normální1"/>
    <w:basedOn w:val="Normln"/>
    <w:rsid w:val="00B80D9E"/>
    <w:pPr>
      <w:widowControl w:val="0"/>
      <w:spacing w:after="0" w:line="247" w:lineRule="auto"/>
    </w:pPr>
    <w:rPr>
      <w:rFonts w:ascii="Times New Roman" w:eastAsia="Times New Roman" w:hAnsi="Times New Roman" w:cs="Times New Roman"/>
      <w:noProof/>
      <w:color w:val="000000"/>
      <w:sz w:val="20"/>
      <w:szCs w:val="20"/>
    </w:rPr>
  </w:style>
  <w:style w:type="paragraph" w:customStyle="1" w:styleId="Odstavecodsazen">
    <w:name w:val="Odstavec odsazený"/>
    <w:basedOn w:val="Odstavec"/>
    <w:link w:val="OdstavecodsazenChar"/>
    <w:rsid w:val="00D564F6"/>
    <w:pPr>
      <w:tabs>
        <w:tab w:val="left" w:pos="1699"/>
      </w:tabs>
      <w:ind w:left="1332" w:hanging="849"/>
    </w:pPr>
  </w:style>
  <w:style w:type="character" w:customStyle="1" w:styleId="OdstavecodsazenChar">
    <w:name w:val="Odstavec odsazený Char"/>
    <w:basedOn w:val="OdstavecChar"/>
    <w:link w:val="Odstavecodsazen"/>
    <w:rsid w:val="00D564F6"/>
    <w:rPr>
      <w:rFonts w:ascii="Times New Roman" w:eastAsia="Times New Roman" w:hAnsi="Times New Roman" w:cs="Times New Roman"/>
      <w:noProof/>
      <w:color w:val="000000"/>
      <w:sz w:val="24"/>
      <w:szCs w:val="24"/>
      <w:lang w:val="x-none" w:eastAsia="x-none"/>
    </w:rPr>
  </w:style>
  <w:style w:type="paragraph" w:styleId="Nzev">
    <w:name w:val="Title"/>
    <w:basedOn w:val="Normln"/>
    <w:link w:val="NzevChar"/>
    <w:qFormat/>
    <w:rsid w:val="003B68D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NzevChar">
    <w:name w:val="Název Char"/>
    <w:basedOn w:val="Standardnpsmoodstavce"/>
    <w:link w:val="Nzev"/>
    <w:rsid w:val="003B68DE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OdstavecseseznamemChar">
    <w:name w:val="Odstavec se seznamem Char"/>
    <w:aliases w:val="nad 1 Char,Název grafu Char,Nad Char,Odstavec_muj Char"/>
    <w:link w:val="Odstavecseseznamem"/>
    <w:uiPriority w:val="34"/>
    <w:locked/>
    <w:rsid w:val="001E3A59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FE23F7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927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D41B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2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vorka@hss-olomouc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804574-6199-4EC6-A961-CC630B147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1433</Words>
  <Characters>8458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 Zabreh</Company>
  <LinksUpToDate>false</LinksUpToDate>
  <CharactersWithSpaces>9872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David Berka</cp:lastModifiedBy>
  <cp:revision>2</cp:revision>
  <cp:lastPrinted>2024-11-25T08:46:00Z</cp:lastPrinted>
  <dcterms:created xsi:type="dcterms:W3CDTF">2024-11-29T11:29:00Z</dcterms:created>
  <dcterms:modified xsi:type="dcterms:W3CDTF">2024-11-29T11:29:00Z</dcterms:modified>
</cp:coreProperties>
</file>