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B3033B7" w:rsidR="00EB5B24" w:rsidRPr="00343967" w:rsidRDefault="00343967" w:rsidP="00343967">
      <w:pPr>
        <w:pStyle w:val="slolnkuSmlouvy"/>
        <w:spacing w:before="360"/>
        <w:rPr>
          <w:rFonts w:ascii="Tahoma" w:hAnsi="Tahoma" w:cs="Tahoma"/>
          <w:caps/>
          <w:sz w:val="22"/>
          <w:szCs w:val="22"/>
        </w:rPr>
      </w:pPr>
      <w:r w:rsidRPr="00343967">
        <w:rPr>
          <w:rFonts w:ascii="Tahoma" w:hAnsi="Tahoma" w:cs="Tahoma"/>
          <w:sz w:val="22"/>
          <w:szCs w:val="22"/>
        </w:rPr>
        <w:br/>
      </w:r>
      <w:r w:rsidR="00EB5B24" w:rsidRPr="00343967">
        <w:rPr>
          <w:rFonts w:ascii="Tahoma" w:hAnsi="Tahoma" w:cs="Tahoma"/>
          <w:sz w:val="22"/>
          <w:szCs w:val="22"/>
        </w:rPr>
        <w:t>Smluvní strany</w:t>
      </w:r>
    </w:p>
    <w:p w14:paraId="377F479B" w14:textId="779AEBB4" w:rsidR="00066D69" w:rsidRPr="00D534FF" w:rsidRDefault="00D534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D534FF">
        <w:rPr>
          <w:rFonts w:ascii="Tahoma" w:hAnsi="Tahoma" w:cs="Tahoma"/>
          <w:b/>
          <w:bCs/>
          <w:sz w:val="22"/>
          <w:szCs w:val="22"/>
        </w:rPr>
        <w:t>Náš svět, příspěvková organizace</w:t>
      </w:r>
    </w:p>
    <w:p w14:paraId="28EAD3D6" w14:textId="4D094A25" w:rsidR="00066D69" w:rsidRPr="00D534FF" w:rsidRDefault="00066D69"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se sídlem:</w:t>
      </w:r>
      <w:r w:rsidR="00D534FF" w:rsidRPr="00D534FF">
        <w:rPr>
          <w:rFonts w:ascii="Tahoma" w:hAnsi="Tahoma" w:cs="Tahoma"/>
          <w:sz w:val="22"/>
          <w:szCs w:val="22"/>
        </w:rPr>
        <w:t xml:space="preserve"> č. p. 239, 739 </w:t>
      </w:r>
      <w:r w:rsidR="00B60457" w:rsidRPr="00D534FF">
        <w:rPr>
          <w:rFonts w:ascii="Tahoma" w:hAnsi="Tahoma" w:cs="Tahoma"/>
          <w:sz w:val="22"/>
          <w:szCs w:val="22"/>
        </w:rPr>
        <w:t>11 Pržno</w:t>
      </w:r>
      <w:r w:rsidRPr="00D534FF">
        <w:rPr>
          <w:rFonts w:ascii="Tahoma" w:hAnsi="Tahoma" w:cs="Tahoma"/>
          <w:sz w:val="22"/>
          <w:szCs w:val="22"/>
        </w:rPr>
        <w:tab/>
      </w:r>
    </w:p>
    <w:p w14:paraId="53CD7A01" w14:textId="5AB3DD4E" w:rsidR="00343967" w:rsidRPr="00D534FF" w:rsidRDefault="00066D69"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zastoupen</w:t>
      </w:r>
      <w:r w:rsidR="00B76E24" w:rsidRPr="00D534FF">
        <w:rPr>
          <w:rFonts w:ascii="Tahoma" w:hAnsi="Tahoma" w:cs="Tahoma"/>
          <w:sz w:val="22"/>
          <w:szCs w:val="22"/>
        </w:rPr>
        <w:t>a</w:t>
      </w:r>
      <w:r w:rsidRPr="00D534FF">
        <w:rPr>
          <w:rFonts w:ascii="Tahoma" w:hAnsi="Tahoma" w:cs="Tahoma"/>
          <w:sz w:val="22"/>
          <w:szCs w:val="22"/>
        </w:rPr>
        <w:t>:</w:t>
      </w:r>
      <w:r w:rsidR="00D534FF" w:rsidRPr="00D534FF">
        <w:rPr>
          <w:rFonts w:ascii="Tahoma" w:hAnsi="Tahoma" w:cs="Tahoma"/>
          <w:sz w:val="22"/>
          <w:szCs w:val="22"/>
        </w:rPr>
        <w:t xml:space="preserve"> Ing. Jan Zvoníček, ředitel</w:t>
      </w:r>
      <w:r w:rsidR="00343967" w:rsidRPr="00D534FF">
        <w:rPr>
          <w:rFonts w:ascii="Tahoma" w:hAnsi="Tahoma" w:cs="Tahoma"/>
          <w:sz w:val="22"/>
          <w:szCs w:val="22"/>
        </w:rPr>
        <w:tab/>
      </w:r>
    </w:p>
    <w:p w14:paraId="0CCE5A39" w14:textId="77777777" w:rsidR="00343967" w:rsidRPr="00D534FF" w:rsidRDefault="00343967" w:rsidP="00343967">
      <w:pPr>
        <w:numPr>
          <w:ilvl w:val="12"/>
          <w:numId w:val="0"/>
        </w:numPr>
        <w:tabs>
          <w:tab w:val="left" w:pos="2552"/>
        </w:tabs>
        <w:ind w:left="357"/>
        <w:jc w:val="both"/>
        <w:rPr>
          <w:rFonts w:ascii="Tahoma" w:hAnsi="Tahoma" w:cs="Tahoma"/>
          <w:sz w:val="22"/>
          <w:szCs w:val="22"/>
        </w:rPr>
      </w:pPr>
    </w:p>
    <w:p w14:paraId="26BDBE01" w14:textId="0A263774" w:rsidR="00066D69" w:rsidRPr="00D534FF" w:rsidRDefault="00066D69" w:rsidP="00D534FF">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IČ</w:t>
      </w:r>
      <w:r w:rsidR="00BD5FB9" w:rsidRPr="00D534FF">
        <w:rPr>
          <w:rFonts w:ascii="Tahoma" w:hAnsi="Tahoma" w:cs="Tahoma"/>
          <w:sz w:val="22"/>
          <w:szCs w:val="22"/>
        </w:rPr>
        <w:t>O</w:t>
      </w:r>
      <w:r w:rsidRPr="00D534FF">
        <w:rPr>
          <w:rFonts w:ascii="Tahoma" w:hAnsi="Tahoma" w:cs="Tahoma"/>
          <w:sz w:val="22"/>
          <w:szCs w:val="22"/>
        </w:rPr>
        <w:t>:</w:t>
      </w:r>
      <w:r w:rsidR="00D534FF" w:rsidRPr="00D534FF">
        <w:rPr>
          <w:rFonts w:ascii="Tahoma" w:hAnsi="Tahoma" w:cs="Tahoma"/>
          <w:sz w:val="22"/>
          <w:szCs w:val="22"/>
        </w:rPr>
        <w:t xml:space="preserve"> 00847046</w:t>
      </w:r>
      <w:r w:rsidRPr="00D534FF">
        <w:rPr>
          <w:rFonts w:ascii="Tahoma" w:hAnsi="Tahoma" w:cs="Tahoma"/>
          <w:sz w:val="22"/>
          <w:szCs w:val="22"/>
        </w:rPr>
        <w:tab/>
      </w:r>
      <w:r w:rsidR="00343967" w:rsidRPr="00D534FF">
        <w:rPr>
          <w:rFonts w:ascii="Tahoma" w:hAnsi="Tahoma" w:cs="Tahoma"/>
          <w:sz w:val="22"/>
          <w:szCs w:val="22"/>
        </w:rPr>
        <w:tab/>
      </w:r>
    </w:p>
    <w:p w14:paraId="582EFC50" w14:textId="5C2BEA62" w:rsidR="00066D69" w:rsidRPr="00D534FF" w:rsidRDefault="00343967"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b</w:t>
      </w:r>
      <w:r w:rsidR="00066D69" w:rsidRPr="00D534FF">
        <w:rPr>
          <w:rFonts w:ascii="Tahoma" w:hAnsi="Tahoma" w:cs="Tahoma"/>
          <w:sz w:val="22"/>
          <w:szCs w:val="22"/>
        </w:rPr>
        <w:t>ankovn</w:t>
      </w:r>
      <w:r w:rsidRPr="00D534FF">
        <w:rPr>
          <w:rFonts w:ascii="Tahoma" w:hAnsi="Tahoma" w:cs="Tahoma"/>
          <w:sz w:val="22"/>
          <w:szCs w:val="22"/>
        </w:rPr>
        <w:t>í spojení:</w:t>
      </w:r>
      <w:r w:rsidRPr="00D534FF">
        <w:rPr>
          <w:rFonts w:ascii="Tahoma" w:hAnsi="Tahoma" w:cs="Tahoma"/>
          <w:sz w:val="22"/>
          <w:szCs w:val="22"/>
        </w:rPr>
        <w:tab/>
      </w:r>
    </w:p>
    <w:p w14:paraId="1D925BA3" w14:textId="1BCB946F" w:rsidR="00066D69" w:rsidRPr="00343967" w:rsidRDefault="00343967" w:rsidP="008561BD">
      <w:pPr>
        <w:numPr>
          <w:ilvl w:val="12"/>
          <w:numId w:val="0"/>
        </w:numPr>
        <w:tabs>
          <w:tab w:val="left" w:pos="3119"/>
        </w:tabs>
        <w:ind w:left="357"/>
        <w:jc w:val="both"/>
        <w:rPr>
          <w:rFonts w:ascii="Tahoma" w:hAnsi="Tahoma" w:cs="Tahoma"/>
          <w:sz w:val="22"/>
          <w:szCs w:val="22"/>
        </w:rPr>
      </w:pPr>
      <w:r w:rsidRPr="00D534FF">
        <w:rPr>
          <w:rFonts w:ascii="Tahoma" w:hAnsi="Tahoma" w:cs="Tahoma"/>
          <w:sz w:val="22"/>
          <w:szCs w:val="22"/>
        </w:rPr>
        <w:t>č</w:t>
      </w:r>
      <w:r w:rsidR="00066D69" w:rsidRPr="00D534FF">
        <w:rPr>
          <w:rFonts w:ascii="Tahoma" w:hAnsi="Tahoma" w:cs="Tahoma"/>
          <w:sz w:val="22"/>
          <w:szCs w:val="22"/>
        </w:rPr>
        <w:t>íslo účtu:</w:t>
      </w:r>
      <w:r>
        <w:rPr>
          <w:rFonts w:ascii="Tahoma" w:hAnsi="Tahoma" w:cs="Tahoma"/>
          <w:sz w:val="22"/>
          <w:szCs w:val="22"/>
        </w:rPr>
        <w:tab/>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25739FDA" w14:textId="1E2CFE6F" w:rsidR="00B76E24" w:rsidRPr="00583ED1" w:rsidRDefault="00B76E24" w:rsidP="00B76E24">
      <w:pPr>
        <w:spacing w:before="120"/>
        <w:ind w:left="1276" w:hanging="919"/>
        <w:jc w:val="both"/>
        <w:rPr>
          <w:rFonts w:ascii="Tahoma" w:eastAsia="Calibri" w:hAnsi="Tahoma" w:cs="Tahoma"/>
          <w:sz w:val="22"/>
          <w:szCs w:val="22"/>
          <w:lang w:eastAsia="en-US"/>
        </w:rPr>
      </w:pP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3E9BB355" w:rsidR="006C58FF" w:rsidRPr="00343967" w:rsidRDefault="00784083"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LINET spol. s r.o.</w:t>
      </w:r>
    </w:p>
    <w:p w14:paraId="52A091D2" w14:textId="09E0B515"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784083">
        <w:rPr>
          <w:rFonts w:ascii="Tahoma" w:hAnsi="Tahoma" w:cs="Tahoma"/>
          <w:sz w:val="22"/>
          <w:szCs w:val="22"/>
        </w:rPr>
        <w:t xml:space="preserve"> Želevčice5, 274 01 Slaný</w:t>
      </w:r>
      <w:r w:rsidR="008561BD">
        <w:rPr>
          <w:rFonts w:ascii="Tahoma" w:hAnsi="Tahoma" w:cs="Tahoma"/>
          <w:sz w:val="22"/>
          <w:szCs w:val="22"/>
        </w:rPr>
        <w:tab/>
      </w:r>
    </w:p>
    <w:p w14:paraId="75070DD0" w14:textId="14B31BE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784083">
        <w:rPr>
          <w:rFonts w:ascii="Tahoma" w:hAnsi="Tahoma" w:cs="Tahoma"/>
          <w:sz w:val="22"/>
          <w:szCs w:val="22"/>
        </w:rPr>
        <w:t xml:space="preserve"> Petr Smetana, vedoucí podpory obchodu, na základě plné moci</w:t>
      </w:r>
      <w:r w:rsidR="008561BD">
        <w:rPr>
          <w:rFonts w:ascii="Tahoma" w:hAnsi="Tahoma" w:cs="Tahoma"/>
          <w:sz w:val="22"/>
          <w:szCs w:val="22"/>
        </w:rPr>
        <w:tab/>
      </w:r>
    </w:p>
    <w:p w14:paraId="2AA9CD50" w14:textId="0309F540"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784083">
        <w:rPr>
          <w:rFonts w:ascii="Tahoma" w:hAnsi="Tahoma" w:cs="Tahoma"/>
          <w:sz w:val="22"/>
          <w:szCs w:val="22"/>
        </w:rPr>
        <w:t xml:space="preserve"> 00507814</w:t>
      </w:r>
      <w:r w:rsidR="008561BD">
        <w:rPr>
          <w:rFonts w:ascii="Tahoma" w:hAnsi="Tahoma" w:cs="Tahoma"/>
          <w:sz w:val="22"/>
          <w:szCs w:val="22"/>
        </w:rPr>
        <w:tab/>
      </w:r>
    </w:p>
    <w:p w14:paraId="4F364D81" w14:textId="542998F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784083">
        <w:rPr>
          <w:rFonts w:ascii="Tahoma" w:hAnsi="Tahoma" w:cs="Tahoma"/>
          <w:sz w:val="22"/>
          <w:szCs w:val="22"/>
        </w:rPr>
        <w:t xml:space="preserve"> CZ00507814</w:t>
      </w:r>
      <w:r w:rsidR="008561BD">
        <w:rPr>
          <w:rFonts w:ascii="Tahoma" w:hAnsi="Tahoma" w:cs="Tahoma"/>
          <w:sz w:val="22"/>
          <w:szCs w:val="22"/>
        </w:rPr>
        <w:tab/>
      </w:r>
    </w:p>
    <w:p w14:paraId="714826BA" w14:textId="4607D10F"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780297BE" w14:textId="63AB8485"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16843CB3" w14:textId="37D7F3B5"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784083">
        <w:rPr>
          <w:rFonts w:ascii="Tahoma" w:hAnsi="Tahoma" w:cs="Tahoma"/>
          <w:iCs/>
          <w:sz w:val="22"/>
          <w:szCs w:val="22"/>
        </w:rPr>
        <w:t>Městským soudem</w:t>
      </w:r>
      <w:r w:rsidRPr="00343967">
        <w:rPr>
          <w:rFonts w:ascii="Tahoma" w:hAnsi="Tahoma" w:cs="Tahoma"/>
          <w:iCs/>
          <w:sz w:val="22"/>
          <w:szCs w:val="22"/>
        </w:rPr>
        <w:t xml:space="preserve"> v</w:t>
      </w:r>
      <w:r w:rsidR="00343967">
        <w:rPr>
          <w:rFonts w:ascii="Tahoma" w:hAnsi="Tahoma" w:cs="Tahoma"/>
          <w:iCs/>
          <w:sz w:val="22"/>
          <w:szCs w:val="22"/>
        </w:rPr>
        <w:t> </w:t>
      </w:r>
      <w:r w:rsidR="00784083">
        <w:rPr>
          <w:rFonts w:ascii="Tahoma" w:hAnsi="Tahoma" w:cs="Tahoma"/>
          <w:iCs/>
          <w:sz w:val="22"/>
          <w:szCs w:val="22"/>
        </w:rPr>
        <w:t>Praze</w:t>
      </w:r>
      <w:r w:rsidRPr="00343967">
        <w:rPr>
          <w:rFonts w:ascii="Tahoma" w:hAnsi="Tahoma" w:cs="Tahoma"/>
          <w:iCs/>
          <w:sz w:val="22"/>
          <w:szCs w:val="22"/>
        </w:rPr>
        <w:t>, oddíl</w:t>
      </w:r>
      <w:r w:rsidR="00343967">
        <w:rPr>
          <w:rFonts w:ascii="Tahoma" w:hAnsi="Tahoma" w:cs="Tahoma"/>
          <w:iCs/>
          <w:sz w:val="22"/>
          <w:szCs w:val="22"/>
        </w:rPr>
        <w:t> </w:t>
      </w:r>
      <w:r w:rsidR="00784083">
        <w:rPr>
          <w:rFonts w:ascii="Tahoma" w:hAnsi="Tahoma" w:cs="Tahoma"/>
          <w:iCs/>
          <w:sz w:val="22"/>
          <w:szCs w:val="22"/>
        </w:rPr>
        <w:t>C,</w:t>
      </w:r>
      <w:r w:rsidRPr="00343967">
        <w:rPr>
          <w:rFonts w:ascii="Tahoma" w:hAnsi="Tahoma" w:cs="Tahoma"/>
          <w:iCs/>
          <w:sz w:val="22"/>
          <w:szCs w:val="22"/>
        </w:rPr>
        <w:t xml:space="preserve"> vložka</w:t>
      </w:r>
      <w:r w:rsidR="00784083">
        <w:rPr>
          <w:rFonts w:ascii="Tahoma" w:hAnsi="Tahoma" w:cs="Tahoma"/>
          <w:iCs/>
          <w:sz w:val="22"/>
          <w:szCs w:val="22"/>
        </w:rPr>
        <w:t xml:space="preserve"> 164</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w:t>
      </w:r>
      <w:r w:rsidRPr="00343967">
        <w:rPr>
          <w:rFonts w:ascii="Tahoma" w:hAnsi="Tahoma" w:cs="Tahoma"/>
          <w:sz w:val="22"/>
          <w:szCs w:val="22"/>
        </w:rPr>
        <w:lastRenderedPageBreak/>
        <w:t>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3F92AB14" w14:textId="77777777" w:rsidR="00EC015B" w:rsidRPr="00D534FF"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Cs/>
          <w:sz w:val="22"/>
          <w:szCs w:val="22"/>
        </w:rPr>
      </w:pPr>
      <w:r w:rsidRPr="00D534FF">
        <w:rPr>
          <w:rFonts w:ascii="Tahoma" w:hAnsi="Tahoma" w:cs="Tahoma"/>
          <w:iCs/>
          <w:sz w:val="22"/>
          <w:szCs w:val="22"/>
        </w:rPr>
        <w:t>Prodávající</w:t>
      </w:r>
      <w:r w:rsidR="00EC015B" w:rsidRPr="00D534FF">
        <w:rPr>
          <w:rFonts w:ascii="Tahoma" w:hAnsi="Tahoma" w:cs="Tahoma"/>
          <w:iCs/>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D534FF">
        <w:rPr>
          <w:rFonts w:ascii="Tahoma" w:hAnsi="Tahoma" w:cs="Tahoma"/>
          <w:iCs/>
          <w:sz w:val="22"/>
          <w:szCs w:val="22"/>
        </w:rPr>
        <w:t>Prodávající</w:t>
      </w:r>
      <w:r w:rsidR="00EC015B" w:rsidRPr="00D534FF">
        <w:rPr>
          <w:rFonts w:ascii="Tahoma" w:hAnsi="Tahoma" w:cs="Tahoma"/>
          <w:iCs/>
          <w:sz w:val="22"/>
          <w:szCs w:val="22"/>
        </w:rPr>
        <w:t xml:space="preserve"> bere na vědomí, že pokud je uvedené prohlášení nepravdivé, bude smlouva považována za neplatnou.</w:t>
      </w: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529FEBD9"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kupujícímu</w:t>
      </w:r>
      <w:r w:rsidR="00D534FF">
        <w:rPr>
          <w:rFonts w:ascii="Tahoma" w:hAnsi="Tahoma" w:cs="Tahoma"/>
          <w:sz w:val="22"/>
          <w:szCs w:val="22"/>
        </w:rPr>
        <w:t xml:space="preserve"> </w:t>
      </w:r>
      <w:r w:rsidR="005D2561">
        <w:rPr>
          <w:rFonts w:ascii="Tahoma" w:hAnsi="Tahoma" w:cs="Tahoma"/>
          <w:sz w:val="22"/>
          <w:szCs w:val="22"/>
        </w:rPr>
        <w:t>zboží</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6A6A2105"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5D1E7C">
        <w:rPr>
          <w:rFonts w:ascii="Tahoma" w:hAnsi="Tahoma" w:cs="Tahoma"/>
          <w:sz w:val="22"/>
          <w:szCs w:val="22"/>
        </w:rPr>
        <w:t xml:space="preserve">Zbožím podle odst. 1 tohoto článku smlouvy se rozumí </w:t>
      </w:r>
      <w:r w:rsidR="00D534FF" w:rsidRPr="005D1E7C">
        <w:rPr>
          <w:rFonts w:ascii="Tahoma" w:hAnsi="Tahoma" w:cs="Tahoma"/>
          <w:sz w:val="22"/>
          <w:szCs w:val="22"/>
        </w:rPr>
        <w:t xml:space="preserve">dodání </w:t>
      </w:r>
      <w:r w:rsidR="005D1E7C" w:rsidRPr="005D1E7C">
        <w:rPr>
          <w:rFonts w:ascii="Tahoma" w:hAnsi="Tahoma" w:cs="Tahoma"/>
          <w:sz w:val="22"/>
          <w:szCs w:val="22"/>
        </w:rPr>
        <w:t xml:space="preserve">celkem </w:t>
      </w:r>
      <w:r w:rsidR="00FE170C">
        <w:rPr>
          <w:rFonts w:ascii="Tahoma" w:hAnsi="Tahoma" w:cs="Tahoma"/>
          <w:sz w:val="22"/>
          <w:szCs w:val="22"/>
        </w:rPr>
        <w:t>….</w:t>
      </w:r>
      <w:r w:rsidR="005D1E7C" w:rsidRPr="005D1E7C">
        <w:rPr>
          <w:rFonts w:ascii="Tahoma" w:hAnsi="Tahoma" w:cs="Tahoma"/>
          <w:sz w:val="22"/>
          <w:szCs w:val="22"/>
        </w:rPr>
        <w:t xml:space="preserve"> elektricky polohovatelných pečovatelských lůžek</w:t>
      </w:r>
      <w:r w:rsidR="0024781E">
        <w:rPr>
          <w:rFonts w:ascii="Tahoma" w:hAnsi="Tahoma" w:cs="Tahoma"/>
          <w:sz w:val="22"/>
          <w:szCs w:val="22"/>
        </w:rPr>
        <w:t xml:space="preserve"> s laterálním náklonem vč. hrazdy a rukojeti</w:t>
      </w:r>
      <w:r w:rsidR="005D1E7C" w:rsidRPr="005D1E7C">
        <w:rPr>
          <w:rFonts w:ascii="Tahoma" w:hAnsi="Tahoma" w:cs="Tahoma"/>
          <w:sz w:val="22"/>
          <w:szCs w:val="22"/>
        </w:rPr>
        <w:t xml:space="preserve"> a </w:t>
      </w:r>
      <w:r w:rsidR="00FE170C">
        <w:rPr>
          <w:rFonts w:ascii="Tahoma" w:hAnsi="Tahoma" w:cs="Tahoma"/>
          <w:sz w:val="22"/>
          <w:szCs w:val="22"/>
        </w:rPr>
        <w:t>….</w:t>
      </w:r>
      <w:r w:rsidR="0024781E">
        <w:rPr>
          <w:rFonts w:ascii="Tahoma" w:hAnsi="Tahoma" w:cs="Tahoma"/>
          <w:sz w:val="22"/>
          <w:szCs w:val="22"/>
        </w:rPr>
        <w:t> </w:t>
      </w:r>
      <w:r w:rsidR="005D1E7C" w:rsidRPr="005D1E7C">
        <w:rPr>
          <w:rFonts w:ascii="Tahoma" w:hAnsi="Tahoma" w:cs="Tahoma"/>
          <w:sz w:val="22"/>
          <w:szCs w:val="22"/>
        </w:rPr>
        <w:t>antidekubitních matrací dle přiložen</w:t>
      </w:r>
      <w:r w:rsidR="0024781E">
        <w:rPr>
          <w:rFonts w:ascii="Tahoma" w:hAnsi="Tahoma" w:cs="Tahoma"/>
          <w:sz w:val="22"/>
          <w:szCs w:val="22"/>
        </w:rPr>
        <w:t xml:space="preserve">é </w:t>
      </w:r>
      <w:r w:rsidR="00FA7A8D">
        <w:rPr>
          <w:rFonts w:ascii="Tahoma" w:hAnsi="Tahoma" w:cs="Tahoma"/>
          <w:sz w:val="22"/>
          <w:szCs w:val="22"/>
        </w:rPr>
        <w:t>nabídky dodavatele</w:t>
      </w:r>
      <w:r w:rsidR="00BE537E" w:rsidRPr="00FA7A8D">
        <w:rPr>
          <w:rFonts w:ascii="Tahoma" w:hAnsi="Tahoma" w:cs="Tahoma"/>
          <w:iCs/>
          <w:sz w:val="22"/>
          <w:szCs w:val="22"/>
        </w:rPr>
        <w:t>.</w:t>
      </w:r>
      <w:r w:rsidR="008B293F" w:rsidRPr="00FA7A8D">
        <w:rPr>
          <w:rFonts w:ascii="Tahoma" w:hAnsi="Tahoma" w:cs="Tahoma"/>
          <w:iCs/>
          <w:sz w:val="22"/>
          <w:szCs w:val="22"/>
        </w:rPr>
        <w:t xml:space="preserve"> </w:t>
      </w:r>
      <w:r w:rsidR="00FA7A8D" w:rsidRPr="00FA7A8D">
        <w:rPr>
          <w:rFonts w:ascii="Tahoma" w:hAnsi="Tahoma" w:cs="Tahoma"/>
          <w:iCs/>
          <w:sz w:val="22"/>
          <w:szCs w:val="22"/>
        </w:rPr>
        <w:t>Zboží musí splňovat všechny podmínky stanovené v</w:t>
      </w:r>
      <w:r w:rsidR="00FA7A8D">
        <w:rPr>
          <w:rFonts w:ascii="Tahoma" w:hAnsi="Tahoma" w:cs="Tahoma"/>
          <w:iCs/>
          <w:sz w:val="22"/>
          <w:szCs w:val="22"/>
        </w:rPr>
        <w:t> </w:t>
      </w:r>
      <w:r w:rsidR="00FA7A8D" w:rsidRPr="00FA7A8D">
        <w:rPr>
          <w:rFonts w:ascii="Tahoma" w:hAnsi="Tahoma" w:cs="Tahoma"/>
          <w:iCs/>
          <w:sz w:val="22"/>
          <w:szCs w:val="22"/>
        </w:rPr>
        <w:t xml:space="preserve">technické specifikaci zadávací dokumentace kupujícího. </w:t>
      </w:r>
      <w:r w:rsidRPr="00FA7A8D">
        <w:rPr>
          <w:rFonts w:ascii="Tahoma" w:hAnsi="Tahoma" w:cs="Tahoma"/>
          <w:iCs/>
          <w:sz w:val="22"/>
          <w:szCs w:val="22"/>
        </w:rPr>
        <w:t>Dodávané zboží musí</w:t>
      </w:r>
      <w:r w:rsidRPr="00FA7A8D">
        <w:rPr>
          <w:rFonts w:ascii="Tahoma" w:hAnsi="Tahoma" w:cs="Tahoma"/>
          <w:sz w:val="22"/>
          <w:szCs w:val="22"/>
        </w:rPr>
        <w:t xml:space="preserve"> </w:t>
      </w:r>
      <w:r w:rsidRPr="00343967">
        <w:rPr>
          <w:rFonts w:ascii="Tahoma" w:hAnsi="Tahoma" w:cs="Tahoma"/>
          <w:sz w:val="22"/>
          <w:szCs w:val="22"/>
        </w:rPr>
        <w:t>být nové a</w:t>
      </w:r>
      <w:r w:rsidR="008561BD">
        <w:rPr>
          <w:rFonts w:ascii="Tahoma" w:hAnsi="Tahoma" w:cs="Tahoma"/>
          <w:sz w:val="22"/>
          <w:szCs w:val="22"/>
        </w:rPr>
        <w:t> </w:t>
      </w:r>
      <w:r w:rsidRPr="00343967">
        <w:rPr>
          <w:rFonts w:ascii="Tahoma" w:hAnsi="Tahoma" w:cs="Tahoma"/>
          <w:sz w:val="22"/>
          <w:szCs w:val="22"/>
        </w:rPr>
        <w:t>nepoužívané.</w:t>
      </w:r>
    </w:p>
    <w:p w14:paraId="2AD48D14" w14:textId="559434A3" w:rsidR="00466780" w:rsidRDefault="005540F9" w:rsidP="008561BD">
      <w:pPr>
        <w:pStyle w:val="Zkladntext"/>
        <w:numPr>
          <w:ilvl w:val="0"/>
          <w:numId w:val="14"/>
        </w:numPr>
        <w:tabs>
          <w:tab w:val="clear" w:pos="360"/>
          <w:tab w:val="clear" w:pos="1418"/>
        </w:tabs>
        <w:rPr>
          <w:rFonts w:ascii="Tahoma" w:hAnsi="Tahoma" w:cs="Tahoma"/>
          <w:iCs/>
          <w:sz w:val="22"/>
          <w:szCs w:val="22"/>
        </w:rPr>
      </w:pPr>
      <w:r w:rsidRPr="00D534FF">
        <w:rPr>
          <w:rFonts w:ascii="Tahoma" w:hAnsi="Tahoma" w:cs="Tahoma"/>
          <w:iCs/>
          <w:sz w:val="22"/>
          <w:szCs w:val="22"/>
        </w:rPr>
        <w:t xml:space="preserve">Prodávající je povinen v rámci plnění svého závazku z této smlouvy provést </w:t>
      </w:r>
      <w:r w:rsidR="00C252C1" w:rsidRPr="00D534FF">
        <w:rPr>
          <w:rFonts w:ascii="Tahoma" w:hAnsi="Tahoma" w:cs="Tahoma"/>
          <w:iCs/>
          <w:sz w:val="22"/>
          <w:szCs w:val="22"/>
        </w:rPr>
        <w:t xml:space="preserve">také </w:t>
      </w:r>
      <w:r w:rsidRPr="00D534FF">
        <w:rPr>
          <w:rFonts w:ascii="Tahoma" w:hAnsi="Tahoma" w:cs="Tahoma"/>
          <w:iCs/>
          <w:sz w:val="22"/>
          <w:szCs w:val="22"/>
        </w:rPr>
        <w:t xml:space="preserve">instalaci/montáž zboží a </w:t>
      </w:r>
      <w:r w:rsidR="00AC58F7" w:rsidRPr="00D534FF">
        <w:rPr>
          <w:rFonts w:ascii="Tahoma" w:hAnsi="Tahoma" w:cs="Tahoma"/>
          <w:iCs/>
          <w:sz w:val="22"/>
          <w:szCs w:val="22"/>
        </w:rPr>
        <w:t>seznámení</w:t>
      </w:r>
      <w:r w:rsidR="00FA7A8D">
        <w:rPr>
          <w:rFonts w:ascii="Tahoma" w:hAnsi="Tahoma" w:cs="Tahoma"/>
          <w:iCs/>
          <w:sz w:val="22"/>
          <w:szCs w:val="22"/>
        </w:rPr>
        <w:t>/zaškolení</w:t>
      </w:r>
      <w:r w:rsidR="00AC58F7" w:rsidRPr="00D534FF">
        <w:rPr>
          <w:rFonts w:ascii="Tahoma" w:hAnsi="Tahoma" w:cs="Tahoma"/>
          <w:iCs/>
          <w:sz w:val="22"/>
          <w:szCs w:val="22"/>
        </w:rPr>
        <w:t xml:space="preserve"> zaměstnanců kupujícího </w:t>
      </w:r>
      <w:r w:rsidR="00731933" w:rsidRPr="00D534FF">
        <w:rPr>
          <w:rFonts w:ascii="Tahoma" w:hAnsi="Tahoma" w:cs="Tahoma"/>
          <w:iCs/>
          <w:sz w:val="22"/>
          <w:szCs w:val="22"/>
        </w:rPr>
        <w:t xml:space="preserve">s </w:t>
      </w:r>
      <w:r w:rsidRPr="00D534FF">
        <w:rPr>
          <w:rFonts w:ascii="Tahoma" w:hAnsi="Tahoma" w:cs="Tahoma"/>
          <w:iCs/>
          <w:sz w:val="22"/>
          <w:szCs w:val="22"/>
        </w:rPr>
        <w:t>obsluh</w:t>
      </w:r>
      <w:r w:rsidR="00AC58F7" w:rsidRPr="00D534FF">
        <w:rPr>
          <w:rFonts w:ascii="Tahoma" w:hAnsi="Tahoma" w:cs="Tahoma"/>
          <w:iCs/>
          <w:sz w:val="22"/>
          <w:szCs w:val="22"/>
        </w:rPr>
        <w:t>ou zboží</w:t>
      </w:r>
      <w:r w:rsidR="008561BD" w:rsidRPr="00D534FF">
        <w:rPr>
          <w:rFonts w:ascii="Tahoma" w:hAnsi="Tahoma" w:cs="Tahoma"/>
          <w:iCs/>
          <w:sz w:val="22"/>
          <w:szCs w:val="22"/>
        </w:rPr>
        <w:t>.</w:t>
      </w:r>
    </w:p>
    <w:p w14:paraId="005E34C0" w14:textId="77777777" w:rsidR="000151B8" w:rsidRDefault="000151B8" w:rsidP="000151B8">
      <w:pPr>
        <w:pStyle w:val="Zkladntext"/>
        <w:tabs>
          <w:tab w:val="clear" w:pos="1418"/>
        </w:tabs>
        <w:ind w:left="357"/>
        <w:rPr>
          <w:rFonts w:ascii="Tahoma" w:hAnsi="Tahoma" w:cs="Tahoma"/>
          <w:iCs/>
          <w:sz w:val="22"/>
          <w:szCs w:val="22"/>
        </w:rPr>
      </w:pPr>
    </w:p>
    <w:p w14:paraId="4369529A" w14:textId="20E036CB"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14:paraId="7F2F2761" w14:textId="0440D343" w:rsidR="001E7435" w:rsidRPr="00270461" w:rsidRDefault="00270461" w:rsidP="001E7435">
      <w:pPr>
        <w:pStyle w:val="Zkladntextodsazen2"/>
        <w:tabs>
          <w:tab w:val="right" w:pos="4253"/>
        </w:tabs>
        <w:spacing w:before="120"/>
        <w:ind w:left="357" w:firstLine="0"/>
        <w:rPr>
          <w:rFonts w:ascii="Tahoma" w:hAnsi="Tahoma" w:cs="Tahoma"/>
          <w:b/>
          <w:bCs/>
          <w:sz w:val="22"/>
          <w:szCs w:val="22"/>
        </w:rPr>
      </w:pPr>
      <w:r w:rsidRPr="00270461">
        <w:rPr>
          <w:rFonts w:ascii="Tahoma" w:hAnsi="Tahoma" w:cs="Tahoma"/>
          <w:b/>
          <w:bCs/>
          <w:sz w:val="22"/>
          <w:szCs w:val="22"/>
        </w:rPr>
        <w:t xml:space="preserve">cena </w:t>
      </w:r>
      <w:r w:rsidR="001E7435" w:rsidRPr="00270461">
        <w:rPr>
          <w:rFonts w:ascii="Tahoma" w:hAnsi="Tahoma" w:cs="Tahoma"/>
          <w:b/>
          <w:bCs/>
          <w:sz w:val="22"/>
          <w:szCs w:val="22"/>
        </w:rPr>
        <w:t>bez DPH</w:t>
      </w:r>
      <w:r w:rsidR="001E7435" w:rsidRPr="00270461">
        <w:rPr>
          <w:rFonts w:ascii="Tahoma" w:hAnsi="Tahoma" w:cs="Tahoma"/>
          <w:b/>
          <w:bCs/>
          <w:sz w:val="22"/>
          <w:szCs w:val="22"/>
        </w:rPr>
        <w:tab/>
      </w:r>
      <w:r w:rsidR="00215E41" w:rsidRPr="00270461">
        <w:rPr>
          <w:rFonts w:ascii="Tahoma" w:hAnsi="Tahoma" w:cs="Tahoma"/>
          <w:b/>
          <w:bCs/>
          <w:sz w:val="22"/>
          <w:szCs w:val="22"/>
        </w:rPr>
        <w:t>288 340,20</w:t>
      </w:r>
      <w:r w:rsidR="001E7435" w:rsidRPr="00270461">
        <w:rPr>
          <w:rFonts w:ascii="Tahoma" w:hAnsi="Tahoma" w:cs="Tahoma"/>
          <w:b/>
          <w:bCs/>
          <w:sz w:val="22"/>
          <w:szCs w:val="22"/>
        </w:rPr>
        <w:t> Kč</w:t>
      </w:r>
    </w:p>
    <w:p w14:paraId="4F06B6EA" w14:textId="4E2C133D" w:rsidR="001E7435" w:rsidRDefault="001E7435"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DPH </w:t>
      </w:r>
      <w:r w:rsidR="00270461">
        <w:rPr>
          <w:rFonts w:ascii="Tahoma" w:hAnsi="Tahoma" w:cs="Tahoma"/>
          <w:sz w:val="22"/>
          <w:szCs w:val="22"/>
        </w:rPr>
        <w:t>12</w:t>
      </w:r>
      <w:r>
        <w:rPr>
          <w:rFonts w:ascii="Tahoma" w:hAnsi="Tahoma" w:cs="Tahoma"/>
          <w:sz w:val="22"/>
          <w:szCs w:val="22"/>
        </w:rPr>
        <w:t> %</w:t>
      </w:r>
      <w:r>
        <w:rPr>
          <w:rFonts w:ascii="Tahoma" w:hAnsi="Tahoma" w:cs="Tahoma"/>
          <w:sz w:val="22"/>
          <w:szCs w:val="22"/>
        </w:rPr>
        <w:tab/>
      </w:r>
      <w:r w:rsidR="00215E41">
        <w:rPr>
          <w:rFonts w:ascii="Tahoma" w:hAnsi="Tahoma" w:cs="Tahoma"/>
          <w:sz w:val="22"/>
          <w:szCs w:val="22"/>
        </w:rPr>
        <w:t>34 600,82</w:t>
      </w:r>
      <w:r>
        <w:rPr>
          <w:rFonts w:ascii="Tahoma" w:hAnsi="Tahoma" w:cs="Tahoma"/>
          <w:sz w:val="22"/>
          <w:szCs w:val="22"/>
        </w:rPr>
        <w:t> Kč</w:t>
      </w:r>
    </w:p>
    <w:p w14:paraId="4FA40074" w14:textId="758BBD99" w:rsidR="001E7435" w:rsidRDefault="00270461" w:rsidP="005B06F1">
      <w:pPr>
        <w:pStyle w:val="Zkladntextodsazen2"/>
        <w:tabs>
          <w:tab w:val="right" w:pos="4253"/>
        </w:tabs>
        <w:ind w:left="357" w:firstLine="0"/>
        <w:rPr>
          <w:rFonts w:ascii="Tahoma" w:hAnsi="Tahoma" w:cs="Tahoma"/>
          <w:sz w:val="22"/>
          <w:szCs w:val="22"/>
        </w:rPr>
      </w:pPr>
      <w:r w:rsidRPr="00270461">
        <w:rPr>
          <w:rFonts w:ascii="Tahoma" w:hAnsi="Tahoma" w:cs="Tahoma"/>
          <w:b/>
          <w:bCs/>
          <w:sz w:val="22"/>
          <w:szCs w:val="22"/>
        </w:rPr>
        <w:t xml:space="preserve">cena </w:t>
      </w:r>
      <w:r w:rsidR="001E7435" w:rsidRPr="00270461">
        <w:rPr>
          <w:rFonts w:ascii="Tahoma" w:hAnsi="Tahoma" w:cs="Tahoma"/>
          <w:b/>
          <w:bCs/>
          <w:sz w:val="22"/>
          <w:szCs w:val="22"/>
        </w:rPr>
        <w:t>včetně DPH</w:t>
      </w:r>
      <w:r w:rsidR="001E7435" w:rsidRPr="00270461">
        <w:rPr>
          <w:rFonts w:ascii="Tahoma" w:hAnsi="Tahoma" w:cs="Tahoma"/>
          <w:b/>
          <w:bCs/>
          <w:sz w:val="22"/>
          <w:szCs w:val="22"/>
        </w:rPr>
        <w:tab/>
      </w:r>
      <w:r w:rsidR="00215E41" w:rsidRPr="00270461">
        <w:rPr>
          <w:rFonts w:ascii="Tahoma" w:hAnsi="Tahoma" w:cs="Tahoma"/>
          <w:b/>
          <w:bCs/>
          <w:sz w:val="22"/>
          <w:szCs w:val="22"/>
        </w:rPr>
        <w:t>322 941,02</w:t>
      </w:r>
      <w:r w:rsidR="005B06F1" w:rsidRPr="00270461">
        <w:rPr>
          <w:rFonts w:ascii="Tahoma" w:hAnsi="Tahoma" w:cs="Tahoma"/>
          <w:b/>
          <w:bCs/>
          <w:sz w:val="22"/>
          <w:szCs w:val="22"/>
        </w:rPr>
        <w:t xml:space="preserve"> </w:t>
      </w:r>
      <w:r w:rsidR="001E7435" w:rsidRPr="00270461">
        <w:rPr>
          <w:rFonts w:ascii="Tahoma" w:hAnsi="Tahoma" w:cs="Tahoma"/>
          <w:b/>
          <w:bCs/>
          <w:sz w:val="22"/>
          <w:szCs w:val="22"/>
        </w:rPr>
        <w:t>Kč</w:t>
      </w:r>
    </w:p>
    <w:p w14:paraId="5B8B14D7" w14:textId="01AB71AC" w:rsidR="00893BC5" w:rsidRPr="00D534FF" w:rsidRDefault="00931340" w:rsidP="00893BC5">
      <w:pPr>
        <w:spacing w:before="120"/>
        <w:ind w:left="357"/>
        <w:jc w:val="both"/>
        <w:rPr>
          <w:rFonts w:ascii="Tahoma" w:hAnsi="Tahoma" w:cs="Tahoma"/>
          <w:iCs/>
          <w:sz w:val="22"/>
          <w:szCs w:val="22"/>
        </w:rPr>
      </w:pPr>
      <w:r w:rsidRPr="00D534FF">
        <w:rPr>
          <w:rFonts w:ascii="Tahoma" w:hAnsi="Tahoma" w:cs="Tahoma"/>
          <w:iCs/>
          <w:sz w:val="22"/>
          <w:szCs w:val="22"/>
        </w:rPr>
        <w:t xml:space="preserve">Podrobný rozpis </w:t>
      </w:r>
      <w:r w:rsidR="00827B5F" w:rsidRPr="00D534FF">
        <w:rPr>
          <w:rFonts w:ascii="Tahoma" w:hAnsi="Tahoma" w:cs="Tahoma"/>
          <w:iCs/>
          <w:sz w:val="22"/>
          <w:szCs w:val="22"/>
        </w:rPr>
        <w:t xml:space="preserve">kupní </w:t>
      </w:r>
      <w:r w:rsidRPr="00D534FF">
        <w:rPr>
          <w:rFonts w:ascii="Tahoma" w:hAnsi="Tahoma" w:cs="Tahoma"/>
          <w:iCs/>
          <w:sz w:val="22"/>
          <w:szCs w:val="22"/>
        </w:rPr>
        <w:t>ceny je uveden v</w:t>
      </w:r>
      <w:r w:rsidR="00BA7EAD" w:rsidRPr="00D534FF">
        <w:rPr>
          <w:rFonts w:ascii="Tahoma" w:hAnsi="Tahoma" w:cs="Tahoma"/>
          <w:iCs/>
          <w:sz w:val="22"/>
          <w:szCs w:val="22"/>
        </w:rPr>
        <w:t> </w:t>
      </w:r>
      <w:r w:rsidRPr="00D534FF">
        <w:rPr>
          <w:rFonts w:ascii="Tahoma" w:hAnsi="Tahoma" w:cs="Tahoma"/>
          <w:iCs/>
          <w:sz w:val="22"/>
          <w:szCs w:val="22"/>
        </w:rPr>
        <w:t>příloze</w:t>
      </w:r>
      <w:r w:rsidR="00BA7EAD" w:rsidRPr="00D534FF">
        <w:rPr>
          <w:rFonts w:ascii="Tahoma" w:hAnsi="Tahoma" w:cs="Tahoma"/>
          <w:iCs/>
          <w:sz w:val="22"/>
          <w:szCs w:val="22"/>
        </w:rPr>
        <w:t xml:space="preserve"> </w:t>
      </w:r>
      <w:r w:rsidRPr="00D534FF">
        <w:rPr>
          <w:rFonts w:ascii="Tahoma" w:hAnsi="Tahoma" w:cs="Tahoma"/>
          <w:iCs/>
          <w:sz w:val="22"/>
          <w:szCs w:val="22"/>
        </w:rPr>
        <w:t>č.</w:t>
      </w:r>
      <w:r w:rsidR="00BA7EAD" w:rsidRPr="00D534FF">
        <w:rPr>
          <w:rFonts w:ascii="Tahoma" w:hAnsi="Tahoma" w:cs="Tahoma"/>
          <w:iCs/>
          <w:sz w:val="22"/>
          <w:szCs w:val="22"/>
        </w:rPr>
        <w:t> </w:t>
      </w:r>
      <w:r w:rsidR="005B06F1">
        <w:rPr>
          <w:rFonts w:ascii="Tahoma" w:hAnsi="Tahoma" w:cs="Tahoma"/>
          <w:iCs/>
          <w:sz w:val="22"/>
          <w:szCs w:val="22"/>
        </w:rPr>
        <w:t>2</w:t>
      </w:r>
      <w:r w:rsidRPr="00D534FF">
        <w:rPr>
          <w:rFonts w:ascii="Tahoma" w:hAnsi="Tahoma" w:cs="Tahoma"/>
          <w:iCs/>
          <w:sz w:val="22"/>
          <w:szCs w:val="22"/>
        </w:rPr>
        <w:t xml:space="preserve"> této smlouvy.</w:t>
      </w:r>
    </w:p>
    <w:p w14:paraId="57C436E5" w14:textId="6BF39617" w:rsidR="00066D69" w:rsidRPr="00893BC5" w:rsidRDefault="00066D69" w:rsidP="00893BC5">
      <w:pPr>
        <w:pStyle w:val="Odstavecseseznamem"/>
        <w:numPr>
          <w:ilvl w:val="0"/>
          <w:numId w:val="33"/>
        </w:numPr>
        <w:spacing w:before="120"/>
        <w:ind w:left="426" w:hanging="426"/>
        <w:jc w:val="both"/>
        <w:rPr>
          <w:rFonts w:ascii="Tahoma" w:hAnsi="Tahoma" w:cs="Tahoma"/>
        </w:rPr>
      </w:pPr>
      <w:r w:rsidRPr="00893BC5">
        <w:rPr>
          <w:rFonts w:ascii="Tahoma" w:hAnsi="Tahoma" w:cs="Tahoma"/>
        </w:rPr>
        <w:t>Kupní cena podle odst. 1 tohoto článku smlouvy zahrnuje veškeré náklady prodávajícího spojené se splněním jeho závazk</w:t>
      </w:r>
      <w:r w:rsidR="00BA7EAD" w:rsidRPr="00893BC5">
        <w:rPr>
          <w:rFonts w:ascii="Tahoma" w:hAnsi="Tahoma" w:cs="Tahoma"/>
        </w:rPr>
        <w:t>ů vyplývajících</w:t>
      </w:r>
      <w:r w:rsidRPr="00893BC5">
        <w:rPr>
          <w:rFonts w:ascii="Tahoma" w:hAnsi="Tahoma" w:cs="Tahoma"/>
        </w:rPr>
        <w:t xml:space="preserve"> z této smlouvy, tj. cenu zboží včetně dopravného, dokumentace</w:t>
      </w:r>
      <w:r w:rsidR="00103E8A" w:rsidRPr="00893BC5">
        <w:rPr>
          <w:rFonts w:ascii="Tahoma" w:hAnsi="Tahoma" w:cs="Tahoma"/>
        </w:rPr>
        <w:t xml:space="preserve">, </w:t>
      </w:r>
      <w:r w:rsidR="00103E8A" w:rsidRPr="00893BC5">
        <w:rPr>
          <w:rFonts w:ascii="Tahoma" w:hAnsi="Tahoma" w:cs="Tahoma"/>
          <w:iCs/>
        </w:rPr>
        <w:t xml:space="preserve">instalace/montáže zboží, </w:t>
      </w:r>
      <w:r w:rsidR="00731933" w:rsidRPr="00893BC5">
        <w:rPr>
          <w:rFonts w:ascii="Tahoma" w:hAnsi="Tahoma" w:cs="Tahoma"/>
          <w:iCs/>
        </w:rPr>
        <w:t>seznámení s obsluhou zboží</w:t>
      </w:r>
      <w:r w:rsidRPr="00893BC5">
        <w:rPr>
          <w:rFonts w:ascii="Tahoma" w:hAnsi="Tahoma" w:cs="Tahoma"/>
        </w:rPr>
        <w:t xml:space="preserve"> a</w:t>
      </w:r>
      <w:r w:rsidR="00BA7EAD" w:rsidRPr="00893BC5">
        <w:rPr>
          <w:rFonts w:ascii="Tahoma" w:hAnsi="Tahoma" w:cs="Tahoma"/>
        </w:rPr>
        <w:t> </w:t>
      </w:r>
      <w:r w:rsidRPr="00893BC5">
        <w:rPr>
          <w:rFonts w:ascii="Tahoma" w:hAnsi="Tahoma" w:cs="Tahoma"/>
        </w:rPr>
        <w:t>dalších souvisejících nákladů. Kupní cena je stanovena jako nejvýše přípu</w:t>
      </w:r>
      <w:r w:rsidR="00BA7EAD" w:rsidRPr="00893BC5">
        <w:rPr>
          <w:rFonts w:ascii="Tahoma" w:hAnsi="Tahoma" w:cs="Tahoma"/>
        </w:rPr>
        <w:t>stná a není ji možno překročit.</w:t>
      </w:r>
    </w:p>
    <w:p w14:paraId="1D7AC36A" w14:textId="564A6221" w:rsidR="0009040E" w:rsidRPr="00074786" w:rsidRDefault="00915A7A" w:rsidP="00893BC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14:paraId="09A77348"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lastRenderedPageBreak/>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77FE465A" w14:textId="77777777" w:rsidR="00066D69" w:rsidRPr="00FA7A8D"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w:t>
      </w:r>
      <w:r w:rsidRPr="00FA7A8D">
        <w:rPr>
          <w:rFonts w:ascii="Tahoma" w:hAnsi="Tahoma" w:cs="Tahoma"/>
          <w:sz w:val="22"/>
          <w:szCs w:val="22"/>
        </w:rPr>
        <w:t>kterým je</w:t>
      </w:r>
      <w:r w:rsidR="00C21325" w:rsidRPr="00FA7A8D">
        <w:rPr>
          <w:rFonts w:ascii="Tahoma" w:hAnsi="Tahoma" w:cs="Tahoma"/>
          <w:sz w:val="22"/>
          <w:szCs w:val="22"/>
        </w:rPr>
        <w:t xml:space="preserve"> </w:t>
      </w:r>
      <w:r w:rsidR="00E86115" w:rsidRPr="00FA7A8D">
        <w:rPr>
          <w:rFonts w:ascii="Tahoma" w:hAnsi="Tahoma" w:cs="Tahoma"/>
          <w:sz w:val="22"/>
          <w:szCs w:val="22"/>
        </w:rPr>
        <w:t>sídlo kupujícího.</w:t>
      </w:r>
    </w:p>
    <w:p w14:paraId="0C558DA2" w14:textId="24881709" w:rsidR="00E86115" w:rsidRPr="00D534FF" w:rsidRDefault="00587A33" w:rsidP="00D534FF">
      <w:pPr>
        <w:pStyle w:val="Zkladntext"/>
        <w:numPr>
          <w:ilvl w:val="0"/>
          <w:numId w:val="17"/>
        </w:numPr>
        <w:tabs>
          <w:tab w:val="clear" w:pos="1418"/>
          <w:tab w:val="left" w:pos="0"/>
        </w:tabs>
        <w:rPr>
          <w:rFonts w:ascii="Tahoma" w:hAnsi="Tahoma" w:cs="Tahoma"/>
          <w:sz w:val="22"/>
          <w:szCs w:val="22"/>
        </w:rPr>
      </w:pPr>
      <w:r w:rsidRPr="00D534FF">
        <w:rPr>
          <w:rFonts w:ascii="Tahoma" w:hAnsi="Tahoma" w:cs="Tahoma"/>
          <w:sz w:val="22"/>
          <w:szCs w:val="22"/>
        </w:rPr>
        <w:t xml:space="preserve">Prodávající se zavazuje </w:t>
      </w:r>
      <w:r w:rsidR="00BB55ED" w:rsidRPr="00D534FF">
        <w:rPr>
          <w:rFonts w:ascii="Tahoma" w:hAnsi="Tahoma" w:cs="Tahoma"/>
          <w:sz w:val="22"/>
          <w:szCs w:val="22"/>
        </w:rPr>
        <w:t xml:space="preserve">odevzdat kupujícímu </w:t>
      </w:r>
      <w:r w:rsidRPr="00D534FF">
        <w:rPr>
          <w:rFonts w:ascii="Tahoma" w:hAnsi="Tahoma" w:cs="Tahoma"/>
          <w:sz w:val="22"/>
          <w:szCs w:val="22"/>
        </w:rPr>
        <w:t>zboží nejpozději do</w:t>
      </w:r>
      <w:r w:rsidR="00D534FF">
        <w:rPr>
          <w:rFonts w:ascii="Tahoma" w:hAnsi="Tahoma" w:cs="Tahoma"/>
          <w:sz w:val="22"/>
          <w:szCs w:val="22"/>
        </w:rPr>
        <w:t xml:space="preserve"> </w:t>
      </w:r>
      <w:r w:rsidR="00B2273C">
        <w:rPr>
          <w:rFonts w:ascii="Tahoma" w:hAnsi="Tahoma" w:cs="Tahoma"/>
          <w:sz w:val="22"/>
          <w:szCs w:val="22"/>
        </w:rPr>
        <w:t>31</w:t>
      </w:r>
      <w:r w:rsidR="00D534FF">
        <w:rPr>
          <w:rFonts w:ascii="Tahoma" w:hAnsi="Tahoma" w:cs="Tahoma"/>
          <w:sz w:val="22"/>
          <w:szCs w:val="22"/>
        </w:rPr>
        <w:t>. 12. 202</w:t>
      </w:r>
      <w:r w:rsidR="0024781E">
        <w:rPr>
          <w:rFonts w:ascii="Tahoma" w:hAnsi="Tahoma" w:cs="Tahoma"/>
          <w:sz w:val="22"/>
          <w:szCs w:val="22"/>
        </w:rPr>
        <w:t>4</w:t>
      </w:r>
      <w:r w:rsidR="00EC2F17" w:rsidRPr="00D534FF">
        <w:rPr>
          <w:rFonts w:ascii="Tahoma" w:hAnsi="Tahoma" w:cs="Tahoma"/>
          <w:sz w:val="22"/>
          <w:szCs w:val="22"/>
        </w:rPr>
        <w:t>.</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3F415332" w14:textId="77777777" w:rsidR="00066D69" w:rsidRPr="009F59C3" w:rsidRDefault="00066D69" w:rsidP="0040045B">
      <w:pPr>
        <w:numPr>
          <w:ilvl w:val="0"/>
          <w:numId w:val="11"/>
        </w:numPr>
        <w:tabs>
          <w:tab w:val="clear" w:pos="1146"/>
          <w:tab w:val="left" w:pos="851"/>
        </w:tabs>
        <w:spacing w:before="60"/>
        <w:ind w:left="850" w:hanging="425"/>
        <w:rPr>
          <w:rFonts w:ascii="Tahoma" w:hAnsi="Tahoma" w:cs="Tahoma"/>
          <w:iCs/>
          <w:sz w:val="22"/>
          <w:szCs w:val="22"/>
        </w:rPr>
      </w:pPr>
      <w:r w:rsidRPr="009F59C3">
        <w:rPr>
          <w:rFonts w:ascii="Tahoma" w:hAnsi="Tahoma" w:cs="Tahoma"/>
          <w:iCs/>
          <w:sz w:val="22"/>
          <w:szCs w:val="22"/>
        </w:rPr>
        <w:lastRenderedPageBreak/>
        <w:t>neporušenosti obalů zboží,</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7516D6F3"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16C1AD3C" w:rsidR="00066D69" w:rsidRPr="00286595" w:rsidRDefault="00066D69" w:rsidP="00286595">
      <w:pPr>
        <w:numPr>
          <w:ilvl w:val="0"/>
          <w:numId w:val="9"/>
        </w:numPr>
        <w:tabs>
          <w:tab w:val="clear" w:pos="1429"/>
          <w:tab w:val="num" w:pos="720"/>
          <w:tab w:val="num" w:pos="900"/>
          <w:tab w:val="num" w:pos="1080"/>
        </w:tabs>
        <w:spacing w:before="60"/>
        <w:ind w:left="900"/>
        <w:jc w:val="both"/>
        <w:rPr>
          <w:rFonts w:ascii="Tahoma" w:hAnsi="Tahoma" w:cs="Tahoma"/>
          <w:b/>
          <w:bCs/>
          <w:sz w:val="22"/>
          <w:szCs w:val="22"/>
        </w:rPr>
      </w:pPr>
      <w:r w:rsidRPr="005D2561">
        <w:rPr>
          <w:rFonts w:ascii="Tahoma" w:hAnsi="Tahoma" w:cs="Tahoma"/>
          <w:sz w:val="22"/>
          <w:szCs w:val="22"/>
        </w:rPr>
        <w:t xml:space="preserve">předmět </w:t>
      </w:r>
      <w:r w:rsidR="00E86115" w:rsidRPr="005D2561">
        <w:rPr>
          <w:rFonts w:ascii="Tahoma" w:hAnsi="Tahoma" w:cs="Tahoma"/>
          <w:sz w:val="22"/>
          <w:szCs w:val="22"/>
        </w:rPr>
        <w:t>smlouvy</w:t>
      </w:r>
      <w:r w:rsidR="006D4A0B" w:rsidRPr="005D2561">
        <w:rPr>
          <w:rFonts w:ascii="Tahoma" w:hAnsi="Tahoma" w:cs="Tahoma"/>
          <w:sz w:val="22"/>
          <w:szCs w:val="22"/>
        </w:rPr>
        <w:t>, tj. text: „</w:t>
      </w:r>
      <w:r w:rsidR="00037EA8" w:rsidRPr="00037EA8">
        <w:rPr>
          <w:rFonts w:ascii="Tahoma" w:hAnsi="Tahoma" w:cs="Tahoma"/>
          <w:b/>
          <w:bCs/>
          <w:sz w:val="22"/>
          <w:szCs w:val="22"/>
        </w:rPr>
        <w:t xml:space="preserve">Nákup elektricky polohovatelných lůžek </w:t>
      </w:r>
      <w:r w:rsidR="00037EA8" w:rsidRPr="00286595">
        <w:rPr>
          <w:rFonts w:ascii="Tahoma" w:hAnsi="Tahoma" w:cs="Tahoma"/>
          <w:b/>
          <w:bCs/>
          <w:sz w:val="22"/>
          <w:szCs w:val="22"/>
        </w:rPr>
        <w:t>s laterálním náklonem</w:t>
      </w:r>
      <w:r w:rsidR="005D2561" w:rsidRPr="00286595">
        <w:rPr>
          <w:rFonts w:ascii="Tahoma" w:hAnsi="Tahoma" w:cs="Tahoma"/>
          <w:b/>
          <w:bCs/>
          <w:sz w:val="22"/>
          <w:szCs w:val="22"/>
        </w:rPr>
        <w:t>“,</w:t>
      </w:r>
    </w:p>
    <w:p w14:paraId="610F2D6D" w14:textId="77777777" w:rsidR="00A15D7E" w:rsidRPr="00343967" w:rsidRDefault="00066D69" w:rsidP="0024781E">
      <w:pPr>
        <w:widowControl w:val="0"/>
        <w:numPr>
          <w:ilvl w:val="0"/>
          <w:numId w:val="11"/>
        </w:numPr>
        <w:tabs>
          <w:tab w:val="clear" w:pos="1146"/>
          <w:tab w:val="num" w:pos="851"/>
          <w:tab w:val="num" w:pos="1429"/>
        </w:tabs>
        <w:spacing w:before="60"/>
        <w:ind w:left="851" w:hanging="284"/>
        <w:jc w:val="both"/>
        <w:rPr>
          <w:rFonts w:ascii="Tahoma" w:hAnsi="Tahoma" w:cs="Tahoma"/>
          <w:sz w:val="22"/>
          <w:szCs w:val="22"/>
        </w:rPr>
      </w:pPr>
      <w:r w:rsidRPr="000E75EA">
        <w:rPr>
          <w:rFonts w:ascii="Tahoma" w:hAnsi="Tahoma" w:cs="Tahoma"/>
          <w:sz w:val="22"/>
          <w:szCs w:val="22"/>
        </w:rPr>
        <w:t>označení banky a čísla účtu, na který musí být zaplaceno</w:t>
      </w:r>
      <w:r w:rsidR="00A15D7E" w:rsidRPr="000E75EA">
        <w:rPr>
          <w:rFonts w:ascii="Tahoma" w:hAnsi="Tahoma" w:cs="Tahoma"/>
          <w:sz w:val="22"/>
          <w:szCs w:val="22"/>
        </w:rPr>
        <w:t xml:space="preserve"> (pokud je číslo účtu od</w:t>
      </w:r>
      <w:r w:rsidR="00A15D7E" w:rsidRPr="00343967">
        <w:rPr>
          <w:rFonts w:ascii="Tahoma" w:hAnsi="Tahoma" w:cs="Tahoma"/>
          <w:sz w:val="22"/>
          <w:szCs w:val="22"/>
        </w:rPr>
        <w:t xml:space="preserve">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24781E">
      <w:pPr>
        <w:numPr>
          <w:ilvl w:val="0"/>
          <w:numId w:val="11"/>
        </w:numPr>
        <w:tabs>
          <w:tab w:val="num" w:pos="1429"/>
        </w:tabs>
        <w:spacing w:before="60"/>
        <w:ind w:left="851" w:hanging="284"/>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24781E">
      <w:pPr>
        <w:numPr>
          <w:ilvl w:val="0"/>
          <w:numId w:val="11"/>
        </w:numPr>
        <w:tabs>
          <w:tab w:val="num" w:pos="1429"/>
        </w:tabs>
        <w:spacing w:before="60"/>
        <w:ind w:left="851" w:hanging="284"/>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24781E">
      <w:pPr>
        <w:numPr>
          <w:ilvl w:val="0"/>
          <w:numId w:val="11"/>
        </w:numPr>
        <w:tabs>
          <w:tab w:val="num" w:pos="1429"/>
        </w:tabs>
        <w:spacing w:before="60"/>
        <w:ind w:left="851" w:hanging="284"/>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1E0AE57E"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9F59C3">
        <w:rPr>
          <w:rFonts w:ascii="Tahoma" w:hAnsi="Tahoma" w:cs="Tahoma"/>
          <w:iCs/>
          <w:sz w:val="22"/>
          <w:szCs w:val="22"/>
        </w:rPr>
        <w:t>30</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 xml:space="preserve">institut zvláštního způsobu zajištění daně dle </w:t>
      </w:r>
      <w:r w:rsidR="00206335" w:rsidRPr="0024681B">
        <w:rPr>
          <w:rFonts w:ascii="Tahoma" w:hAnsi="Tahoma" w:cs="Tahoma"/>
          <w:sz w:val="22"/>
          <w:szCs w:val="22"/>
        </w:rPr>
        <w:lastRenderedPageBreak/>
        <w:t>§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7777777" w:rsidR="002E23FB" w:rsidRPr="009F59C3"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9F59C3">
        <w:rPr>
          <w:rFonts w:ascii="Tahoma" w:hAnsi="Tahoma" w:cs="Tahoma"/>
          <w:sz w:val="22"/>
          <w:szCs w:val="22"/>
        </w:rPr>
        <w:t xml:space="preserve">prodávající bude ke dni </w:t>
      </w:r>
      <w:r w:rsidR="00BD5FB9" w:rsidRPr="009F59C3">
        <w:rPr>
          <w:rFonts w:ascii="Tahoma" w:hAnsi="Tahoma" w:cs="Tahoma"/>
          <w:sz w:val="22"/>
          <w:szCs w:val="22"/>
        </w:rPr>
        <w:t xml:space="preserve">poskytnutí úplaty nebo ke dni </w:t>
      </w:r>
      <w:r w:rsidRPr="009F59C3">
        <w:rPr>
          <w:rFonts w:ascii="Tahoma" w:hAnsi="Tahoma" w:cs="Tahoma"/>
          <w:sz w:val="22"/>
          <w:szCs w:val="22"/>
        </w:rPr>
        <w:t>uskutečnění zdanitelného plnění v insolvenčním řízení</w:t>
      </w:r>
      <w:r w:rsidR="002E23FB" w:rsidRPr="009F59C3">
        <w:rPr>
          <w:rFonts w:ascii="Tahoma" w:hAnsi="Tahoma" w:cs="Tahoma"/>
          <w:sz w:val="22"/>
          <w:szCs w:val="22"/>
        </w:rPr>
        <w:t>, nebo</w:t>
      </w:r>
    </w:p>
    <w:p w14:paraId="7C4BCA73" w14:textId="77777777" w:rsidR="00206335" w:rsidRPr="009F59C3"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9F59C3">
        <w:rPr>
          <w:rFonts w:ascii="Tahoma" w:hAnsi="Tahoma" w:cs="Tahoma"/>
          <w:sz w:val="22"/>
          <w:szCs w:val="22"/>
        </w:rPr>
        <w:t>bankovní účet prodá</w:t>
      </w:r>
      <w:r w:rsidR="00D425CA" w:rsidRPr="009F59C3">
        <w:rPr>
          <w:rFonts w:ascii="Tahoma" w:hAnsi="Tahoma" w:cs="Tahoma"/>
          <w:sz w:val="22"/>
          <w:szCs w:val="22"/>
        </w:rPr>
        <w:t>vajícího určený k úhradě plnění uvedený na faktuře</w:t>
      </w:r>
      <w:r w:rsidRPr="009F59C3">
        <w:rPr>
          <w:rFonts w:ascii="Tahoma" w:hAnsi="Tahoma" w:cs="Tahoma"/>
          <w:sz w:val="22"/>
          <w:szCs w:val="22"/>
        </w:rPr>
        <w:t xml:space="preserve"> nebude správcem daně zveřejněn v aplikaci „Registr DPH“</w:t>
      </w:r>
      <w:r w:rsidR="00BD5FB9" w:rsidRPr="009F59C3">
        <w:rPr>
          <w:rFonts w:ascii="Tahoma" w:hAnsi="Tahoma" w:cs="Tahoma"/>
          <w:sz w:val="22"/>
          <w:szCs w:val="22"/>
        </w:rPr>
        <w:t>.</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39634E90"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B2273C">
        <w:rPr>
          <w:rFonts w:ascii="Tahoma" w:hAnsi="Tahoma" w:cs="Tahoma"/>
          <w:sz w:val="22"/>
          <w:szCs w:val="22"/>
        </w:rPr>
        <w:t>36</w:t>
      </w:r>
      <w:r w:rsidRPr="00E4380E">
        <w:rPr>
          <w:rFonts w:ascii="Tahoma" w:hAnsi="Tahoma" w:cs="Tahoma"/>
          <w:i/>
          <w:iCs/>
          <w:color w:val="FF0000"/>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45A35AB2" w14:textId="7EFDF94F" w:rsidR="00066D69" w:rsidRPr="009F59C3" w:rsidRDefault="00066D69" w:rsidP="009F59C3">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0481ACFD"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p>
    <w:p w14:paraId="40A3BA99" w14:textId="7DD61629"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p>
    <w:p w14:paraId="643A64E2" w14:textId="191D2233"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 xml:space="preserve">V případě výměny nebo opravy v servisním středisku prodávajícího nebo autorizovaném </w:t>
      </w:r>
      <w:r w:rsidRPr="00343967">
        <w:rPr>
          <w:rFonts w:ascii="Tahoma" w:hAnsi="Tahoma" w:cs="Tahoma"/>
          <w:sz w:val="22"/>
          <w:szCs w:val="22"/>
        </w:rPr>
        <w:lastRenderedPageBreak/>
        <w:t>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6BE347CB" w:rsidR="00066D69" w:rsidRPr="00BA674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Odstranění vady musí být provedeno </w:t>
      </w:r>
      <w:r w:rsidRPr="009F59C3">
        <w:rPr>
          <w:rFonts w:ascii="Tahoma" w:hAnsi="Tahoma" w:cs="Tahoma"/>
          <w:sz w:val="22"/>
          <w:szCs w:val="22"/>
        </w:rPr>
        <w:t xml:space="preserve">do </w:t>
      </w:r>
      <w:r w:rsidR="009F59C3">
        <w:rPr>
          <w:rFonts w:ascii="Tahoma" w:hAnsi="Tahoma" w:cs="Tahoma"/>
          <w:sz w:val="22"/>
          <w:szCs w:val="22"/>
        </w:rPr>
        <w:t>5</w:t>
      </w:r>
      <w:r w:rsidR="009F59C3" w:rsidRPr="009F59C3">
        <w:rPr>
          <w:rFonts w:ascii="Tahoma" w:hAnsi="Tahoma" w:cs="Tahoma"/>
          <w:sz w:val="22"/>
          <w:szCs w:val="22"/>
        </w:rPr>
        <w:t xml:space="preserve"> </w:t>
      </w:r>
      <w:r w:rsidR="009F59C3">
        <w:rPr>
          <w:rFonts w:ascii="Tahoma" w:hAnsi="Tahoma" w:cs="Tahoma"/>
          <w:sz w:val="22"/>
          <w:szCs w:val="22"/>
        </w:rPr>
        <w:t xml:space="preserve">kalendářních </w:t>
      </w:r>
      <w:r w:rsidR="001D1DEB" w:rsidRPr="009F59C3">
        <w:rPr>
          <w:rFonts w:ascii="Tahoma" w:hAnsi="Tahoma" w:cs="Tahoma"/>
          <w:sz w:val="22"/>
          <w:szCs w:val="22"/>
        </w:rPr>
        <w:t>dnů</w:t>
      </w:r>
      <w:r w:rsidR="008F4E65" w:rsidRPr="009F59C3">
        <w:rPr>
          <w:rFonts w:ascii="Tahoma" w:hAnsi="Tahoma" w:cs="Tahoma"/>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r w:rsidRPr="00BA6747">
        <w:rPr>
          <w:rFonts w:ascii="Tahoma" w:hAnsi="Tahoma" w:cs="Tahoma"/>
          <w:sz w:val="22"/>
          <w:szCs w:val="22"/>
        </w:rPr>
        <w:t>Pokud prodávající vadu neodstraní ve stanovené lhůtě, je povinen kupujícímu poskytnout zdarma ná</w:t>
      </w:r>
      <w:r w:rsidR="008F4E65" w:rsidRPr="00BA6747">
        <w:rPr>
          <w:rFonts w:ascii="Tahoma" w:hAnsi="Tahoma" w:cs="Tahoma"/>
          <w:sz w:val="22"/>
          <w:szCs w:val="22"/>
        </w:rPr>
        <w:t>hradní zboží o </w:t>
      </w:r>
      <w:r w:rsidRPr="00BA6747">
        <w:rPr>
          <w:rFonts w:ascii="Tahoma" w:hAnsi="Tahoma" w:cs="Tahoma"/>
          <w:sz w:val="22"/>
          <w:szCs w:val="22"/>
        </w:rPr>
        <w:t>stejných nebo vyš</w:t>
      </w:r>
      <w:r w:rsidR="008F4E65" w:rsidRPr="00BA6747">
        <w:rPr>
          <w:rFonts w:ascii="Tahoma" w:hAnsi="Tahoma" w:cs="Tahoma"/>
          <w:sz w:val="22"/>
          <w:szCs w:val="22"/>
        </w:rPr>
        <w:t>ších technických parametrech, a </w:t>
      </w:r>
      <w:r w:rsidRPr="00BA6747">
        <w:rPr>
          <w:rFonts w:ascii="Tahoma" w:hAnsi="Tahoma" w:cs="Tahoma"/>
          <w:sz w:val="22"/>
          <w:szCs w:val="22"/>
        </w:rPr>
        <w:t>to až do</w:t>
      </w:r>
      <w:r w:rsidR="008F4E65" w:rsidRPr="00BA6747">
        <w:rPr>
          <w:rFonts w:ascii="Tahoma" w:hAnsi="Tahoma" w:cs="Tahoma"/>
          <w:sz w:val="22"/>
          <w:szCs w:val="22"/>
        </w:rPr>
        <w:t> </w:t>
      </w:r>
      <w:r w:rsidRPr="00BA6747">
        <w:rPr>
          <w:rFonts w:ascii="Tahoma" w:hAnsi="Tahoma" w:cs="Tahoma"/>
          <w:sz w:val="22"/>
          <w:szCs w:val="22"/>
        </w:rPr>
        <w:t>doby předání opraveného zboží kupujícímu.</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34AD7F14"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této smlouvy, je povinen zaplatit kupujícímu smluvní pokutu ve výši</w:t>
      </w:r>
      <w:r w:rsidR="00BA6747">
        <w:rPr>
          <w:rFonts w:ascii="Tahoma" w:hAnsi="Tahoma" w:cs="Tahoma"/>
          <w:sz w:val="22"/>
          <w:szCs w:val="22"/>
        </w:rPr>
        <w:t xml:space="preserve"> 0,1</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313C837E" w:rsidR="00066D69" w:rsidRPr="000A7598" w:rsidRDefault="00066D69" w:rsidP="008F4E65">
      <w:pPr>
        <w:pStyle w:val="Import16"/>
        <w:numPr>
          <w:ilvl w:val="0"/>
          <w:numId w:val="7"/>
        </w:numPr>
        <w:tabs>
          <w:tab w:val="clear" w:pos="360"/>
          <w:tab w:val="clear" w:pos="864"/>
        </w:tabs>
        <w:spacing w:before="120"/>
        <w:ind w:left="357" w:hanging="357"/>
        <w:jc w:val="both"/>
        <w:rPr>
          <w:rFonts w:ascii="Tahoma" w:hAnsi="Tahoma" w:cs="Tahoma"/>
          <w:iCs/>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BA6747">
        <w:rPr>
          <w:rFonts w:ascii="Tahoma" w:hAnsi="Tahoma" w:cs="Tahoma"/>
          <w:sz w:val="22"/>
          <w:szCs w:val="22"/>
        </w:rPr>
        <w:t>a</w:t>
      </w:r>
      <w:r w:rsidR="008F4E65" w:rsidRPr="00BA6747">
        <w:rPr>
          <w:rFonts w:ascii="Tahoma" w:hAnsi="Tahoma" w:cs="Tahoma"/>
          <w:sz w:val="22"/>
          <w:szCs w:val="22"/>
        </w:rPr>
        <w:t> </w:t>
      </w:r>
      <w:r w:rsidRPr="00BA6747">
        <w:rPr>
          <w:rFonts w:ascii="Tahoma" w:hAnsi="Tahoma" w:cs="Tahoma"/>
          <w:sz w:val="22"/>
          <w:szCs w:val="22"/>
        </w:rPr>
        <w:t>zár</w:t>
      </w:r>
      <w:r w:rsidR="008F4E65" w:rsidRPr="00BA6747">
        <w:rPr>
          <w:rFonts w:ascii="Tahoma" w:hAnsi="Tahoma" w:cs="Tahoma"/>
          <w:sz w:val="22"/>
          <w:szCs w:val="22"/>
        </w:rPr>
        <w:t>oveň v této lhůtě kupujícímu za </w:t>
      </w:r>
      <w:r w:rsidRPr="00BA6747">
        <w:rPr>
          <w:rFonts w:ascii="Tahoma" w:hAnsi="Tahoma" w:cs="Tahoma"/>
          <w:sz w:val="22"/>
          <w:szCs w:val="22"/>
        </w:rPr>
        <w:t>vadné zboží neposkytne zdarma náhradní zboží</w:t>
      </w:r>
      <w:r w:rsidR="008F4E65" w:rsidRPr="00BA6747">
        <w:rPr>
          <w:rFonts w:ascii="Tahoma" w:hAnsi="Tahoma" w:cs="Tahoma"/>
          <w:sz w:val="22"/>
          <w:szCs w:val="22"/>
        </w:rPr>
        <w:t xml:space="preserve"> </w:t>
      </w:r>
      <w:r w:rsidRPr="00BA6747">
        <w:rPr>
          <w:rFonts w:ascii="Tahoma" w:hAnsi="Tahoma" w:cs="Tahoma"/>
          <w:sz w:val="22"/>
          <w:szCs w:val="22"/>
        </w:rPr>
        <w:t>o</w:t>
      </w:r>
      <w:r w:rsidR="008F4E65" w:rsidRPr="00BA6747">
        <w:rPr>
          <w:rFonts w:ascii="Tahoma" w:hAnsi="Tahoma" w:cs="Tahoma"/>
          <w:sz w:val="22"/>
          <w:szCs w:val="22"/>
        </w:rPr>
        <w:t> </w:t>
      </w:r>
      <w:r w:rsidRPr="00BA6747">
        <w:rPr>
          <w:rFonts w:ascii="Tahoma" w:hAnsi="Tahoma" w:cs="Tahoma"/>
          <w:sz w:val="22"/>
          <w:szCs w:val="22"/>
        </w:rPr>
        <w:t>stejných nebo vyšších technických parametrech</w:t>
      </w:r>
      <w:r w:rsidR="008F4E65" w:rsidRPr="00BA6747">
        <w:rPr>
          <w:rFonts w:ascii="Tahoma" w:hAnsi="Tahoma" w:cs="Tahoma"/>
          <w:sz w:val="22"/>
          <w:szCs w:val="22"/>
        </w:rPr>
        <w:t xml:space="preserve">, </w:t>
      </w:r>
      <w:r w:rsidRPr="00BA6747">
        <w:rPr>
          <w:rFonts w:ascii="Tahoma" w:hAnsi="Tahoma" w:cs="Tahoma"/>
          <w:sz w:val="22"/>
          <w:szCs w:val="22"/>
        </w:rPr>
        <w:t>j</w:t>
      </w:r>
      <w:r w:rsidRPr="00343967">
        <w:rPr>
          <w:rFonts w:ascii="Tahoma" w:hAnsi="Tahoma" w:cs="Tahoma"/>
          <w:sz w:val="22"/>
          <w:szCs w:val="22"/>
        </w:rPr>
        <w:t xml:space="preserve">e povinen zaplatit kupujícímu smluvní pokutu ve výši </w:t>
      </w:r>
      <w:r w:rsidR="000A7598">
        <w:rPr>
          <w:rFonts w:ascii="Tahoma" w:hAnsi="Tahoma" w:cs="Tahoma"/>
          <w:iCs/>
          <w:sz w:val="22"/>
          <w:szCs w:val="22"/>
        </w:rPr>
        <w:t>0,1</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2A7324" w:rsidRPr="000A7598">
        <w:rPr>
          <w:rFonts w:ascii="Tahoma" w:hAnsi="Tahoma" w:cs="Tahoma"/>
          <w:iCs/>
          <w:sz w:val="22"/>
          <w:szCs w:val="22"/>
        </w:rPr>
        <w:t>,</w:t>
      </w:r>
      <w:r w:rsidRPr="000A7598">
        <w:rPr>
          <w:rFonts w:ascii="Tahoma" w:hAnsi="Tahoma" w:cs="Tahoma"/>
          <w:iCs/>
          <w:sz w:val="22"/>
          <w:szCs w:val="22"/>
        </w:rPr>
        <w:t xml:space="preserve"> nebo </w:t>
      </w:r>
      <w:r w:rsidR="00323E78" w:rsidRPr="000A7598">
        <w:rPr>
          <w:rFonts w:ascii="Tahoma" w:hAnsi="Tahoma" w:cs="Tahoma"/>
          <w:iCs/>
          <w:sz w:val="22"/>
          <w:szCs w:val="22"/>
        </w:rPr>
        <w:t>do</w:t>
      </w:r>
      <w:r w:rsidR="008F4E65" w:rsidRPr="000A7598">
        <w:rPr>
          <w:rFonts w:ascii="Tahoma" w:hAnsi="Tahoma" w:cs="Tahoma"/>
          <w:iCs/>
          <w:sz w:val="22"/>
          <w:szCs w:val="22"/>
        </w:rPr>
        <w:t> </w:t>
      </w:r>
      <w:r w:rsidRPr="000A7598">
        <w:rPr>
          <w:rFonts w:ascii="Tahoma" w:hAnsi="Tahoma" w:cs="Tahoma"/>
          <w:iCs/>
          <w:sz w:val="22"/>
          <w:szCs w:val="22"/>
        </w:rPr>
        <w:t>poskytnutí náhradního zboží o stejných nebo vyšších technických parametrech.</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154443C2" w14:textId="6DDC2E02" w:rsidR="00AF525A" w:rsidRPr="005F178F" w:rsidRDefault="00AF525A" w:rsidP="00AF525A">
      <w:pPr>
        <w:pStyle w:val="paragraph"/>
        <w:numPr>
          <w:ilvl w:val="0"/>
          <w:numId w:val="4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platby poskytované </w:t>
      </w:r>
      <w:r>
        <w:rPr>
          <w:rStyle w:val="normaltextrun"/>
          <w:rFonts w:ascii="Tahoma" w:hAnsi="Tahoma" w:cs="Tahoma"/>
          <w:sz w:val="22"/>
          <w:szCs w:val="22"/>
        </w:rPr>
        <w:t>kupujícím</w:t>
      </w:r>
      <w:r w:rsidRPr="005F178F">
        <w:rPr>
          <w:rStyle w:val="normaltextrun"/>
          <w:rFonts w:ascii="Tahoma" w:hAnsi="Tahoma" w:cs="Tahoma"/>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5F178F">
        <w:rPr>
          <w:rStyle w:val="eop"/>
          <w:rFonts w:ascii="Tahoma" w:hAnsi="Tahoma" w:cs="Tahoma"/>
          <w:sz w:val="22"/>
          <w:szCs w:val="22"/>
        </w:rPr>
        <w:t> </w:t>
      </w:r>
    </w:p>
    <w:p w14:paraId="76E82471" w14:textId="0439EA1E" w:rsidR="00AF525A" w:rsidRPr="005F178F" w:rsidRDefault="00AF525A" w:rsidP="00AF525A">
      <w:pPr>
        <w:pStyle w:val="paragraph"/>
        <w:numPr>
          <w:ilvl w:val="0"/>
          <w:numId w:val="4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Pr>
          <w:rStyle w:val="normaltextrun"/>
          <w:rFonts w:ascii="Tahoma" w:hAnsi="Tahoma" w:cs="Tahoma"/>
          <w:sz w:val="22"/>
          <w:szCs w:val="22"/>
        </w:rPr>
        <w:t>prodávající</w:t>
      </w:r>
      <w:r w:rsidRPr="005F178F">
        <w:rPr>
          <w:rStyle w:val="normaltextrun"/>
          <w:rFonts w:ascii="Tahoma" w:hAnsi="Tahoma" w:cs="Tahoma"/>
          <w:sz w:val="22"/>
          <w:szCs w:val="22"/>
        </w:rPr>
        <w:t xml:space="preserve"> není:</w:t>
      </w:r>
    </w:p>
    <w:p w14:paraId="42CB0161" w14:textId="3CD740D0" w:rsidR="00AF525A" w:rsidRPr="005F178F" w:rsidRDefault="00AF525A" w:rsidP="00AF525A">
      <w:pPr>
        <w:pStyle w:val="paragraph"/>
        <w:numPr>
          <w:ilvl w:val="0"/>
          <w:numId w:val="43"/>
        </w:numPr>
        <w:tabs>
          <w:tab w:val="clear" w:pos="720"/>
        </w:tabs>
        <w:spacing w:before="120" w:beforeAutospacing="0" w:after="0" w:afterAutospacing="0"/>
        <w:ind w:left="851" w:hanging="425"/>
        <w:jc w:val="both"/>
        <w:textAlignment w:val="baseline"/>
        <w:rPr>
          <w:rFonts w:ascii="Tahoma" w:hAnsi="Tahoma" w:cs="Tahoma"/>
          <w:sz w:val="22"/>
          <w:szCs w:val="22"/>
        </w:rPr>
      </w:pPr>
      <w:r w:rsidRPr="005F178F">
        <w:rPr>
          <w:rStyle w:val="normaltextrun"/>
          <w:rFonts w:ascii="Tahoma" w:hAnsi="Tahoma" w:cs="Tahoma"/>
          <w:sz w:val="22"/>
          <w:szCs w:val="22"/>
        </w:rPr>
        <w:t>ruským státním příslušníkem, fyzickou nebo právnickou osobou se sídlem v Rusku,</w:t>
      </w:r>
    </w:p>
    <w:p w14:paraId="0100C9AC" w14:textId="75E84322" w:rsidR="00AF525A" w:rsidRPr="005F178F" w:rsidRDefault="00AF525A" w:rsidP="00AF525A">
      <w:pPr>
        <w:pStyle w:val="paragraph"/>
        <w:numPr>
          <w:ilvl w:val="0"/>
          <w:numId w:val="43"/>
        </w:numPr>
        <w:tabs>
          <w:tab w:val="clear" w:pos="720"/>
        </w:tabs>
        <w:spacing w:before="120" w:beforeAutospacing="0" w:after="0" w:afterAutospacing="0"/>
        <w:ind w:left="851" w:hanging="425"/>
        <w:jc w:val="both"/>
        <w:textAlignment w:val="baseline"/>
        <w:rPr>
          <w:rFonts w:ascii="Tahoma" w:hAnsi="Tahoma" w:cs="Tahoma"/>
          <w:sz w:val="22"/>
          <w:szCs w:val="22"/>
        </w:rPr>
      </w:pPr>
      <w:r w:rsidRPr="005F178F">
        <w:rPr>
          <w:rStyle w:val="normaltextrun"/>
          <w:rFonts w:ascii="Tahoma" w:hAnsi="Tahoma" w:cs="Tahoma"/>
          <w:sz w:val="22"/>
          <w:szCs w:val="22"/>
        </w:rPr>
        <w:t>právnickou osobou, která je z více než 50 % přímo či nepřímo vlastněna některou z</w:t>
      </w:r>
      <w:r>
        <w:rPr>
          <w:rStyle w:val="normaltextrun"/>
          <w:rFonts w:ascii="Tahoma" w:hAnsi="Tahoma" w:cs="Tahoma"/>
          <w:sz w:val="22"/>
          <w:szCs w:val="22"/>
        </w:rPr>
        <w:t> </w:t>
      </w:r>
      <w:r w:rsidRPr="005F178F">
        <w:rPr>
          <w:rStyle w:val="normaltextrun"/>
          <w:rFonts w:ascii="Tahoma" w:hAnsi="Tahoma" w:cs="Tahoma"/>
          <w:sz w:val="22"/>
          <w:szCs w:val="22"/>
        </w:rPr>
        <w:t>osob dle předešlé odrážky, nebo</w:t>
      </w:r>
    </w:p>
    <w:p w14:paraId="16458063" w14:textId="6A645879" w:rsidR="00AF525A" w:rsidRPr="005F178F" w:rsidRDefault="00AF525A" w:rsidP="00AF525A">
      <w:pPr>
        <w:pStyle w:val="paragraph"/>
        <w:numPr>
          <w:ilvl w:val="0"/>
          <w:numId w:val="44"/>
        </w:numPr>
        <w:tabs>
          <w:tab w:val="clear" w:pos="720"/>
        </w:tabs>
        <w:spacing w:before="120" w:beforeAutospacing="0" w:after="0" w:afterAutospacing="0"/>
        <w:ind w:left="851" w:hanging="425"/>
        <w:jc w:val="both"/>
        <w:textAlignment w:val="baseline"/>
        <w:rPr>
          <w:rFonts w:ascii="Tahoma" w:hAnsi="Tahoma" w:cs="Tahoma"/>
          <w:sz w:val="22"/>
          <w:szCs w:val="22"/>
        </w:rPr>
      </w:pPr>
      <w:r w:rsidRPr="005F178F">
        <w:rPr>
          <w:rStyle w:val="normaltextrun"/>
          <w:rFonts w:ascii="Tahoma" w:hAnsi="Tahoma" w:cs="Tahoma"/>
          <w:sz w:val="22"/>
          <w:szCs w:val="22"/>
        </w:rPr>
        <w:lastRenderedPageBreak/>
        <w:t>fyzickou nebo právnickou osobou, která jedná jménem nebo na pokyn některé z osob uvedených v předešlých odrážkách.</w:t>
      </w:r>
    </w:p>
    <w:p w14:paraId="035B1296" w14:textId="0408D51C" w:rsidR="00AF525A" w:rsidRPr="005F178F" w:rsidRDefault="00AF525A" w:rsidP="00AF525A">
      <w:pPr>
        <w:pStyle w:val="paragraph"/>
        <w:spacing w:before="120" w:beforeAutospacing="0" w:after="0" w:afterAutospacing="0"/>
        <w:ind w:left="425"/>
        <w:jc w:val="both"/>
        <w:textAlignment w:val="baseline"/>
        <w:rPr>
          <w:rFonts w:ascii="Segoe UI" w:hAnsi="Segoe UI" w:cs="Segoe UI"/>
          <w:sz w:val="22"/>
          <w:szCs w:val="22"/>
        </w:rPr>
      </w:pPr>
      <w:r>
        <w:rPr>
          <w:rStyle w:val="normaltextrun"/>
          <w:rFonts w:ascii="Tahoma" w:hAnsi="Tahoma" w:cs="Tahoma"/>
          <w:sz w:val="22"/>
          <w:szCs w:val="22"/>
        </w:rPr>
        <w:t>Prodávající</w:t>
      </w:r>
      <w:r w:rsidRPr="005F178F">
        <w:rPr>
          <w:rStyle w:val="normaltextrun"/>
          <w:rFonts w:ascii="Tahoma" w:hAnsi="Tahoma" w:cs="Tahoma"/>
          <w:sz w:val="22"/>
          <w:szCs w:val="22"/>
        </w:rPr>
        <w:t xml:space="preserve"> odpovídá za to, že po dobu trvání smlouvy žádná z výše uvedených podmínek není naplněna ani u jeho poddodavatele (nebo jiné osoby prokazující za </w:t>
      </w:r>
      <w:r w:rsidR="00B06076">
        <w:rPr>
          <w:rStyle w:val="normaltextrun"/>
          <w:rFonts w:ascii="Tahoma" w:hAnsi="Tahoma" w:cs="Tahoma"/>
          <w:sz w:val="22"/>
          <w:szCs w:val="22"/>
        </w:rPr>
        <w:t>prodávajícího</w:t>
      </w:r>
      <w:r w:rsidRPr="005F178F">
        <w:rPr>
          <w:rStyle w:val="normaltextrun"/>
          <w:rFonts w:ascii="Tahoma" w:hAnsi="Tahoma" w:cs="Tahoma"/>
          <w:sz w:val="22"/>
          <w:szCs w:val="22"/>
        </w:rPr>
        <w:t xml:space="preserve"> kvalifikaci), který se bude na plnění této smlouvy podílet z více jak 10 % hodnoty plnění.</w:t>
      </w:r>
    </w:p>
    <w:p w14:paraId="57E4C172" w14:textId="19B14B12" w:rsidR="00AF525A" w:rsidRPr="005F178F" w:rsidRDefault="00AF525A" w:rsidP="00AF525A">
      <w:pPr>
        <w:pStyle w:val="paragraph"/>
        <w:numPr>
          <w:ilvl w:val="0"/>
          <w:numId w:val="45"/>
        </w:numPr>
        <w:tabs>
          <w:tab w:val="clear" w:pos="720"/>
        </w:tabs>
        <w:spacing w:before="120" w:beforeAutospacing="0" w:after="0" w:afterAutospacing="0"/>
        <w:ind w:left="425" w:hanging="425"/>
        <w:jc w:val="both"/>
        <w:textAlignment w:val="baseline"/>
        <w:rPr>
          <w:rFonts w:ascii="Tahoma" w:hAnsi="Tahoma" w:cs="Tahoma"/>
          <w:sz w:val="22"/>
          <w:szCs w:val="22"/>
        </w:rPr>
      </w:pPr>
      <w:r w:rsidRPr="005F178F">
        <w:rPr>
          <w:rStyle w:val="normaltextrun"/>
          <w:rFonts w:ascii="Tahoma" w:hAnsi="Tahoma" w:cs="Tahoma"/>
          <w:sz w:val="22"/>
          <w:szCs w:val="22"/>
        </w:rPr>
        <w:t>Bude-li kterékoliv z nařízení v budoucnu doplněno či nahrazeno jinou legislativou obdobného významu, uvedená povinnost se uplatní obdobně.</w:t>
      </w:r>
    </w:p>
    <w:p w14:paraId="7DDE1667" w14:textId="6FAF280C" w:rsidR="00AF525A" w:rsidRPr="005F178F" w:rsidRDefault="00B06076" w:rsidP="00AF525A">
      <w:pPr>
        <w:pStyle w:val="paragraph"/>
        <w:numPr>
          <w:ilvl w:val="0"/>
          <w:numId w:val="4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Prodávající</w:t>
      </w:r>
      <w:r w:rsidR="00AF525A" w:rsidRPr="005F178F">
        <w:rPr>
          <w:rStyle w:val="normaltextrun"/>
          <w:rFonts w:ascii="Tahoma" w:hAnsi="Tahoma" w:cs="Tahoma"/>
          <w:sz w:val="22"/>
          <w:szCs w:val="22"/>
        </w:rPr>
        <w:t xml:space="preserve"> je povinen </w:t>
      </w:r>
      <w:r>
        <w:rPr>
          <w:rStyle w:val="normaltextrun"/>
          <w:rFonts w:ascii="Tahoma" w:hAnsi="Tahoma" w:cs="Tahoma"/>
          <w:sz w:val="22"/>
          <w:szCs w:val="22"/>
        </w:rPr>
        <w:t>kupujícího</w:t>
      </w:r>
      <w:r w:rsidR="00AF525A" w:rsidRPr="005F178F">
        <w:rPr>
          <w:rStyle w:val="normaltextrun"/>
          <w:rFonts w:ascii="Tahoma" w:hAnsi="Tahoma" w:cs="Tahoma"/>
          <w:sz w:val="22"/>
          <w:szCs w:val="22"/>
        </w:rPr>
        <w:t xml:space="preserve"> bezodkladně informovat o jakýchkoliv skutečnostech, které mají vliv na odpovědnost </w:t>
      </w:r>
      <w:r>
        <w:rPr>
          <w:rStyle w:val="normaltextrun"/>
          <w:rFonts w:ascii="Tahoma" w:hAnsi="Tahoma" w:cs="Tahoma"/>
          <w:sz w:val="22"/>
          <w:szCs w:val="22"/>
        </w:rPr>
        <w:t>prodávajícího</w:t>
      </w:r>
      <w:r w:rsidR="00AF525A" w:rsidRPr="005F178F">
        <w:rPr>
          <w:rStyle w:val="normaltextrun"/>
          <w:rFonts w:ascii="Tahoma" w:hAnsi="Tahoma" w:cs="Tahoma"/>
          <w:sz w:val="22"/>
          <w:szCs w:val="22"/>
        </w:rPr>
        <w:t xml:space="preserve"> dle odst. 1 nebo 2 tohoto článku smlouvy. </w:t>
      </w:r>
      <w:r>
        <w:rPr>
          <w:rStyle w:val="normaltextrun"/>
          <w:rFonts w:ascii="Tahoma" w:hAnsi="Tahoma" w:cs="Tahoma"/>
          <w:sz w:val="22"/>
          <w:szCs w:val="22"/>
        </w:rPr>
        <w:t>Prodávající</w:t>
      </w:r>
      <w:r w:rsidR="00AF525A" w:rsidRPr="005F178F">
        <w:rPr>
          <w:rStyle w:val="normaltextrun"/>
          <w:rFonts w:ascii="Tahoma" w:hAnsi="Tahoma" w:cs="Tahoma"/>
          <w:sz w:val="22"/>
          <w:szCs w:val="22"/>
        </w:rPr>
        <w:t xml:space="preserve"> je současně povinen kdykoliv poskytnout </w:t>
      </w:r>
      <w:r>
        <w:rPr>
          <w:rStyle w:val="normaltextrun"/>
          <w:rFonts w:ascii="Tahoma" w:hAnsi="Tahoma" w:cs="Tahoma"/>
          <w:sz w:val="22"/>
          <w:szCs w:val="22"/>
        </w:rPr>
        <w:t>kupujícímu</w:t>
      </w:r>
      <w:r w:rsidR="00AF525A" w:rsidRPr="005F178F">
        <w:rPr>
          <w:rStyle w:val="normaltextrun"/>
          <w:rFonts w:ascii="Tahoma" w:hAnsi="Tahoma" w:cs="Tahoma"/>
          <w:sz w:val="22"/>
          <w:szCs w:val="22"/>
        </w:rPr>
        <w:t xml:space="preserve"> bezodkladnou součinnost pro případné ověření pravdivosti těchto informací.</w:t>
      </w:r>
    </w:p>
    <w:p w14:paraId="4C0E69CC" w14:textId="7625292E" w:rsidR="00AF525A" w:rsidRPr="005F178F" w:rsidRDefault="00AF525A" w:rsidP="00AF525A">
      <w:pPr>
        <w:pStyle w:val="paragraph"/>
        <w:numPr>
          <w:ilvl w:val="0"/>
          <w:numId w:val="47"/>
        </w:numPr>
        <w:tabs>
          <w:tab w:val="clear" w:pos="720"/>
        </w:tabs>
        <w:spacing w:before="120" w:beforeAutospacing="0" w:after="0" w:afterAutospacing="0"/>
        <w:ind w:left="425" w:hanging="425"/>
        <w:jc w:val="both"/>
        <w:textAlignment w:val="baseline"/>
        <w:rPr>
          <w:rFonts w:ascii="Tahoma" w:hAnsi="Tahoma" w:cs="Tahoma"/>
          <w:sz w:val="22"/>
          <w:szCs w:val="22"/>
        </w:rPr>
      </w:pPr>
      <w:r w:rsidRPr="005F178F">
        <w:rPr>
          <w:rStyle w:val="normaltextrun"/>
          <w:rFonts w:ascii="Tahoma" w:hAnsi="Tahoma" w:cs="Tahoma"/>
          <w:sz w:val="22"/>
          <w:szCs w:val="22"/>
        </w:rPr>
        <w:t xml:space="preserve">Dojde-li k porušení pravidel dle odst. 1 a/nebo 2 tohoto článku smlouvy, je </w:t>
      </w:r>
      <w:r w:rsidR="00B06076">
        <w:rPr>
          <w:rStyle w:val="normaltextrun"/>
          <w:rFonts w:ascii="Tahoma" w:hAnsi="Tahoma" w:cs="Tahoma"/>
          <w:sz w:val="22"/>
          <w:szCs w:val="22"/>
        </w:rPr>
        <w:t>kupující</w:t>
      </w:r>
      <w:r w:rsidRPr="005F178F">
        <w:rPr>
          <w:rStyle w:val="normaltextrun"/>
          <w:rFonts w:ascii="Tahoma" w:hAnsi="Tahoma" w:cs="Tahoma"/>
          <w:sz w:val="22"/>
          <w:szCs w:val="22"/>
        </w:rPr>
        <w:t xml:space="preserve"> oprávněn odstoupit od této smlouvy; odstoupení se však nedotýká povinností </w:t>
      </w:r>
      <w:r w:rsidR="00B06076">
        <w:rPr>
          <w:rStyle w:val="normaltextrun"/>
          <w:rFonts w:ascii="Tahoma" w:hAnsi="Tahoma" w:cs="Tahoma"/>
          <w:sz w:val="22"/>
          <w:szCs w:val="22"/>
        </w:rPr>
        <w:t>prodávajícího</w:t>
      </w:r>
      <w:r w:rsidRPr="005F178F">
        <w:rPr>
          <w:rStyle w:val="normaltextrun"/>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5FFDA507" w14:textId="6F97E1B3" w:rsidR="00AF525A" w:rsidRPr="005F178F" w:rsidRDefault="00AF525A" w:rsidP="00AF525A">
      <w:pPr>
        <w:pStyle w:val="paragraph"/>
        <w:numPr>
          <w:ilvl w:val="0"/>
          <w:numId w:val="48"/>
        </w:numPr>
        <w:tabs>
          <w:tab w:val="clear" w:pos="720"/>
        </w:tabs>
        <w:spacing w:before="120" w:beforeAutospacing="0" w:after="0" w:afterAutospacing="0"/>
        <w:ind w:left="425" w:hanging="425"/>
        <w:jc w:val="both"/>
        <w:textAlignment w:val="baseline"/>
        <w:rPr>
          <w:rFonts w:ascii="Tahoma" w:hAnsi="Tahoma" w:cs="Tahoma"/>
          <w:sz w:val="22"/>
          <w:szCs w:val="22"/>
        </w:rPr>
      </w:pPr>
      <w:r w:rsidRPr="005F178F">
        <w:rPr>
          <w:rStyle w:val="normaltextrun"/>
          <w:rFonts w:ascii="Tahoma" w:hAnsi="Tahoma" w:cs="Tahoma"/>
          <w:sz w:val="22"/>
          <w:szCs w:val="22"/>
        </w:rPr>
        <w:t xml:space="preserve">Dojde-li k porušení pravidel dle odst. 1 a/nebo 2 této smlouvy, je </w:t>
      </w:r>
      <w:r w:rsidR="00B06076">
        <w:rPr>
          <w:rStyle w:val="normaltextrun"/>
          <w:rFonts w:ascii="Tahoma" w:hAnsi="Tahoma" w:cs="Tahoma"/>
          <w:sz w:val="22"/>
          <w:szCs w:val="22"/>
        </w:rPr>
        <w:t>prodávající</w:t>
      </w:r>
      <w:r w:rsidRPr="005F178F">
        <w:rPr>
          <w:rStyle w:val="normaltextrun"/>
          <w:rFonts w:ascii="Tahoma" w:hAnsi="Tahoma" w:cs="Tahoma"/>
          <w:sz w:val="22"/>
          <w:szCs w:val="22"/>
        </w:rPr>
        <w:t xml:space="preserve"> povinen zaplatit </w:t>
      </w:r>
      <w:r w:rsidR="00B06076">
        <w:rPr>
          <w:rStyle w:val="normaltextrun"/>
          <w:rFonts w:ascii="Tahoma" w:hAnsi="Tahoma" w:cs="Tahoma"/>
          <w:sz w:val="22"/>
          <w:szCs w:val="22"/>
        </w:rPr>
        <w:t>kupujícímu</w:t>
      </w:r>
      <w:r w:rsidRPr="005F178F">
        <w:rPr>
          <w:rStyle w:val="normaltextrun"/>
          <w:rFonts w:ascii="Tahoma" w:hAnsi="Tahoma" w:cs="Tahoma"/>
          <w:sz w:val="22"/>
          <w:szCs w:val="22"/>
        </w:rPr>
        <w:t xml:space="preserve"> smluvní pokutu ve výši </w:t>
      </w:r>
      <w:r>
        <w:rPr>
          <w:rStyle w:val="normaltextrun"/>
          <w:rFonts w:ascii="Tahoma" w:hAnsi="Tahoma" w:cs="Tahoma"/>
          <w:sz w:val="22"/>
          <w:szCs w:val="22"/>
        </w:rPr>
        <w:t>10</w:t>
      </w:r>
      <w:r w:rsidRPr="005F178F">
        <w:rPr>
          <w:rStyle w:val="normaltextrun"/>
          <w:rFonts w:ascii="Tahoma" w:hAnsi="Tahoma" w:cs="Tahoma"/>
          <w:sz w:val="22"/>
          <w:szCs w:val="22"/>
        </w:rPr>
        <w:t>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lastRenderedPageBreak/>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40097C84"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 xml:space="preserve">mlouva je </w:t>
      </w:r>
      <w:r w:rsidR="00270461" w:rsidRPr="00D05FFA">
        <w:rPr>
          <w:rFonts w:ascii="Tahoma" w:hAnsi="Tahoma" w:cs="Tahoma"/>
          <w:iCs/>
          <w:sz w:val="22"/>
          <w:szCs w:val="22"/>
        </w:rPr>
        <w:t>uzavírána elektronicky</w:t>
      </w:r>
      <w:r w:rsidR="00D05FFA">
        <w:rPr>
          <w:rFonts w:ascii="Tahoma" w:hAnsi="Tahoma" w:cs="Tahoma"/>
          <w:iCs/>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7914747B" w:rsidR="00726A43"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0A7598">
        <w:rPr>
          <w:rFonts w:ascii="Tahoma" w:hAnsi="Tahoma" w:cs="Tahoma"/>
          <w:sz w:val="22"/>
          <w:szCs w:val="22"/>
        </w:rPr>
        <w:t>kupujícího</w:t>
      </w:r>
      <w:r w:rsidRPr="000A7598">
        <w:rPr>
          <w:rFonts w:ascii="Tahoma" w:hAnsi="Tahoma" w:cs="Tahoma"/>
          <w:sz w:val="22"/>
          <w:szCs w:val="22"/>
        </w:rPr>
        <w:t xml:space="preserve"> </w:t>
      </w:r>
      <w:hyperlink r:id="rId7" w:history="1">
        <w:r w:rsidR="000A7598" w:rsidRPr="000A7598">
          <w:rPr>
            <w:rStyle w:val="Hypertextovodkaz"/>
            <w:rFonts w:ascii="Tahoma" w:hAnsi="Tahoma" w:cs="Tahoma"/>
            <w:color w:val="auto"/>
            <w:sz w:val="22"/>
            <w:szCs w:val="22"/>
          </w:rPr>
          <w:t>www.nassvetprzno.cz</w:t>
        </w:r>
      </w:hyperlink>
      <w:r w:rsidRPr="000A7598">
        <w:rPr>
          <w:rFonts w:ascii="Tahoma" w:hAnsi="Tahoma" w:cs="Tahoma"/>
          <w:sz w:val="22"/>
          <w:szCs w:val="22"/>
        </w:rPr>
        <w:t>.</w:t>
      </w:r>
    </w:p>
    <w:p w14:paraId="1FA481C8" w14:textId="77777777" w:rsidR="00986D0E" w:rsidRPr="009479A4" w:rsidRDefault="00066D69" w:rsidP="00986D0E">
      <w:pPr>
        <w:numPr>
          <w:ilvl w:val="0"/>
          <w:numId w:val="12"/>
        </w:numPr>
        <w:tabs>
          <w:tab w:val="clear" w:pos="720"/>
        </w:tabs>
        <w:spacing w:before="120"/>
        <w:ind w:left="357" w:hanging="357"/>
        <w:jc w:val="both"/>
        <w:rPr>
          <w:rFonts w:ascii="Tahoma" w:hAnsi="Tahoma" w:cs="Tahoma"/>
          <w:iCs/>
          <w:sz w:val="22"/>
          <w:szCs w:val="22"/>
        </w:rPr>
      </w:pPr>
      <w:r w:rsidRPr="009479A4">
        <w:rPr>
          <w:rFonts w:ascii="Tahoma" w:hAnsi="Tahoma" w:cs="Tahoma"/>
          <w:iCs/>
          <w:sz w:val="22"/>
          <w:szCs w:val="22"/>
        </w:rPr>
        <w:t>Nedílnou součástí této smlouvy jsou následující přílohy:</w:t>
      </w:r>
    </w:p>
    <w:p w14:paraId="0513883D" w14:textId="0CE1689C" w:rsidR="00066D69" w:rsidRPr="009479A4" w:rsidRDefault="00066D69" w:rsidP="00986D0E">
      <w:pPr>
        <w:spacing w:before="120"/>
        <w:ind w:left="357"/>
        <w:jc w:val="both"/>
        <w:rPr>
          <w:rFonts w:ascii="Tahoma" w:hAnsi="Tahoma" w:cs="Tahoma"/>
          <w:iCs/>
          <w:sz w:val="22"/>
          <w:szCs w:val="22"/>
        </w:rPr>
      </w:pPr>
      <w:r w:rsidRPr="009479A4">
        <w:rPr>
          <w:rFonts w:ascii="Tahoma" w:hAnsi="Tahoma" w:cs="Tahoma"/>
          <w:iCs/>
          <w:sz w:val="22"/>
          <w:szCs w:val="22"/>
        </w:rPr>
        <w:t xml:space="preserve">Příloha č. 1: </w:t>
      </w:r>
      <w:r w:rsidR="000E75EA" w:rsidRPr="009479A4">
        <w:rPr>
          <w:rFonts w:ascii="Tahoma" w:hAnsi="Tahoma" w:cs="Tahoma"/>
          <w:iCs/>
          <w:sz w:val="22"/>
          <w:szCs w:val="22"/>
        </w:rPr>
        <w:t xml:space="preserve">Technická specifikace </w:t>
      </w:r>
    </w:p>
    <w:p w14:paraId="72B45AC8" w14:textId="1C0C6496" w:rsidR="000E75EA" w:rsidRPr="009479A4" w:rsidRDefault="000E75EA" w:rsidP="00986D0E">
      <w:pPr>
        <w:spacing w:before="120"/>
        <w:ind w:left="357"/>
        <w:jc w:val="both"/>
        <w:rPr>
          <w:rFonts w:ascii="Tahoma" w:hAnsi="Tahoma" w:cs="Tahoma"/>
          <w:iCs/>
          <w:sz w:val="22"/>
          <w:szCs w:val="22"/>
        </w:rPr>
      </w:pPr>
      <w:r w:rsidRPr="009479A4">
        <w:rPr>
          <w:rFonts w:ascii="Tahoma" w:hAnsi="Tahoma" w:cs="Tahoma"/>
          <w:iCs/>
          <w:sz w:val="22"/>
          <w:szCs w:val="22"/>
        </w:rPr>
        <w:t xml:space="preserve">Příloha č. 2: </w:t>
      </w:r>
      <w:r w:rsidR="0024781E">
        <w:rPr>
          <w:rFonts w:ascii="Tahoma" w:hAnsi="Tahoma" w:cs="Tahoma"/>
          <w:iCs/>
          <w:sz w:val="22"/>
          <w:szCs w:val="22"/>
        </w:rPr>
        <w:t>Rozpis kupní ceny</w:t>
      </w:r>
      <w:r w:rsidR="00CC13C3">
        <w:rPr>
          <w:rFonts w:ascii="Tahoma" w:hAnsi="Tahoma" w:cs="Tahoma"/>
          <w:iCs/>
          <w:sz w:val="22"/>
          <w:szCs w:val="22"/>
        </w:rPr>
        <w:t xml:space="preserve"> </w:t>
      </w:r>
    </w:p>
    <w:p w14:paraId="595E3093" w14:textId="051C90A9" w:rsidR="00066D69" w:rsidRPr="009479A4" w:rsidRDefault="00066D69" w:rsidP="00986D0E">
      <w:pPr>
        <w:spacing w:before="120"/>
        <w:ind w:left="357"/>
        <w:jc w:val="both"/>
        <w:rPr>
          <w:rFonts w:ascii="Tahoma" w:hAnsi="Tahoma" w:cs="Tahoma"/>
          <w:iCs/>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398"/>
        <w:gridCol w:w="1726"/>
        <w:gridCol w:w="3516"/>
      </w:tblGrid>
      <w:tr w:rsidR="00F11DAD" w:rsidRPr="00343967" w14:paraId="5B77BE9A" w14:textId="77777777">
        <w:tc>
          <w:tcPr>
            <w:tcW w:w="3420" w:type="dxa"/>
          </w:tcPr>
          <w:p w14:paraId="0D7A5BE2" w14:textId="73CFC684"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0A7598">
              <w:rPr>
                <w:rFonts w:ascii="Tahoma" w:hAnsi="Tahoma" w:cs="Tahoma"/>
                <w:sz w:val="22"/>
                <w:szCs w:val="22"/>
              </w:rPr>
              <w:t>Pržně</w:t>
            </w:r>
            <w:r w:rsidRPr="00343967">
              <w:rPr>
                <w:rFonts w:ascii="Tahoma" w:hAnsi="Tahoma" w:cs="Tahoma"/>
                <w:sz w:val="22"/>
                <w:szCs w:val="22"/>
              </w:rPr>
              <w:t xml:space="preserve"> dne</w:t>
            </w:r>
            <w:r w:rsidR="00986D0E">
              <w:rPr>
                <w:rFonts w:ascii="Tahoma" w:hAnsi="Tahoma" w:cs="Tahoma"/>
                <w:sz w:val="22"/>
                <w:szCs w:val="22"/>
              </w:rPr>
              <w:t> ………………</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6874E9A9" w:rsidR="00F11DAD" w:rsidRPr="000A7598" w:rsidRDefault="000A7598" w:rsidP="000A7598">
            <w:pPr>
              <w:ind w:left="844" w:hanging="844"/>
              <w:jc w:val="center"/>
              <w:rPr>
                <w:rFonts w:ascii="Tahoma" w:hAnsi="Tahoma" w:cs="Tahoma"/>
                <w:iCs/>
                <w:color w:val="FF0000"/>
                <w:sz w:val="22"/>
                <w:szCs w:val="22"/>
              </w:rPr>
            </w:pPr>
            <w:r w:rsidRPr="000A7598">
              <w:rPr>
                <w:rFonts w:ascii="Tahoma" w:hAnsi="Tahoma" w:cs="Tahoma"/>
                <w:iCs/>
                <w:sz w:val="22"/>
                <w:szCs w:val="22"/>
              </w:rPr>
              <w:t>Ing. Jan Zvoníček</w:t>
            </w: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0479591A" w14:textId="77777777" w:rsidR="00F11DAD" w:rsidRDefault="00270461" w:rsidP="00125CED">
            <w:pPr>
              <w:jc w:val="center"/>
              <w:rPr>
                <w:rFonts w:ascii="Tahoma" w:hAnsi="Tahoma" w:cs="Tahoma"/>
                <w:iCs/>
                <w:sz w:val="22"/>
                <w:szCs w:val="22"/>
              </w:rPr>
            </w:pPr>
            <w:r w:rsidRPr="00270461">
              <w:rPr>
                <w:rFonts w:ascii="Tahoma" w:hAnsi="Tahoma" w:cs="Tahoma"/>
                <w:iCs/>
                <w:sz w:val="22"/>
                <w:szCs w:val="22"/>
              </w:rPr>
              <w:t>Petr Smetana</w:t>
            </w:r>
          </w:p>
          <w:p w14:paraId="19E232A8" w14:textId="77777777" w:rsidR="00270461" w:rsidRPr="00270461" w:rsidRDefault="00270461" w:rsidP="00125CED">
            <w:pPr>
              <w:jc w:val="center"/>
              <w:rPr>
                <w:rFonts w:ascii="Tahoma" w:hAnsi="Tahoma" w:cs="Tahoma"/>
                <w:iCs/>
                <w:sz w:val="22"/>
                <w:szCs w:val="22"/>
              </w:rPr>
            </w:pPr>
            <w:r w:rsidRPr="00270461">
              <w:rPr>
                <w:rFonts w:ascii="Tahoma" w:hAnsi="Tahoma" w:cs="Tahoma"/>
                <w:iCs/>
                <w:sz w:val="22"/>
                <w:szCs w:val="22"/>
              </w:rPr>
              <w:t>Vedoucí podpory obchodu</w:t>
            </w:r>
          </w:p>
          <w:p w14:paraId="5D78676F" w14:textId="3A16E4EB" w:rsidR="00270461" w:rsidRPr="00270461" w:rsidRDefault="00270461" w:rsidP="00125CED">
            <w:pPr>
              <w:jc w:val="center"/>
              <w:rPr>
                <w:rFonts w:ascii="Tahoma" w:hAnsi="Tahoma" w:cs="Tahoma"/>
                <w:iCs/>
                <w:color w:val="FF0000"/>
                <w:sz w:val="22"/>
                <w:szCs w:val="22"/>
              </w:rPr>
            </w:pPr>
            <w:r w:rsidRPr="00270461">
              <w:rPr>
                <w:rFonts w:ascii="Tahoma" w:hAnsi="Tahoma" w:cs="Tahoma"/>
                <w:iCs/>
                <w:sz w:val="22"/>
                <w:szCs w:val="22"/>
              </w:rPr>
              <w:t>Na základě plné moci</w:t>
            </w:r>
          </w:p>
        </w:tc>
      </w:tr>
    </w:tbl>
    <w:p w14:paraId="766BC06D" w14:textId="1542C5A7" w:rsidR="00066D69" w:rsidRDefault="00066D69" w:rsidP="00CF3EBB">
      <w:pPr>
        <w:pStyle w:val="Zkladntext"/>
        <w:tabs>
          <w:tab w:val="clear" w:pos="1418"/>
        </w:tabs>
        <w:spacing w:after="240"/>
        <w:ind w:left="1349" w:hanging="992"/>
        <w:rPr>
          <w:rFonts w:ascii="Tahoma" w:hAnsi="Tahoma" w:cs="Tahoma"/>
          <w:i/>
          <w:iCs/>
          <w:color w:val="FF0000"/>
          <w:sz w:val="22"/>
          <w:szCs w:val="22"/>
        </w:rPr>
      </w:pPr>
    </w:p>
    <w:p w14:paraId="100067B0" w14:textId="77777777" w:rsidR="00B23C7E" w:rsidRDefault="00B23C7E" w:rsidP="00CF3EBB">
      <w:pPr>
        <w:pStyle w:val="Zkladntext"/>
        <w:tabs>
          <w:tab w:val="clear" w:pos="1418"/>
        </w:tabs>
        <w:spacing w:after="240"/>
        <w:ind w:left="1349" w:hanging="992"/>
        <w:rPr>
          <w:rFonts w:ascii="Tahoma" w:hAnsi="Tahoma" w:cs="Tahoma"/>
          <w:i/>
          <w:iCs/>
          <w:color w:val="FF0000"/>
          <w:sz w:val="22"/>
          <w:szCs w:val="22"/>
        </w:rPr>
      </w:pPr>
    </w:p>
    <w:p w14:paraId="7CD25F47" w14:textId="77777777" w:rsidR="00B23C7E" w:rsidRDefault="00B23C7E" w:rsidP="00CF3EBB">
      <w:pPr>
        <w:pStyle w:val="Zkladntext"/>
        <w:tabs>
          <w:tab w:val="clear" w:pos="1418"/>
        </w:tabs>
        <w:spacing w:after="240"/>
        <w:ind w:left="1349" w:hanging="992"/>
        <w:rPr>
          <w:rFonts w:ascii="Tahoma" w:hAnsi="Tahoma" w:cs="Tahoma"/>
          <w:i/>
          <w:iCs/>
          <w:color w:val="FF0000"/>
          <w:sz w:val="22"/>
          <w:szCs w:val="22"/>
        </w:rPr>
      </w:pPr>
    </w:p>
    <w:tbl>
      <w:tblPr>
        <w:tblW w:w="10178" w:type="dxa"/>
        <w:tblInd w:w="-709" w:type="dxa"/>
        <w:tblCellMar>
          <w:left w:w="70" w:type="dxa"/>
          <w:right w:w="70" w:type="dxa"/>
        </w:tblCellMar>
        <w:tblLook w:val="04A0" w:firstRow="1" w:lastRow="0" w:firstColumn="1" w:lastColumn="0" w:noHBand="0" w:noVBand="1"/>
      </w:tblPr>
      <w:tblGrid>
        <w:gridCol w:w="1720"/>
        <w:gridCol w:w="3628"/>
        <w:gridCol w:w="1725"/>
        <w:gridCol w:w="3105"/>
      </w:tblGrid>
      <w:tr w:rsidR="00B23C7E" w14:paraId="72387D4B" w14:textId="77777777" w:rsidTr="00B23C7E">
        <w:trPr>
          <w:trHeight w:val="189"/>
        </w:trPr>
        <w:tc>
          <w:tcPr>
            <w:tcW w:w="5348" w:type="dxa"/>
            <w:gridSpan w:val="2"/>
            <w:tcBorders>
              <w:top w:val="nil"/>
              <w:left w:val="nil"/>
              <w:bottom w:val="nil"/>
              <w:right w:val="nil"/>
            </w:tcBorders>
            <w:shd w:val="clear" w:color="auto" w:fill="auto"/>
            <w:noWrap/>
            <w:vAlign w:val="bottom"/>
            <w:hideMark/>
          </w:tcPr>
          <w:p w14:paraId="30E91FC6" w14:textId="77777777" w:rsidR="00106464" w:rsidRDefault="00106464">
            <w:pPr>
              <w:rPr>
                <w:rFonts w:ascii="Calibri" w:hAnsi="Calibri" w:cs="Calibri"/>
                <w:color w:val="000000"/>
              </w:rPr>
            </w:pPr>
          </w:p>
          <w:p w14:paraId="6BD9EFA9" w14:textId="77777777" w:rsidR="00106464" w:rsidRDefault="00106464">
            <w:pPr>
              <w:rPr>
                <w:rFonts w:ascii="Calibri" w:hAnsi="Calibri" w:cs="Calibri"/>
                <w:color w:val="000000"/>
              </w:rPr>
            </w:pPr>
          </w:p>
          <w:p w14:paraId="0AD525A5" w14:textId="77777777" w:rsidR="00106464" w:rsidRDefault="00106464">
            <w:pPr>
              <w:rPr>
                <w:rFonts w:ascii="Calibri" w:hAnsi="Calibri" w:cs="Calibri"/>
                <w:color w:val="000000"/>
              </w:rPr>
            </w:pPr>
          </w:p>
          <w:p w14:paraId="00A8085D" w14:textId="77777777" w:rsidR="00106464" w:rsidRDefault="00106464">
            <w:pPr>
              <w:rPr>
                <w:rFonts w:ascii="Calibri" w:hAnsi="Calibri" w:cs="Calibri"/>
                <w:color w:val="000000"/>
              </w:rPr>
            </w:pPr>
          </w:p>
          <w:p w14:paraId="59F7C30D" w14:textId="2E11EC6E" w:rsidR="00B23C7E" w:rsidRDefault="00B23C7E">
            <w:pPr>
              <w:rPr>
                <w:rFonts w:ascii="Calibri" w:hAnsi="Calibri" w:cs="Calibri"/>
                <w:color w:val="000000"/>
              </w:rPr>
            </w:pPr>
            <w:r>
              <w:rPr>
                <w:rFonts w:ascii="Calibri" w:hAnsi="Calibri" w:cs="Calibri"/>
                <w:color w:val="000000"/>
              </w:rPr>
              <w:lastRenderedPageBreak/>
              <w:t>Příloha č.1 smlouvy</w:t>
            </w:r>
          </w:p>
        </w:tc>
        <w:tc>
          <w:tcPr>
            <w:tcW w:w="1725" w:type="dxa"/>
            <w:tcBorders>
              <w:top w:val="nil"/>
              <w:left w:val="nil"/>
              <w:bottom w:val="nil"/>
              <w:right w:val="nil"/>
            </w:tcBorders>
            <w:shd w:val="clear" w:color="auto" w:fill="auto"/>
            <w:noWrap/>
            <w:vAlign w:val="bottom"/>
            <w:hideMark/>
          </w:tcPr>
          <w:p w14:paraId="1102A4B0" w14:textId="77777777" w:rsidR="00B23C7E" w:rsidRDefault="00B23C7E">
            <w:pPr>
              <w:rPr>
                <w:rFonts w:ascii="Calibri" w:hAnsi="Calibri" w:cs="Calibri"/>
                <w:color w:val="000000"/>
              </w:rPr>
            </w:pPr>
          </w:p>
        </w:tc>
        <w:tc>
          <w:tcPr>
            <w:tcW w:w="3105" w:type="dxa"/>
            <w:tcBorders>
              <w:top w:val="nil"/>
              <w:left w:val="nil"/>
              <w:bottom w:val="nil"/>
              <w:right w:val="nil"/>
            </w:tcBorders>
            <w:shd w:val="clear" w:color="auto" w:fill="auto"/>
            <w:noWrap/>
            <w:vAlign w:val="bottom"/>
            <w:hideMark/>
          </w:tcPr>
          <w:p w14:paraId="2D74BB0C" w14:textId="77777777" w:rsidR="00B23C7E" w:rsidRDefault="00B23C7E">
            <w:pPr>
              <w:rPr>
                <w:sz w:val="20"/>
                <w:szCs w:val="20"/>
              </w:rPr>
            </w:pPr>
          </w:p>
        </w:tc>
      </w:tr>
      <w:tr w:rsidR="00B23C7E" w14:paraId="30B765DF" w14:textId="77777777" w:rsidTr="00B23C7E">
        <w:trPr>
          <w:trHeight w:val="351"/>
        </w:trPr>
        <w:tc>
          <w:tcPr>
            <w:tcW w:w="10178" w:type="dxa"/>
            <w:gridSpan w:val="4"/>
            <w:tcBorders>
              <w:top w:val="nil"/>
              <w:left w:val="nil"/>
              <w:bottom w:val="nil"/>
              <w:right w:val="nil"/>
            </w:tcBorders>
            <w:shd w:val="clear" w:color="auto" w:fill="auto"/>
            <w:noWrap/>
            <w:vAlign w:val="center"/>
            <w:hideMark/>
          </w:tcPr>
          <w:p w14:paraId="7C2BA073" w14:textId="77777777" w:rsidR="00B23C7E" w:rsidRDefault="00B23C7E">
            <w:pPr>
              <w:jc w:val="center"/>
              <w:rPr>
                <w:rFonts w:ascii="Calibri" w:hAnsi="Calibri" w:cs="Calibri"/>
                <w:b/>
                <w:bCs/>
                <w:color w:val="000000"/>
              </w:rPr>
            </w:pPr>
            <w:r>
              <w:rPr>
                <w:rFonts w:ascii="Calibri" w:hAnsi="Calibri" w:cs="Calibri"/>
                <w:b/>
                <w:bCs/>
                <w:color w:val="000000"/>
              </w:rPr>
              <w:t>Veřejná zakázka: Nákup elektricky polohovatelných lůžek s laterálním náklonem</w:t>
            </w:r>
          </w:p>
        </w:tc>
      </w:tr>
      <w:tr w:rsidR="00B23C7E" w14:paraId="584A8D63" w14:textId="77777777" w:rsidTr="00B23C7E">
        <w:trPr>
          <w:trHeight w:val="225"/>
        </w:trPr>
        <w:tc>
          <w:tcPr>
            <w:tcW w:w="10178" w:type="dxa"/>
            <w:gridSpan w:val="4"/>
            <w:tcBorders>
              <w:top w:val="nil"/>
              <w:left w:val="nil"/>
              <w:bottom w:val="nil"/>
              <w:right w:val="nil"/>
            </w:tcBorders>
            <w:shd w:val="clear" w:color="auto" w:fill="auto"/>
            <w:noWrap/>
            <w:vAlign w:val="bottom"/>
            <w:hideMark/>
          </w:tcPr>
          <w:p w14:paraId="06CBECDD" w14:textId="77777777" w:rsidR="00B23C7E" w:rsidRDefault="00B23C7E">
            <w:pPr>
              <w:jc w:val="center"/>
              <w:rPr>
                <w:rFonts w:ascii="Calibri" w:hAnsi="Calibri" w:cs="Calibri"/>
                <w:b/>
                <w:bCs/>
                <w:color w:val="000000"/>
                <w:sz w:val="28"/>
                <w:szCs w:val="28"/>
              </w:rPr>
            </w:pPr>
            <w:r>
              <w:rPr>
                <w:rFonts w:ascii="Calibri" w:hAnsi="Calibri" w:cs="Calibri"/>
                <w:b/>
                <w:bCs/>
                <w:color w:val="000000"/>
                <w:sz w:val="28"/>
                <w:szCs w:val="28"/>
              </w:rPr>
              <w:t xml:space="preserve"> Technická </w:t>
            </w:r>
            <w:proofErr w:type="gramStart"/>
            <w:r>
              <w:rPr>
                <w:rFonts w:ascii="Calibri" w:hAnsi="Calibri" w:cs="Calibri"/>
                <w:b/>
                <w:bCs/>
                <w:color w:val="000000"/>
                <w:sz w:val="28"/>
                <w:szCs w:val="28"/>
              </w:rPr>
              <w:t>specifikace - popis</w:t>
            </w:r>
            <w:proofErr w:type="gramEnd"/>
            <w:r>
              <w:rPr>
                <w:rFonts w:ascii="Calibri" w:hAnsi="Calibri" w:cs="Calibri"/>
                <w:b/>
                <w:bCs/>
                <w:color w:val="000000"/>
                <w:sz w:val="28"/>
                <w:szCs w:val="28"/>
              </w:rPr>
              <w:t xml:space="preserve"> (uchazeč doplní min. žlutá pole)</w:t>
            </w:r>
          </w:p>
        </w:tc>
      </w:tr>
      <w:tr w:rsidR="00B23C7E" w14:paraId="4E071800" w14:textId="77777777" w:rsidTr="00B23C7E">
        <w:trPr>
          <w:trHeight w:val="179"/>
        </w:trPr>
        <w:tc>
          <w:tcPr>
            <w:tcW w:w="1720" w:type="dxa"/>
            <w:tcBorders>
              <w:top w:val="nil"/>
              <w:left w:val="nil"/>
              <w:bottom w:val="nil"/>
              <w:right w:val="nil"/>
            </w:tcBorders>
            <w:shd w:val="clear" w:color="auto" w:fill="auto"/>
            <w:noWrap/>
            <w:vAlign w:val="bottom"/>
            <w:hideMark/>
          </w:tcPr>
          <w:p w14:paraId="3F1EE429" w14:textId="77777777" w:rsidR="00B23C7E" w:rsidRDefault="00B23C7E">
            <w:pPr>
              <w:jc w:val="center"/>
              <w:rPr>
                <w:rFonts w:ascii="Calibri" w:hAnsi="Calibri" w:cs="Calibri"/>
                <w:b/>
                <w:bCs/>
                <w:color w:val="000000"/>
                <w:sz w:val="28"/>
                <w:szCs w:val="28"/>
              </w:rPr>
            </w:pPr>
          </w:p>
        </w:tc>
        <w:tc>
          <w:tcPr>
            <w:tcW w:w="3628" w:type="dxa"/>
            <w:tcBorders>
              <w:top w:val="nil"/>
              <w:left w:val="nil"/>
              <w:bottom w:val="nil"/>
              <w:right w:val="nil"/>
            </w:tcBorders>
            <w:shd w:val="clear" w:color="auto" w:fill="auto"/>
            <w:vAlign w:val="bottom"/>
            <w:hideMark/>
          </w:tcPr>
          <w:p w14:paraId="1F23C087" w14:textId="77777777" w:rsidR="00B23C7E" w:rsidRDefault="00B23C7E">
            <w:pPr>
              <w:rPr>
                <w:sz w:val="20"/>
                <w:szCs w:val="20"/>
              </w:rPr>
            </w:pPr>
          </w:p>
        </w:tc>
        <w:tc>
          <w:tcPr>
            <w:tcW w:w="1725" w:type="dxa"/>
            <w:tcBorders>
              <w:top w:val="nil"/>
              <w:left w:val="nil"/>
              <w:bottom w:val="nil"/>
              <w:right w:val="nil"/>
            </w:tcBorders>
            <w:shd w:val="clear" w:color="auto" w:fill="auto"/>
            <w:noWrap/>
            <w:vAlign w:val="bottom"/>
            <w:hideMark/>
          </w:tcPr>
          <w:p w14:paraId="399DC765"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74F74B0D" w14:textId="77777777" w:rsidR="00B23C7E" w:rsidRDefault="00B23C7E">
            <w:pPr>
              <w:rPr>
                <w:sz w:val="20"/>
                <w:szCs w:val="20"/>
              </w:rPr>
            </w:pPr>
          </w:p>
        </w:tc>
      </w:tr>
      <w:tr w:rsidR="00B23C7E" w14:paraId="3F017AA8" w14:textId="77777777" w:rsidTr="00B23C7E">
        <w:trPr>
          <w:trHeight w:val="405"/>
        </w:trPr>
        <w:tc>
          <w:tcPr>
            <w:tcW w:w="10178" w:type="dxa"/>
            <w:gridSpan w:val="4"/>
            <w:tcBorders>
              <w:top w:val="nil"/>
              <w:left w:val="nil"/>
              <w:bottom w:val="nil"/>
              <w:right w:val="nil"/>
            </w:tcBorders>
            <w:shd w:val="clear" w:color="auto" w:fill="auto"/>
            <w:vAlign w:val="bottom"/>
            <w:hideMark/>
          </w:tcPr>
          <w:p w14:paraId="01308F98" w14:textId="1DF77FB4" w:rsidR="00B23C7E" w:rsidRDefault="00B23C7E">
            <w:pPr>
              <w:jc w:val="center"/>
              <w:rPr>
                <w:rFonts w:ascii="Calibri" w:hAnsi="Calibri" w:cs="Calibri"/>
                <w:b/>
                <w:bCs/>
                <w:color w:val="000000"/>
                <w:sz w:val="22"/>
                <w:szCs w:val="22"/>
              </w:rPr>
            </w:pPr>
            <w:r>
              <w:rPr>
                <w:rFonts w:ascii="Calibri" w:hAnsi="Calibri" w:cs="Calibri"/>
                <w:b/>
                <w:bCs/>
                <w:color w:val="000000"/>
                <w:sz w:val="22"/>
                <w:szCs w:val="22"/>
              </w:rPr>
              <w:t xml:space="preserve">Elektricky polohovatelné lůžko se čtyřdílnou ložnou plochou s oboustranným laterálním náklonem </w:t>
            </w:r>
            <w:r>
              <w:rPr>
                <w:rFonts w:ascii="Calibri" w:hAnsi="Calibri" w:cs="Calibri"/>
                <w:b/>
                <w:bCs/>
                <w:color w:val="000000"/>
                <w:sz w:val="22"/>
                <w:szCs w:val="22"/>
              </w:rPr>
              <w:br/>
              <w:t xml:space="preserve">včetně hrazdy a </w:t>
            </w:r>
            <w:proofErr w:type="gramStart"/>
            <w:r>
              <w:rPr>
                <w:rFonts w:ascii="Calibri" w:hAnsi="Calibri" w:cs="Calibri"/>
                <w:b/>
                <w:bCs/>
                <w:color w:val="000000"/>
                <w:sz w:val="22"/>
                <w:szCs w:val="22"/>
              </w:rPr>
              <w:t>rukojeti  -</w:t>
            </w:r>
            <w:proofErr w:type="gramEnd"/>
            <w:r>
              <w:rPr>
                <w:rFonts w:ascii="Calibri" w:hAnsi="Calibri" w:cs="Calibri"/>
                <w:b/>
                <w:bCs/>
                <w:color w:val="000000"/>
                <w:sz w:val="22"/>
                <w:szCs w:val="22"/>
              </w:rPr>
              <w:t xml:space="preserve"> </w:t>
            </w:r>
            <w:r w:rsidR="00106464">
              <w:rPr>
                <w:rFonts w:ascii="Calibri" w:hAnsi="Calibri" w:cs="Calibri"/>
                <w:b/>
                <w:bCs/>
                <w:color w:val="000000"/>
                <w:sz w:val="22"/>
                <w:szCs w:val="22"/>
              </w:rPr>
              <w:t>….</w:t>
            </w:r>
            <w:r>
              <w:rPr>
                <w:rFonts w:ascii="Calibri" w:hAnsi="Calibri" w:cs="Calibri"/>
                <w:b/>
                <w:bCs/>
                <w:color w:val="000000"/>
                <w:sz w:val="22"/>
                <w:szCs w:val="22"/>
              </w:rPr>
              <w:t xml:space="preserve"> ks</w:t>
            </w:r>
          </w:p>
        </w:tc>
      </w:tr>
      <w:tr w:rsidR="00B23C7E" w14:paraId="64F060A1" w14:textId="77777777" w:rsidTr="00B23C7E">
        <w:trPr>
          <w:trHeight w:val="179"/>
        </w:trPr>
        <w:tc>
          <w:tcPr>
            <w:tcW w:w="1720" w:type="dxa"/>
            <w:tcBorders>
              <w:top w:val="nil"/>
              <w:left w:val="nil"/>
              <w:bottom w:val="nil"/>
              <w:right w:val="nil"/>
            </w:tcBorders>
            <w:shd w:val="clear" w:color="auto" w:fill="auto"/>
            <w:noWrap/>
            <w:vAlign w:val="bottom"/>
            <w:hideMark/>
          </w:tcPr>
          <w:p w14:paraId="36CB60F7" w14:textId="77777777" w:rsidR="00B23C7E" w:rsidRDefault="00B23C7E">
            <w:pPr>
              <w:jc w:val="center"/>
              <w:rPr>
                <w:rFonts w:ascii="Calibri" w:hAnsi="Calibri" w:cs="Calibri"/>
                <w:b/>
                <w:bCs/>
                <w:color w:val="000000"/>
                <w:sz w:val="22"/>
                <w:szCs w:val="22"/>
              </w:rPr>
            </w:pPr>
          </w:p>
        </w:tc>
        <w:tc>
          <w:tcPr>
            <w:tcW w:w="3628" w:type="dxa"/>
            <w:tcBorders>
              <w:top w:val="nil"/>
              <w:left w:val="nil"/>
              <w:bottom w:val="nil"/>
              <w:right w:val="nil"/>
            </w:tcBorders>
            <w:shd w:val="clear" w:color="auto" w:fill="auto"/>
            <w:vAlign w:val="bottom"/>
            <w:hideMark/>
          </w:tcPr>
          <w:p w14:paraId="3353B22E" w14:textId="77777777" w:rsidR="00B23C7E" w:rsidRDefault="00B23C7E">
            <w:pPr>
              <w:rPr>
                <w:sz w:val="20"/>
                <w:szCs w:val="20"/>
              </w:rPr>
            </w:pPr>
          </w:p>
        </w:tc>
        <w:tc>
          <w:tcPr>
            <w:tcW w:w="1725" w:type="dxa"/>
            <w:tcBorders>
              <w:top w:val="nil"/>
              <w:left w:val="nil"/>
              <w:bottom w:val="nil"/>
              <w:right w:val="nil"/>
            </w:tcBorders>
            <w:shd w:val="clear" w:color="auto" w:fill="auto"/>
            <w:noWrap/>
            <w:vAlign w:val="bottom"/>
            <w:hideMark/>
          </w:tcPr>
          <w:p w14:paraId="2CE76F5F"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45A84F20" w14:textId="77777777" w:rsidR="00B23C7E" w:rsidRDefault="00B23C7E">
            <w:pPr>
              <w:rPr>
                <w:sz w:val="20"/>
                <w:szCs w:val="20"/>
              </w:rPr>
            </w:pPr>
          </w:p>
        </w:tc>
      </w:tr>
      <w:tr w:rsidR="00B23C7E" w14:paraId="0105DBD1" w14:textId="77777777" w:rsidTr="00B23C7E">
        <w:trPr>
          <w:trHeight w:val="360"/>
        </w:trPr>
        <w:tc>
          <w:tcPr>
            <w:tcW w:w="5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7F0CE" w14:textId="77777777" w:rsidR="00B23C7E" w:rsidRPr="00106464" w:rsidRDefault="00B23C7E">
            <w:pPr>
              <w:jc w:val="center"/>
              <w:rPr>
                <w:rFonts w:ascii="Calibri" w:hAnsi="Calibri" w:cs="Calibri"/>
                <w:b/>
                <w:bCs/>
                <w:color w:val="000000"/>
                <w:sz w:val="20"/>
                <w:szCs w:val="20"/>
              </w:rPr>
            </w:pPr>
            <w:r w:rsidRPr="00106464">
              <w:rPr>
                <w:rFonts w:ascii="Calibri" w:hAnsi="Calibri" w:cs="Calibri"/>
                <w:b/>
                <w:bCs/>
                <w:color w:val="000000"/>
                <w:sz w:val="20"/>
                <w:szCs w:val="20"/>
              </w:rPr>
              <w:t>Požadované hodnoty</w:t>
            </w:r>
          </w:p>
        </w:tc>
        <w:tc>
          <w:tcPr>
            <w:tcW w:w="1725" w:type="dxa"/>
            <w:tcBorders>
              <w:top w:val="single" w:sz="4" w:space="0" w:color="auto"/>
              <w:left w:val="nil"/>
              <w:bottom w:val="single" w:sz="4" w:space="0" w:color="auto"/>
              <w:right w:val="nil"/>
            </w:tcBorders>
            <w:shd w:val="clear" w:color="auto" w:fill="auto"/>
            <w:vAlign w:val="center"/>
            <w:hideMark/>
          </w:tcPr>
          <w:p w14:paraId="4F9DF364" w14:textId="77777777" w:rsidR="00B23C7E" w:rsidRPr="00106464" w:rsidRDefault="00B23C7E">
            <w:pPr>
              <w:jc w:val="center"/>
              <w:rPr>
                <w:rFonts w:ascii="Calibri" w:hAnsi="Calibri" w:cs="Calibri"/>
                <w:b/>
                <w:bCs/>
                <w:color w:val="000000"/>
                <w:sz w:val="20"/>
                <w:szCs w:val="20"/>
              </w:rPr>
            </w:pPr>
            <w:r w:rsidRPr="00106464">
              <w:rPr>
                <w:rFonts w:ascii="Calibri" w:hAnsi="Calibri" w:cs="Calibri"/>
                <w:b/>
                <w:bCs/>
                <w:color w:val="000000"/>
                <w:sz w:val="20"/>
                <w:szCs w:val="20"/>
              </w:rPr>
              <w:t>Nabízené zboží splňuje (ano/ne)</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F142C" w14:textId="77777777" w:rsidR="00B23C7E" w:rsidRPr="00106464" w:rsidRDefault="00B23C7E">
            <w:pPr>
              <w:jc w:val="center"/>
              <w:rPr>
                <w:rFonts w:ascii="Calibri" w:hAnsi="Calibri" w:cs="Calibri"/>
                <w:b/>
                <w:bCs/>
                <w:color w:val="000000"/>
                <w:sz w:val="20"/>
                <w:szCs w:val="20"/>
              </w:rPr>
            </w:pPr>
            <w:r w:rsidRPr="00106464">
              <w:rPr>
                <w:rFonts w:ascii="Calibri" w:hAnsi="Calibri" w:cs="Calibri"/>
                <w:b/>
                <w:bCs/>
                <w:color w:val="000000"/>
                <w:sz w:val="20"/>
                <w:szCs w:val="20"/>
              </w:rPr>
              <w:t xml:space="preserve">Pozn. </w:t>
            </w:r>
          </w:p>
        </w:tc>
      </w:tr>
      <w:tr w:rsidR="00B23C7E" w14:paraId="0173B700"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8CE8FE8"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Rozměry:</w:t>
            </w:r>
          </w:p>
        </w:tc>
        <w:tc>
          <w:tcPr>
            <w:tcW w:w="3628" w:type="dxa"/>
            <w:tcBorders>
              <w:top w:val="nil"/>
              <w:left w:val="nil"/>
              <w:bottom w:val="single" w:sz="4" w:space="0" w:color="auto"/>
              <w:right w:val="single" w:sz="4" w:space="0" w:color="auto"/>
            </w:tcBorders>
            <w:shd w:val="clear" w:color="auto" w:fill="auto"/>
            <w:vAlign w:val="bottom"/>
            <w:hideMark/>
          </w:tcPr>
          <w:p w14:paraId="07738CDB"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vnější rozměry 215x100 cm</w:t>
            </w:r>
          </w:p>
        </w:tc>
        <w:tc>
          <w:tcPr>
            <w:tcW w:w="1725" w:type="dxa"/>
            <w:tcBorders>
              <w:top w:val="nil"/>
              <w:left w:val="nil"/>
              <w:bottom w:val="single" w:sz="4" w:space="0" w:color="auto"/>
              <w:right w:val="nil"/>
            </w:tcBorders>
            <w:shd w:val="clear" w:color="000000" w:fill="FFFF00"/>
            <w:vAlign w:val="bottom"/>
            <w:hideMark/>
          </w:tcPr>
          <w:p w14:paraId="76EF56C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56E099A8"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751CEBDB"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F401CDE"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69A04E6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bezpečné pracovní zatížení lůžka 240 kg (± 20 kg)</w:t>
            </w:r>
          </w:p>
        </w:tc>
        <w:tc>
          <w:tcPr>
            <w:tcW w:w="1725" w:type="dxa"/>
            <w:tcBorders>
              <w:top w:val="nil"/>
              <w:left w:val="nil"/>
              <w:bottom w:val="single" w:sz="4" w:space="0" w:color="auto"/>
              <w:right w:val="nil"/>
            </w:tcBorders>
            <w:shd w:val="clear" w:color="000000" w:fill="FFFF00"/>
            <w:noWrap/>
            <w:vAlign w:val="bottom"/>
            <w:hideMark/>
          </w:tcPr>
          <w:p w14:paraId="45EBF3D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07F5A08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60AB85A6"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19117F5"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66510551"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hmotnost lůžka 130 kg (± 15 kg)</w:t>
            </w:r>
          </w:p>
        </w:tc>
        <w:tc>
          <w:tcPr>
            <w:tcW w:w="1725" w:type="dxa"/>
            <w:tcBorders>
              <w:top w:val="nil"/>
              <w:left w:val="nil"/>
              <w:bottom w:val="single" w:sz="4" w:space="0" w:color="auto"/>
              <w:right w:val="nil"/>
            </w:tcBorders>
            <w:shd w:val="clear" w:color="000000" w:fill="FFFF00"/>
            <w:noWrap/>
            <w:vAlign w:val="bottom"/>
            <w:hideMark/>
          </w:tcPr>
          <w:p w14:paraId="4D45E33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0D2BB42B"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5A763774"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F331BB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56BA9F88"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barva kovové konstrukce RAL 9006 stříbrná</w:t>
            </w:r>
          </w:p>
        </w:tc>
        <w:tc>
          <w:tcPr>
            <w:tcW w:w="1725" w:type="dxa"/>
            <w:tcBorders>
              <w:top w:val="nil"/>
              <w:left w:val="nil"/>
              <w:bottom w:val="single" w:sz="4" w:space="0" w:color="auto"/>
              <w:right w:val="nil"/>
            </w:tcBorders>
            <w:shd w:val="clear" w:color="000000" w:fill="FFFF00"/>
            <w:noWrap/>
            <w:vAlign w:val="bottom"/>
            <w:hideMark/>
          </w:tcPr>
          <w:p w14:paraId="508707C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6741982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10BF42D0" w14:textId="77777777" w:rsidTr="00B23C7E">
        <w:trPr>
          <w:trHeight w:val="179"/>
        </w:trPr>
        <w:tc>
          <w:tcPr>
            <w:tcW w:w="1720" w:type="dxa"/>
            <w:tcBorders>
              <w:top w:val="nil"/>
              <w:left w:val="nil"/>
              <w:bottom w:val="nil"/>
              <w:right w:val="nil"/>
            </w:tcBorders>
            <w:shd w:val="clear" w:color="auto" w:fill="auto"/>
            <w:noWrap/>
            <w:vAlign w:val="bottom"/>
            <w:hideMark/>
          </w:tcPr>
          <w:p w14:paraId="043A3496" w14:textId="77777777" w:rsidR="00B23C7E" w:rsidRPr="00106464" w:rsidRDefault="00B23C7E">
            <w:pPr>
              <w:rPr>
                <w:rFonts w:ascii="Calibri" w:hAnsi="Calibri" w:cs="Calibri"/>
                <w:color w:val="000000"/>
                <w:sz w:val="20"/>
                <w:szCs w:val="20"/>
              </w:rPr>
            </w:pPr>
          </w:p>
        </w:tc>
        <w:tc>
          <w:tcPr>
            <w:tcW w:w="3628" w:type="dxa"/>
            <w:tcBorders>
              <w:top w:val="nil"/>
              <w:left w:val="single" w:sz="4" w:space="0" w:color="auto"/>
              <w:bottom w:val="single" w:sz="4" w:space="0" w:color="auto"/>
              <w:right w:val="single" w:sz="4" w:space="0" w:color="auto"/>
            </w:tcBorders>
            <w:shd w:val="clear" w:color="auto" w:fill="auto"/>
            <w:vAlign w:val="bottom"/>
            <w:hideMark/>
          </w:tcPr>
          <w:p w14:paraId="480010FE"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1725" w:type="dxa"/>
            <w:tcBorders>
              <w:top w:val="nil"/>
              <w:left w:val="nil"/>
              <w:bottom w:val="single" w:sz="4" w:space="0" w:color="auto"/>
              <w:right w:val="nil"/>
            </w:tcBorders>
            <w:shd w:val="clear" w:color="000000" w:fill="FFFF00"/>
            <w:noWrap/>
            <w:vAlign w:val="bottom"/>
            <w:hideMark/>
          </w:tcPr>
          <w:p w14:paraId="4598CA7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19B600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4FBFA618" w14:textId="77777777" w:rsidTr="00B23C7E">
        <w:trPr>
          <w:trHeight w:val="179"/>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2D25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Ložná plocha:</w:t>
            </w:r>
          </w:p>
        </w:tc>
        <w:tc>
          <w:tcPr>
            <w:tcW w:w="3628" w:type="dxa"/>
            <w:tcBorders>
              <w:top w:val="nil"/>
              <w:left w:val="nil"/>
              <w:bottom w:val="single" w:sz="4" w:space="0" w:color="auto"/>
              <w:right w:val="single" w:sz="4" w:space="0" w:color="auto"/>
            </w:tcBorders>
            <w:shd w:val="clear" w:color="auto" w:fill="auto"/>
            <w:vAlign w:val="bottom"/>
            <w:hideMark/>
          </w:tcPr>
          <w:p w14:paraId="13FD51D1"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rozměry ložné plochy 200x90 cm</w:t>
            </w:r>
          </w:p>
        </w:tc>
        <w:tc>
          <w:tcPr>
            <w:tcW w:w="1725" w:type="dxa"/>
            <w:tcBorders>
              <w:top w:val="nil"/>
              <w:left w:val="nil"/>
              <w:bottom w:val="single" w:sz="4" w:space="0" w:color="auto"/>
              <w:right w:val="nil"/>
            </w:tcBorders>
            <w:shd w:val="clear" w:color="000000" w:fill="FFFF00"/>
            <w:noWrap/>
            <w:vAlign w:val="bottom"/>
            <w:hideMark/>
          </w:tcPr>
          <w:p w14:paraId="7838877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2BB166C0"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00FA6B29"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653D87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59A3F65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elektrické ovládání zádového a stehenního dílu, polohy, laterálního náklonu +15°/-15° a zdvihu ložné plochy</w:t>
            </w:r>
          </w:p>
        </w:tc>
        <w:tc>
          <w:tcPr>
            <w:tcW w:w="1725" w:type="dxa"/>
            <w:tcBorders>
              <w:top w:val="nil"/>
              <w:left w:val="nil"/>
              <w:bottom w:val="single" w:sz="4" w:space="0" w:color="auto"/>
              <w:right w:val="nil"/>
            </w:tcBorders>
            <w:shd w:val="clear" w:color="000000" w:fill="FFFF00"/>
            <w:noWrap/>
            <w:vAlign w:val="bottom"/>
            <w:hideMark/>
          </w:tcPr>
          <w:p w14:paraId="022F434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6A34A71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48BA62B8" w14:textId="77777777" w:rsidTr="00B23C7E">
        <w:trPr>
          <w:trHeight w:val="36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1EDB38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370DEFC8"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možnost náklonu do TR/ATR (možnosti aktivizace imobilních klientů) min. 15°</w:t>
            </w:r>
          </w:p>
        </w:tc>
        <w:tc>
          <w:tcPr>
            <w:tcW w:w="1725" w:type="dxa"/>
            <w:tcBorders>
              <w:top w:val="nil"/>
              <w:left w:val="nil"/>
              <w:bottom w:val="single" w:sz="4" w:space="0" w:color="auto"/>
              <w:right w:val="nil"/>
            </w:tcBorders>
            <w:shd w:val="clear" w:color="000000" w:fill="FFFF00"/>
            <w:noWrap/>
            <w:vAlign w:val="bottom"/>
            <w:hideMark/>
          </w:tcPr>
          <w:p w14:paraId="2CB49C8B"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27E64A3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52F8596F"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16A09E8"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4C0AD3A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ložná plocha 4dílná s </w:t>
            </w:r>
            <w:proofErr w:type="spellStart"/>
            <w:r w:rsidRPr="00106464">
              <w:rPr>
                <w:rFonts w:ascii="Calibri" w:hAnsi="Calibri" w:cs="Calibri"/>
                <w:color w:val="000000"/>
                <w:sz w:val="20"/>
                <w:szCs w:val="20"/>
              </w:rPr>
              <w:t>anidekubitní</w:t>
            </w:r>
            <w:proofErr w:type="spellEnd"/>
            <w:r w:rsidRPr="00106464">
              <w:rPr>
                <w:rFonts w:ascii="Calibri" w:hAnsi="Calibri" w:cs="Calibri"/>
                <w:color w:val="000000"/>
                <w:sz w:val="20"/>
                <w:szCs w:val="20"/>
              </w:rPr>
              <w:t xml:space="preserve"> funkcí </w:t>
            </w:r>
            <w:proofErr w:type="spellStart"/>
            <w:r w:rsidRPr="00106464">
              <w:rPr>
                <w:rFonts w:ascii="Calibri" w:hAnsi="Calibri" w:cs="Calibri"/>
                <w:color w:val="000000"/>
                <w:sz w:val="20"/>
                <w:szCs w:val="20"/>
              </w:rPr>
              <w:t>autoregrese</w:t>
            </w:r>
            <w:proofErr w:type="spellEnd"/>
            <w:r w:rsidRPr="00106464">
              <w:rPr>
                <w:rFonts w:ascii="Calibri" w:hAnsi="Calibri" w:cs="Calibri"/>
                <w:color w:val="000000"/>
                <w:sz w:val="20"/>
                <w:szCs w:val="20"/>
              </w:rPr>
              <w:t xml:space="preserve"> zádového dílu minimálně 10 cm, z plastových </w:t>
            </w:r>
            <w:proofErr w:type="spellStart"/>
            <w:r w:rsidRPr="00106464">
              <w:rPr>
                <w:rFonts w:ascii="Calibri" w:hAnsi="Calibri" w:cs="Calibri"/>
                <w:color w:val="000000"/>
                <w:sz w:val="20"/>
                <w:szCs w:val="20"/>
              </w:rPr>
              <w:t>segmetnů</w:t>
            </w:r>
            <w:proofErr w:type="spellEnd"/>
            <w:r w:rsidRPr="00106464">
              <w:rPr>
                <w:rFonts w:ascii="Calibri" w:hAnsi="Calibri" w:cs="Calibri"/>
                <w:color w:val="000000"/>
                <w:sz w:val="20"/>
                <w:szCs w:val="20"/>
              </w:rPr>
              <w:t>, rozebíratelná</w:t>
            </w:r>
          </w:p>
        </w:tc>
        <w:tc>
          <w:tcPr>
            <w:tcW w:w="1725" w:type="dxa"/>
            <w:tcBorders>
              <w:top w:val="nil"/>
              <w:left w:val="nil"/>
              <w:bottom w:val="single" w:sz="4" w:space="0" w:color="auto"/>
              <w:right w:val="nil"/>
            </w:tcBorders>
            <w:shd w:val="clear" w:color="000000" w:fill="FFFF00"/>
            <w:noWrap/>
            <w:vAlign w:val="bottom"/>
            <w:hideMark/>
          </w:tcPr>
          <w:p w14:paraId="5667C89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66868DB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0C8BD892" w14:textId="77777777" w:rsidTr="00B23C7E">
        <w:trPr>
          <w:trHeight w:val="72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C8BE5F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3E0325F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odnímatelná čela s hliníkovým rámem na obou stranách lůžka (jednoduchým odjištěním), s dekorem dřeva nebo jednobarevným HPL výplněmi v požadovaném dekoru zadavatele, </w:t>
            </w:r>
          </w:p>
        </w:tc>
        <w:tc>
          <w:tcPr>
            <w:tcW w:w="1725" w:type="dxa"/>
            <w:tcBorders>
              <w:top w:val="nil"/>
              <w:left w:val="nil"/>
              <w:bottom w:val="single" w:sz="4" w:space="0" w:color="auto"/>
              <w:right w:val="nil"/>
            </w:tcBorders>
            <w:shd w:val="clear" w:color="000000" w:fill="FFFF00"/>
            <w:noWrap/>
            <w:vAlign w:val="bottom"/>
            <w:hideMark/>
          </w:tcPr>
          <w:p w14:paraId="19D4C675"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2CE39CB"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37D8DC3D"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C0018E0"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5AC7404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čelo u nohou opatřeno výsuvnou policí s mechanismem na uložení prádelního koše nebo umožňujícím uložení sesterského ovladače</w:t>
            </w:r>
          </w:p>
        </w:tc>
        <w:tc>
          <w:tcPr>
            <w:tcW w:w="1725" w:type="dxa"/>
            <w:tcBorders>
              <w:top w:val="nil"/>
              <w:left w:val="nil"/>
              <w:bottom w:val="single" w:sz="4" w:space="0" w:color="auto"/>
              <w:right w:val="nil"/>
            </w:tcBorders>
            <w:shd w:val="clear" w:color="000000" w:fill="FFFF00"/>
            <w:noWrap/>
            <w:vAlign w:val="bottom"/>
            <w:hideMark/>
          </w:tcPr>
          <w:p w14:paraId="28FA148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CF32B8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29F9487F"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585EAF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4D9431F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libovolné prodloužení ložné plochy lůžka minimálně o 15 cm, musí být umožněno bez použití nástroje, s dílem na prodlouženou matraci</w:t>
            </w:r>
          </w:p>
        </w:tc>
        <w:tc>
          <w:tcPr>
            <w:tcW w:w="1725" w:type="dxa"/>
            <w:tcBorders>
              <w:top w:val="nil"/>
              <w:left w:val="nil"/>
              <w:bottom w:val="single" w:sz="4" w:space="0" w:color="auto"/>
              <w:right w:val="nil"/>
            </w:tcBorders>
            <w:shd w:val="clear" w:color="000000" w:fill="FFFF00"/>
            <w:noWrap/>
            <w:vAlign w:val="bottom"/>
            <w:hideMark/>
          </w:tcPr>
          <w:p w14:paraId="494EA77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697AE03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139AF8DC" w14:textId="77777777" w:rsidTr="00B23C7E">
        <w:trPr>
          <w:trHeight w:val="57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5EFCC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Postranice:</w:t>
            </w:r>
          </w:p>
        </w:tc>
        <w:tc>
          <w:tcPr>
            <w:tcW w:w="3628" w:type="dxa"/>
            <w:tcBorders>
              <w:top w:val="nil"/>
              <w:left w:val="nil"/>
              <w:bottom w:val="single" w:sz="4" w:space="0" w:color="auto"/>
              <w:right w:val="single" w:sz="4" w:space="0" w:color="auto"/>
            </w:tcBorders>
            <w:shd w:val="clear" w:color="auto" w:fill="auto"/>
            <w:vAlign w:val="bottom"/>
            <w:hideMark/>
          </w:tcPr>
          <w:p w14:paraId="6614A440"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spustitelné podélné hliníkové postranice s HPL výplněmi (dle výběru zadavatele) s bezpečnostní aretací s integrovaným teleskopickým prodloužením</w:t>
            </w:r>
          </w:p>
        </w:tc>
        <w:tc>
          <w:tcPr>
            <w:tcW w:w="1725" w:type="dxa"/>
            <w:tcBorders>
              <w:top w:val="nil"/>
              <w:left w:val="nil"/>
              <w:bottom w:val="single" w:sz="4" w:space="0" w:color="auto"/>
              <w:right w:val="nil"/>
            </w:tcBorders>
            <w:shd w:val="clear" w:color="000000" w:fill="FFFF00"/>
            <w:noWrap/>
            <w:vAlign w:val="bottom"/>
            <w:hideMark/>
          </w:tcPr>
          <w:p w14:paraId="40EE2768"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0B6A99C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25941013"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B49C9EB"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18D4067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minimálně se 4 slupni výškového zdvihu, teleskopický systém bez vyklápění, bez středového sloupku</w:t>
            </w:r>
          </w:p>
        </w:tc>
        <w:tc>
          <w:tcPr>
            <w:tcW w:w="1725" w:type="dxa"/>
            <w:tcBorders>
              <w:top w:val="nil"/>
              <w:left w:val="nil"/>
              <w:bottom w:val="single" w:sz="4" w:space="0" w:color="auto"/>
              <w:right w:val="nil"/>
            </w:tcBorders>
            <w:shd w:val="clear" w:color="000000" w:fill="FFFF00"/>
            <w:noWrap/>
            <w:vAlign w:val="bottom"/>
            <w:hideMark/>
          </w:tcPr>
          <w:p w14:paraId="1909427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346FE3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44BBCAD7"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C397F4C" w14:textId="77777777" w:rsidR="00B23C7E" w:rsidRPr="00106464" w:rsidRDefault="00B23C7E">
            <w:pPr>
              <w:rPr>
                <w:rFonts w:ascii="Calibri" w:hAnsi="Calibri" w:cs="Calibri"/>
                <w:color w:val="000000"/>
                <w:sz w:val="20"/>
                <w:szCs w:val="20"/>
              </w:rPr>
            </w:pPr>
            <w:proofErr w:type="spellStart"/>
            <w:r w:rsidRPr="00106464">
              <w:rPr>
                <w:rFonts w:ascii="Calibri" w:hAnsi="Calibri" w:cs="Calibri"/>
                <w:color w:val="000000"/>
                <w:sz w:val="20"/>
                <w:szCs w:val="20"/>
              </w:rPr>
              <w:t>Podovozek</w:t>
            </w:r>
            <w:proofErr w:type="spellEnd"/>
            <w:r w:rsidRPr="00106464">
              <w:rPr>
                <w:rFonts w:ascii="Calibri" w:hAnsi="Calibri" w:cs="Calibri"/>
                <w:color w:val="000000"/>
                <w:sz w:val="20"/>
                <w:szCs w:val="20"/>
              </w:rPr>
              <w:t>:</w:t>
            </w:r>
          </w:p>
        </w:tc>
        <w:tc>
          <w:tcPr>
            <w:tcW w:w="3628" w:type="dxa"/>
            <w:tcBorders>
              <w:top w:val="nil"/>
              <w:left w:val="nil"/>
              <w:bottom w:val="single" w:sz="4" w:space="0" w:color="auto"/>
              <w:right w:val="single" w:sz="4" w:space="0" w:color="auto"/>
            </w:tcBorders>
            <w:shd w:val="clear" w:color="auto" w:fill="auto"/>
            <w:vAlign w:val="bottom"/>
            <w:hideMark/>
          </w:tcPr>
          <w:p w14:paraId="04D54AA6"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výškový zdvih 43-94 cm</w:t>
            </w:r>
          </w:p>
        </w:tc>
        <w:tc>
          <w:tcPr>
            <w:tcW w:w="1725" w:type="dxa"/>
            <w:tcBorders>
              <w:top w:val="nil"/>
              <w:left w:val="nil"/>
              <w:bottom w:val="single" w:sz="4" w:space="0" w:color="auto"/>
              <w:right w:val="nil"/>
            </w:tcBorders>
            <w:shd w:val="clear" w:color="000000" w:fill="FFFF00"/>
            <w:noWrap/>
            <w:vAlign w:val="bottom"/>
            <w:hideMark/>
          </w:tcPr>
          <w:p w14:paraId="059D7316"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0454CFF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33488758" w14:textId="77777777" w:rsidTr="00B23C7E">
        <w:trPr>
          <w:trHeight w:val="24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361813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7EA6A5B1"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motory pro polohování musí být pod ložnou plochou</w:t>
            </w:r>
          </w:p>
        </w:tc>
        <w:tc>
          <w:tcPr>
            <w:tcW w:w="1725" w:type="dxa"/>
            <w:tcBorders>
              <w:top w:val="nil"/>
              <w:left w:val="nil"/>
              <w:bottom w:val="single" w:sz="4" w:space="0" w:color="auto"/>
              <w:right w:val="nil"/>
            </w:tcBorders>
            <w:shd w:val="clear" w:color="000000" w:fill="FFFF00"/>
            <w:noWrap/>
            <w:vAlign w:val="bottom"/>
            <w:hideMark/>
          </w:tcPr>
          <w:p w14:paraId="5A2F769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69E5E32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47463B47"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07D0095"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Kolečka:</w:t>
            </w:r>
          </w:p>
        </w:tc>
        <w:tc>
          <w:tcPr>
            <w:tcW w:w="3628" w:type="dxa"/>
            <w:tcBorders>
              <w:top w:val="nil"/>
              <w:left w:val="nil"/>
              <w:bottom w:val="single" w:sz="4" w:space="0" w:color="auto"/>
              <w:right w:val="single" w:sz="4" w:space="0" w:color="auto"/>
            </w:tcBorders>
            <w:shd w:val="clear" w:color="auto" w:fill="auto"/>
            <w:vAlign w:val="bottom"/>
            <w:hideMark/>
          </w:tcPr>
          <w:p w14:paraId="568BFDC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centrálně ovládaná 150 mm</w:t>
            </w:r>
          </w:p>
        </w:tc>
        <w:tc>
          <w:tcPr>
            <w:tcW w:w="1725" w:type="dxa"/>
            <w:tcBorders>
              <w:top w:val="nil"/>
              <w:left w:val="nil"/>
              <w:bottom w:val="single" w:sz="4" w:space="0" w:color="auto"/>
              <w:right w:val="nil"/>
            </w:tcBorders>
            <w:shd w:val="clear" w:color="000000" w:fill="FFFF00"/>
            <w:noWrap/>
            <w:vAlign w:val="bottom"/>
            <w:hideMark/>
          </w:tcPr>
          <w:p w14:paraId="539407E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7100D05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6E15178A" w14:textId="77777777" w:rsidTr="00B23C7E">
        <w:trPr>
          <w:trHeight w:val="903"/>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6C5CF55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Ostatní vlastnosti: </w:t>
            </w:r>
          </w:p>
        </w:tc>
        <w:tc>
          <w:tcPr>
            <w:tcW w:w="3628" w:type="dxa"/>
            <w:tcBorders>
              <w:top w:val="nil"/>
              <w:left w:val="nil"/>
              <w:bottom w:val="single" w:sz="4" w:space="0" w:color="auto"/>
              <w:right w:val="single" w:sz="4" w:space="0" w:color="auto"/>
            </w:tcBorders>
            <w:shd w:val="clear" w:color="auto" w:fill="auto"/>
            <w:vAlign w:val="bottom"/>
            <w:hideMark/>
          </w:tcPr>
          <w:p w14:paraId="453C4586"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centrální ovládací panel s bezpečnostním aktivizačním tlačítkem, zámky poloh a </w:t>
            </w:r>
            <w:proofErr w:type="spellStart"/>
            <w:r w:rsidRPr="00106464">
              <w:rPr>
                <w:rFonts w:ascii="Calibri" w:hAnsi="Calibri" w:cs="Calibri"/>
                <w:color w:val="000000"/>
                <w:sz w:val="20"/>
                <w:szCs w:val="20"/>
              </w:rPr>
              <w:t>předporgramovanými</w:t>
            </w:r>
            <w:proofErr w:type="spellEnd"/>
            <w:r w:rsidRPr="00106464">
              <w:rPr>
                <w:rFonts w:ascii="Calibri" w:hAnsi="Calibri" w:cs="Calibri"/>
                <w:color w:val="000000"/>
                <w:sz w:val="20"/>
                <w:szCs w:val="20"/>
              </w:rPr>
              <w:t xml:space="preserve"> polohami pro péči o imobilní klienty, např. CPR, TR, </w:t>
            </w:r>
            <w:proofErr w:type="spellStart"/>
            <w:r w:rsidRPr="00106464">
              <w:rPr>
                <w:rFonts w:ascii="Calibri" w:hAnsi="Calibri" w:cs="Calibri"/>
                <w:color w:val="000000"/>
                <w:sz w:val="20"/>
                <w:szCs w:val="20"/>
              </w:rPr>
              <w:t>Kardio</w:t>
            </w:r>
            <w:proofErr w:type="spellEnd"/>
            <w:r w:rsidRPr="00106464">
              <w:rPr>
                <w:rFonts w:ascii="Calibri" w:hAnsi="Calibri" w:cs="Calibri"/>
                <w:color w:val="000000"/>
                <w:sz w:val="20"/>
                <w:szCs w:val="20"/>
              </w:rPr>
              <w:t xml:space="preserve"> křeslo, vyšetřovací, mobilizační</w:t>
            </w:r>
          </w:p>
        </w:tc>
        <w:tc>
          <w:tcPr>
            <w:tcW w:w="1725" w:type="dxa"/>
            <w:tcBorders>
              <w:top w:val="nil"/>
              <w:left w:val="nil"/>
              <w:bottom w:val="single" w:sz="4" w:space="0" w:color="auto"/>
              <w:right w:val="nil"/>
            </w:tcBorders>
            <w:shd w:val="clear" w:color="000000" w:fill="FFFF00"/>
            <w:noWrap/>
            <w:vAlign w:val="bottom"/>
            <w:hideMark/>
          </w:tcPr>
          <w:p w14:paraId="3443ED8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2CFC820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502C10C5"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A34F08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1BFC84B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napájení 230-240 V, 50-60 Hz</w:t>
            </w:r>
          </w:p>
        </w:tc>
        <w:tc>
          <w:tcPr>
            <w:tcW w:w="1725" w:type="dxa"/>
            <w:tcBorders>
              <w:top w:val="nil"/>
              <w:left w:val="nil"/>
              <w:bottom w:val="single" w:sz="4" w:space="0" w:color="auto"/>
              <w:right w:val="nil"/>
            </w:tcBorders>
            <w:shd w:val="clear" w:color="000000" w:fill="FFFF00"/>
            <w:noWrap/>
            <w:vAlign w:val="bottom"/>
            <w:hideMark/>
          </w:tcPr>
          <w:p w14:paraId="417C759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5EB7E72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478F924F" w14:textId="77777777" w:rsidTr="00B23C7E">
        <w:trPr>
          <w:trHeight w:val="36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58C3F9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lastRenderedPageBreak/>
              <w:t> </w:t>
            </w:r>
          </w:p>
        </w:tc>
        <w:tc>
          <w:tcPr>
            <w:tcW w:w="3628" w:type="dxa"/>
            <w:tcBorders>
              <w:top w:val="nil"/>
              <w:left w:val="nil"/>
              <w:bottom w:val="single" w:sz="4" w:space="0" w:color="auto"/>
              <w:right w:val="single" w:sz="4" w:space="0" w:color="auto"/>
            </w:tcBorders>
            <w:shd w:val="clear" w:color="auto" w:fill="auto"/>
            <w:vAlign w:val="bottom"/>
            <w:hideMark/>
          </w:tcPr>
          <w:p w14:paraId="30705E85"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nožní ovladač pro ovládání laterálního náklonu umožňující polohování bočního náklonu</w:t>
            </w:r>
          </w:p>
        </w:tc>
        <w:tc>
          <w:tcPr>
            <w:tcW w:w="1725" w:type="dxa"/>
            <w:tcBorders>
              <w:top w:val="nil"/>
              <w:left w:val="nil"/>
              <w:bottom w:val="single" w:sz="4" w:space="0" w:color="auto"/>
              <w:right w:val="nil"/>
            </w:tcBorders>
            <w:shd w:val="clear" w:color="000000" w:fill="FFFF00"/>
            <w:noWrap/>
            <w:vAlign w:val="bottom"/>
            <w:hideMark/>
          </w:tcPr>
          <w:p w14:paraId="61E6E5E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720F146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67449883" w14:textId="77777777" w:rsidTr="00B23C7E">
        <w:trPr>
          <w:trHeight w:val="36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ECAC26"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Hrazda a rukojeť:</w:t>
            </w:r>
          </w:p>
        </w:tc>
        <w:tc>
          <w:tcPr>
            <w:tcW w:w="3628" w:type="dxa"/>
            <w:tcBorders>
              <w:top w:val="nil"/>
              <w:left w:val="nil"/>
              <w:bottom w:val="single" w:sz="4" w:space="0" w:color="auto"/>
              <w:right w:val="single" w:sz="4" w:space="0" w:color="auto"/>
            </w:tcBorders>
            <w:shd w:val="clear" w:color="auto" w:fill="auto"/>
            <w:vAlign w:val="bottom"/>
            <w:hideMark/>
          </w:tcPr>
          <w:p w14:paraId="37952AA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hrazda zesílena </w:t>
            </w:r>
            <w:proofErr w:type="spellStart"/>
            <w:r w:rsidRPr="00106464">
              <w:rPr>
                <w:rFonts w:ascii="Calibri" w:hAnsi="Calibri" w:cs="Calibri"/>
                <w:color w:val="000000"/>
                <w:sz w:val="20"/>
                <w:szCs w:val="20"/>
              </w:rPr>
              <w:t>lakkovaná</w:t>
            </w:r>
            <w:proofErr w:type="spellEnd"/>
            <w:r w:rsidRPr="00106464">
              <w:rPr>
                <w:rFonts w:ascii="Calibri" w:hAnsi="Calibri" w:cs="Calibri"/>
                <w:color w:val="000000"/>
                <w:sz w:val="20"/>
                <w:szCs w:val="20"/>
              </w:rPr>
              <w:t xml:space="preserve">, splňující normu STN EN 60601-2-52 s </w:t>
            </w:r>
            <w:proofErr w:type="spellStart"/>
            <w:r w:rsidRPr="00106464">
              <w:rPr>
                <w:rFonts w:ascii="Calibri" w:hAnsi="Calibri" w:cs="Calibri"/>
                <w:color w:val="000000"/>
                <w:sz w:val="20"/>
                <w:szCs w:val="20"/>
              </w:rPr>
              <w:t>nostností</w:t>
            </w:r>
            <w:proofErr w:type="spellEnd"/>
            <w:r w:rsidRPr="00106464">
              <w:rPr>
                <w:rFonts w:ascii="Calibri" w:hAnsi="Calibri" w:cs="Calibri"/>
                <w:color w:val="000000"/>
                <w:sz w:val="20"/>
                <w:szCs w:val="20"/>
              </w:rPr>
              <w:t xml:space="preserve"> minimálně 75 kg</w:t>
            </w:r>
          </w:p>
        </w:tc>
        <w:tc>
          <w:tcPr>
            <w:tcW w:w="1725" w:type="dxa"/>
            <w:tcBorders>
              <w:top w:val="nil"/>
              <w:left w:val="nil"/>
              <w:bottom w:val="single" w:sz="4" w:space="0" w:color="auto"/>
              <w:right w:val="nil"/>
            </w:tcBorders>
            <w:shd w:val="clear" w:color="000000" w:fill="FFFF00"/>
            <w:noWrap/>
            <w:vAlign w:val="bottom"/>
            <w:hideMark/>
          </w:tcPr>
          <w:p w14:paraId="70917A3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80A895E"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360BFEC8"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D9BD0BA"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6DA34210"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rukojeť s volitelnou výškou popruhu</w:t>
            </w:r>
          </w:p>
        </w:tc>
        <w:tc>
          <w:tcPr>
            <w:tcW w:w="1725" w:type="dxa"/>
            <w:tcBorders>
              <w:top w:val="nil"/>
              <w:left w:val="nil"/>
              <w:bottom w:val="single" w:sz="4" w:space="0" w:color="auto"/>
              <w:right w:val="nil"/>
            </w:tcBorders>
            <w:shd w:val="clear" w:color="000000" w:fill="FFFF00"/>
            <w:noWrap/>
            <w:vAlign w:val="bottom"/>
            <w:hideMark/>
          </w:tcPr>
          <w:p w14:paraId="2B2A5F7E"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39E2C0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109D8F47"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3A0A4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1EA86A6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barva v kovové konstrukce RAL 9006 stříbrná</w:t>
            </w:r>
          </w:p>
        </w:tc>
        <w:tc>
          <w:tcPr>
            <w:tcW w:w="1725" w:type="dxa"/>
            <w:tcBorders>
              <w:top w:val="nil"/>
              <w:left w:val="nil"/>
              <w:bottom w:val="single" w:sz="4" w:space="0" w:color="auto"/>
              <w:right w:val="single" w:sz="4" w:space="0" w:color="auto"/>
            </w:tcBorders>
            <w:shd w:val="clear" w:color="000000" w:fill="FFFF00"/>
            <w:noWrap/>
            <w:vAlign w:val="bottom"/>
            <w:hideMark/>
          </w:tcPr>
          <w:p w14:paraId="3E05F45D"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nil"/>
              <w:bottom w:val="single" w:sz="4" w:space="0" w:color="auto"/>
              <w:right w:val="single" w:sz="4" w:space="0" w:color="auto"/>
            </w:tcBorders>
            <w:shd w:val="clear" w:color="auto" w:fill="auto"/>
            <w:noWrap/>
            <w:vAlign w:val="bottom"/>
            <w:hideMark/>
          </w:tcPr>
          <w:p w14:paraId="057C678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50A0B01A" w14:textId="77777777" w:rsidTr="00B23C7E">
        <w:trPr>
          <w:trHeight w:val="179"/>
        </w:trPr>
        <w:tc>
          <w:tcPr>
            <w:tcW w:w="1720" w:type="dxa"/>
            <w:tcBorders>
              <w:top w:val="nil"/>
              <w:left w:val="nil"/>
              <w:bottom w:val="nil"/>
              <w:right w:val="nil"/>
            </w:tcBorders>
            <w:shd w:val="clear" w:color="auto" w:fill="auto"/>
            <w:noWrap/>
            <w:vAlign w:val="bottom"/>
            <w:hideMark/>
          </w:tcPr>
          <w:p w14:paraId="078E3E5C" w14:textId="77777777" w:rsidR="00B23C7E" w:rsidRDefault="00B23C7E">
            <w:pPr>
              <w:rPr>
                <w:rFonts w:ascii="Calibri" w:hAnsi="Calibri" w:cs="Calibri"/>
                <w:color w:val="000000"/>
                <w:sz w:val="22"/>
                <w:szCs w:val="22"/>
              </w:rPr>
            </w:pPr>
          </w:p>
        </w:tc>
        <w:tc>
          <w:tcPr>
            <w:tcW w:w="3628" w:type="dxa"/>
            <w:tcBorders>
              <w:top w:val="nil"/>
              <w:left w:val="nil"/>
              <w:bottom w:val="nil"/>
              <w:right w:val="nil"/>
            </w:tcBorders>
            <w:shd w:val="clear" w:color="auto" w:fill="auto"/>
            <w:vAlign w:val="bottom"/>
            <w:hideMark/>
          </w:tcPr>
          <w:p w14:paraId="76FAFF4C" w14:textId="77777777" w:rsidR="00B23C7E" w:rsidRDefault="00B23C7E">
            <w:pPr>
              <w:rPr>
                <w:sz w:val="20"/>
                <w:szCs w:val="20"/>
              </w:rPr>
            </w:pPr>
          </w:p>
        </w:tc>
        <w:tc>
          <w:tcPr>
            <w:tcW w:w="1725" w:type="dxa"/>
            <w:tcBorders>
              <w:top w:val="nil"/>
              <w:left w:val="nil"/>
              <w:bottom w:val="nil"/>
              <w:right w:val="nil"/>
            </w:tcBorders>
            <w:shd w:val="clear" w:color="auto" w:fill="auto"/>
            <w:noWrap/>
            <w:vAlign w:val="bottom"/>
            <w:hideMark/>
          </w:tcPr>
          <w:p w14:paraId="16210970"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0C73C6DC" w14:textId="77777777" w:rsidR="00B23C7E" w:rsidRDefault="00B23C7E">
            <w:pPr>
              <w:rPr>
                <w:sz w:val="20"/>
                <w:szCs w:val="20"/>
              </w:rPr>
            </w:pPr>
          </w:p>
        </w:tc>
      </w:tr>
      <w:tr w:rsidR="00B23C7E" w14:paraId="2B9EA0D5" w14:textId="77777777" w:rsidTr="00B23C7E">
        <w:trPr>
          <w:trHeight w:val="179"/>
        </w:trPr>
        <w:tc>
          <w:tcPr>
            <w:tcW w:w="10178" w:type="dxa"/>
            <w:gridSpan w:val="4"/>
            <w:tcBorders>
              <w:top w:val="nil"/>
              <w:left w:val="nil"/>
              <w:bottom w:val="nil"/>
              <w:right w:val="nil"/>
            </w:tcBorders>
            <w:shd w:val="clear" w:color="auto" w:fill="auto"/>
            <w:noWrap/>
            <w:vAlign w:val="bottom"/>
            <w:hideMark/>
          </w:tcPr>
          <w:p w14:paraId="3F90A88B" w14:textId="251B7909" w:rsidR="00B23C7E" w:rsidRDefault="00B23C7E">
            <w:pPr>
              <w:jc w:val="center"/>
              <w:rPr>
                <w:rFonts w:ascii="Calibri" w:hAnsi="Calibri" w:cs="Calibri"/>
                <w:b/>
                <w:bCs/>
                <w:color w:val="000000"/>
                <w:sz w:val="22"/>
                <w:szCs w:val="22"/>
              </w:rPr>
            </w:pPr>
            <w:r>
              <w:rPr>
                <w:rFonts w:ascii="Calibri" w:hAnsi="Calibri" w:cs="Calibri"/>
                <w:b/>
                <w:bCs/>
                <w:color w:val="000000"/>
                <w:sz w:val="22"/>
                <w:szCs w:val="22"/>
              </w:rPr>
              <w:t xml:space="preserve">Matrace antidekubitní, III. Stupeň - </w:t>
            </w:r>
            <w:r w:rsidR="00106464">
              <w:rPr>
                <w:rFonts w:ascii="Calibri" w:hAnsi="Calibri" w:cs="Calibri"/>
                <w:b/>
                <w:bCs/>
                <w:color w:val="000000"/>
                <w:sz w:val="22"/>
                <w:szCs w:val="22"/>
              </w:rPr>
              <w:t>…</w:t>
            </w:r>
            <w:r>
              <w:rPr>
                <w:rFonts w:ascii="Calibri" w:hAnsi="Calibri" w:cs="Calibri"/>
                <w:b/>
                <w:bCs/>
                <w:color w:val="000000"/>
                <w:sz w:val="22"/>
                <w:szCs w:val="22"/>
              </w:rPr>
              <w:t xml:space="preserve"> ks</w:t>
            </w:r>
          </w:p>
        </w:tc>
      </w:tr>
      <w:tr w:rsidR="00B23C7E" w14:paraId="438DBC41" w14:textId="77777777" w:rsidTr="00B23C7E">
        <w:trPr>
          <w:trHeight w:val="179"/>
        </w:trPr>
        <w:tc>
          <w:tcPr>
            <w:tcW w:w="1720" w:type="dxa"/>
            <w:tcBorders>
              <w:top w:val="nil"/>
              <w:left w:val="nil"/>
              <w:bottom w:val="nil"/>
              <w:right w:val="nil"/>
            </w:tcBorders>
            <w:shd w:val="clear" w:color="auto" w:fill="auto"/>
            <w:noWrap/>
            <w:vAlign w:val="bottom"/>
            <w:hideMark/>
          </w:tcPr>
          <w:p w14:paraId="7F8CD807" w14:textId="77777777" w:rsidR="00B23C7E" w:rsidRDefault="00B23C7E">
            <w:pPr>
              <w:jc w:val="center"/>
              <w:rPr>
                <w:rFonts w:ascii="Calibri" w:hAnsi="Calibri" w:cs="Calibri"/>
                <w:b/>
                <w:bCs/>
                <w:color w:val="000000"/>
                <w:sz w:val="22"/>
                <w:szCs w:val="22"/>
              </w:rPr>
            </w:pPr>
          </w:p>
        </w:tc>
        <w:tc>
          <w:tcPr>
            <w:tcW w:w="3628" w:type="dxa"/>
            <w:tcBorders>
              <w:top w:val="nil"/>
              <w:left w:val="nil"/>
              <w:bottom w:val="nil"/>
              <w:right w:val="nil"/>
            </w:tcBorders>
            <w:shd w:val="clear" w:color="auto" w:fill="auto"/>
            <w:vAlign w:val="bottom"/>
            <w:hideMark/>
          </w:tcPr>
          <w:p w14:paraId="59487DC7" w14:textId="77777777" w:rsidR="00B23C7E" w:rsidRDefault="00B23C7E">
            <w:pPr>
              <w:rPr>
                <w:sz w:val="20"/>
                <w:szCs w:val="20"/>
              </w:rPr>
            </w:pPr>
          </w:p>
        </w:tc>
        <w:tc>
          <w:tcPr>
            <w:tcW w:w="1725" w:type="dxa"/>
            <w:tcBorders>
              <w:top w:val="nil"/>
              <w:left w:val="nil"/>
              <w:bottom w:val="nil"/>
              <w:right w:val="nil"/>
            </w:tcBorders>
            <w:shd w:val="clear" w:color="auto" w:fill="auto"/>
            <w:noWrap/>
            <w:vAlign w:val="bottom"/>
            <w:hideMark/>
          </w:tcPr>
          <w:p w14:paraId="4D0E113C"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2FB811C0" w14:textId="77777777" w:rsidR="00B23C7E" w:rsidRDefault="00B23C7E">
            <w:pPr>
              <w:rPr>
                <w:sz w:val="20"/>
                <w:szCs w:val="20"/>
              </w:rPr>
            </w:pPr>
          </w:p>
        </w:tc>
      </w:tr>
      <w:tr w:rsidR="00B23C7E" w14:paraId="35D1B089" w14:textId="77777777" w:rsidTr="00B23C7E">
        <w:trPr>
          <w:trHeight w:val="360"/>
        </w:trPr>
        <w:tc>
          <w:tcPr>
            <w:tcW w:w="5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BEAB9" w14:textId="77777777" w:rsidR="00B23C7E" w:rsidRPr="00106464" w:rsidRDefault="00B23C7E">
            <w:pPr>
              <w:jc w:val="center"/>
              <w:rPr>
                <w:rFonts w:ascii="Calibri" w:hAnsi="Calibri" w:cs="Calibri"/>
                <w:b/>
                <w:bCs/>
                <w:color w:val="000000"/>
                <w:sz w:val="20"/>
                <w:szCs w:val="20"/>
              </w:rPr>
            </w:pPr>
            <w:r w:rsidRPr="00106464">
              <w:rPr>
                <w:rFonts w:ascii="Calibri" w:hAnsi="Calibri" w:cs="Calibri"/>
                <w:b/>
                <w:bCs/>
                <w:color w:val="000000"/>
                <w:sz w:val="20"/>
                <w:szCs w:val="20"/>
              </w:rPr>
              <w:t>Požadované hodnoty</w:t>
            </w:r>
          </w:p>
        </w:tc>
        <w:tc>
          <w:tcPr>
            <w:tcW w:w="1725" w:type="dxa"/>
            <w:tcBorders>
              <w:top w:val="single" w:sz="4" w:space="0" w:color="auto"/>
              <w:left w:val="nil"/>
              <w:bottom w:val="single" w:sz="4" w:space="0" w:color="auto"/>
              <w:right w:val="nil"/>
            </w:tcBorders>
            <w:shd w:val="clear" w:color="auto" w:fill="auto"/>
            <w:vAlign w:val="center"/>
            <w:hideMark/>
          </w:tcPr>
          <w:p w14:paraId="3FE87E45" w14:textId="77777777" w:rsidR="00B23C7E" w:rsidRPr="00106464" w:rsidRDefault="00B23C7E">
            <w:pPr>
              <w:jc w:val="center"/>
              <w:rPr>
                <w:rFonts w:ascii="Calibri" w:hAnsi="Calibri" w:cs="Calibri"/>
                <w:b/>
                <w:bCs/>
                <w:color w:val="000000"/>
                <w:sz w:val="20"/>
                <w:szCs w:val="20"/>
              </w:rPr>
            </w:pPr>
            <w:r w:rsidRPr="00106464">
              <w:rPr>
                <w:rFonts w:ascii="Calibri" w:hAnsi="Calibri" w:cs="Calibri"/>
                <w:b/>
                <w:bCs/>
                <w:color w:val="000000"/>
                <w:sz w:val="20"/>
                <w:szCs w:val="20"/>
              </w:rPr>
              <w:t>Nabízené zboží splňuje (ano/ne)</w:t>
            </w:r>
          </w:p>
        </w:tc>
        <w:tc>
          <w:tcPr>
            <w:tcW w:w="3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E658" w14:textId="77777777" w:rsidR="00B23C7E" w:rsidRPr="00106464" w:rsidRDefault="00B23C7E">
            <w:pPr>
              <w:jc w:val="center"/>
              <w:rPr>
                <w:rFonts w:ascii="Calibri" w:hAnsi="Calibri" w:cs="Calibri"/>
                <w:b/>
                <w:bCs/>
                <w:color w:val="000000"/>
                <w:sz w:val="20"/>
                <w:szCs w:val="20"/>
              </w:rPr>
            </w:pPr>
            <w:r w:rsidRPr="00106464">
              <w:rPr>
                <w:rFonts w:ascii="Calibri" w:hAnsi="Calibri" w:cs="Calibri"/>
                <w:b/>
                <w:bCs/>
                <w:color w:val="000000"/>
                <w:sz w:val="20"/>
                <w:szCs w:val="20"/>
              </w:rPr>
              <w:t xml:space="preserve">Pozn. </w:t>
            </w:r>
          </w:p>
        </w:tc>
      </w:tr>
      <w:tr w:rsidR="00B23C7E" w14:paraId="2D65C2C5"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86E4731"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Typ:</w:t>
            </w:r>
          </w:p>
        </w:tc>
        <w:tc>
          <w:tcPr>
            <w:tcW w:w="3628" w:type="dxa"/>
            <w:tcBorders>
              <w:top w:val="nil"/>
              <w:left w:val="nil"/>
              <w:bottom w:val="single" w:sz="4" w:space="0" w:color="auto"/>
              <w:right w:val="single" w:sz="4" w:space="0" w:color="auto"/>
            </w:tcBorders>
            <w:shd w:val="clear" w:color="auto" w:fill="auto"/>
            <w:vAlign w:val="bottom"/>
            <w:hideMark/>
          </w:tcPr>
          <w:p w14:paraId="49AE115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pasivní antidekubitní matrace minimálně pro střední riziko vzniku dekubitů s paměťovou VISCO pěnou</w:t>
            </w:r>
          </w:p>
        </w:tc>
        <w:tc>
          <w:tcPr>
            <w:tcW w:w="1725" w:type="dxa"/>
            <w:tcBorders>
              <w:top w:val="nil"/>
              <w:left w:val="nil"/>
              <w:bottom w:val="single" w:sz="4" w:space="0" w:color="auto"/>
              <w:right w:val="single" w:sz="4" w:space="0" w:color="auto"/>
            </w:tcBorders>
            <w:shd w:val="clear" w:color="000000" w:fill="FFFF00"/>
            <w:noWrap/>
            <w:vAlign w:val="bottom"/>
            <w:hideMark/>
          </w:tcPr>
          <w:p w14:paraId="35DB4D8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nil"/>
              <w:bottom w:val="single" w:sz="4" w:space="0" w:color="auto"/>
              <w:right w:val="single" w:sz="4" w:space="0" w:color="auto"/>
            </w:tcBorders>
            <w:shd w:val="clear" w:color="auto" w:fill="auto"/>
            <w:noWrap/>
            <w:vAlign w:val="bottom"/>
            <w:hideMark/>
          </w:tcPr>
          <w:p w14:paraId="393B277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06CCC7C5" w14:textId="77777777" w:rsidTr="00B23C7E">
        <w:trPr>
          <w:trHeight w:val="179"/>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EDBE6F"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42AF6B03" w14:textId="77777777" w:rsidR="00B23C7E" w:rsidRPr="00106464" w:rsidRDefault="00B23C7E">
            <w:pPr>
              <w:rPr>
                <w:rFonts w:ascii="Calibri" w:hAnsi="Calibri" w:cs="Calibri"/>
                <w:color w:val="000000"/>
                <w:sz w:val="20"/>
                <w:szCs w:val="20"/>
              </w:rPr>
            </w:pPr>
            <w:proofErr w:type="spellStart"/>
            <w:r w:rsidRPr="00106464">
              <w:rPr>
                <w:rFonts w:ascii="Calibri" w:hAnsi="Calibri" w:cs="Calibri"/>
                <w:color w:val="000000"/>
                <w:sz w:val="20"/>
                <w:szCs w:val="20"/>
              </w:rPr>
              <w:t>nostnost</w:t>
            </w:r>
            <w:proofErr w:type="spellEnd"/>
            <w:r w:rsidRPr="00106464">
              <w:rPr>
                <w:rFonts w:ascii="Calibri" w:hAnsi="Calibri" w:cs="Calibri"/>
                <w:color w:val="000000"/>
                <w:sz w:val="20"/>
                <w:szCs w:val="20"/>
              </w:rPr>
              <w:t xml:space="preserve"> minimálně 150 kg</w:t>
            </w:r>
          </w:p>
        </w:tc>
        <w:tc>
          <w:tcPr>
            <w:tcW w:w="1725" w:type="dxa"/>
            <w:tcBorders>
              <w:top w:val="nil"/>
              <w:left w:val="nil"/>
              <w:bottom w:val="single" w:sz="4" w:space="0" w:color="auto"/>
              <w:right w:val="nil"/>
            </w:tcBorders>
            <w:shd w:val="clear" w:color="000000" w:fill="FFFF00"/>
            <w:noWrap/>
            <w:vAlign w:val="bottom"/>
            <w:hideMark/>
          </w:tcPr>
          <w:p w14:paraId="5EA91EE4"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1912F1A3"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50FE1B33" w14:textId="77777777" w:rsidTr="00B23C7E">
        <w:trPr>
          <w:trHeight w:val="722"/>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91883F7"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Jádro:</w:t>
            </w:r>
          </w:p>
        </w:tc>
        <w:tc>
          <w:tcPr>
            <w:tcW w:w="3628" w:type="dxa"/>
            <w:tcBorders>
              <w:top w:val="nil"/>
              <w:left w:val="nil"/>
              <w:bottom w:val="single" w:sz="4" w:space="0" w:color="auto"/>
              <w:right w:val="single" w:sz="4" w:space="0" w:color="auto"/>
            </w:tcBorders>
            <w:shd w:val="clear" w:color="auto" w:fill="auto"/>
            <w:vAlign w:val="bottom"/>
            <w:hideMark/>
          </w:tcPr>
          <w:p w14:paraId="3C8B8BC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tvořené 2 vrstvami pěny: horní vrstva min 5 cm vysoce elastické </w:t>
            </w:r>
            <w:proofErr w:type="spellStart"/>
            <w:r w:rsidRPr="00106464">
              <w:rPr>
                <w:rFonts w:ascii="Calibri" w:hAnsi="Calibri" w:cs="Calibri"/>
                <w:color w:val="000000"/>
                <w:sz w:val="20"/>
                <w:szCs w:val="20"/>
              </w:rPr>
              <w:t>visco</w:t>
            </w:r>
            <w:proofErr w:type="spellEnd"/>
            <w:r w:rsidRPr="00106464">
              <w:rPr>
                <w:rFonts w:ascii="Calibri" w:hAnsi="Calibri" w:cs="Calibri"/>
                <w:color w:val="000000"/>
                <w:sz w:val="20"/>
                <w:szCs w:val="20"/>
              </w:rPr>
              <w:t xml:space="preserve"> pěny (s hustotou min. 52 kg/m3), spodní vrstva ze studené polyuretanové pěny s hustotou min. 41 kg/m3</w:t>
            </w:r>
          </w:p>
        </w:tc>
        <w:tc>
          <w:tcPr>
            <w:tcW w:w="1725" w:type="dxa"/>
            <w:tcBorders>
              <w:top w:val="nil"/>
              <w:left w:val="nil"/>
              <w:bottom w:val="single" w:sz="4" w:space="0" w:color="auto"/>
              <w:right w:val="nil"/>
            </w:tcBorders>
            <w:shd w:val="clear" w:color="000000" w:fill="FFFF00"/>
            <w:noWrap/>
            <w:vAlign w:val="bottom"/>
            <w:hideMark/>
          </w:tcPr>
          <w:p w14:paraId="507EEEB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3097F77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2C6A367F" w14:textId="77777777" w:rsidTr="00B23C7E">
        <w:trPr>
          <w:trHeight w:val="541"/>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F66547C"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628" w:type="dxa"/>
            <w:tcBorders>
              <w:top w:val="nil"/>
              <w:left w:val="nil"/>
              <w:bottom w:val="single" w:sz="4" w:space="0" w:color="auto"/>
              <w:right w:val="single" w:sz="4" w:space="0" w:color="auto"/>
            </w:tcBorders>
            <w:shd w:val="clear" w:color="auto" w:fill="auto"/>
            <w:vAlign w:val="bottom"/>
            <w:hideMark/>
          </w:tcPr>
          <w:p w14:paraId="53C3F48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matrace složená minimálně za 2 pěn se zpevněnými bočními stranami pro zajištění stability při sezení</w:t>
            </w:r>
          </w:p>
        </w:tc>
        <w:tc>
          <w:tcPr>
            <w:tcW w:w="1725" w:type="dxa"/>
            <w:tcBorders>
              <w:top w:val="nil"/>
              <w:left w:val="nil"/>
              <w:bottom w:val="single" w:sz="4" w:space="0" w:color="auto"/>
              <w:right w:val="nil"/>
            </w:tcBorders>
            <w:shd w:val="clear" w:color="000000" w:fill="FFFF00"/>
            <w:noWrap/>
            <w:vAlign w:val="bottom"/>
            <w:hideMark/>
          </w:tcPr>
          <w:p w14:paraId="1F88FD4B"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6569F1B2"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7A8F4508" w14:textId="77777777" w:rsidTr="00B23C7E">
        <w:trPr>
          <w:trHeight w:val="1446"/>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1B97125"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Potah: </w:t>
            </w:r>
          </w:p>
        </w:tc>
        <w:tc>
          <w:tcPr>
            <w:tcW w:w="3628" w:type="dxa"/>
            <w:tcBorders>
              <w:top w:val="nil"/>
              <w:left w:val="nil"/>
              <w:bottom w:val="single" w:sz="4" w:space="0" w:color="auto"/>
              <w:right w:val="single" w:sz="4" w:space="0" w:color="auto"/>
            </w:tcBorders>
            <w:shd w:val="clear" w:color="auto" w:fill="auto"/>
            <w:vAlign w:val="bottom"/>
            <w:hideMark/>
          </w:tcPr>
          <w:p w14:paraId="42364519"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xml:space="preserve">PU potah s vysokou </w:t>
            </w:r>
            <w:proofErr w:type="spellStart"/>
            <w:r w:rsidRPr="00106464">
              <w:rPr>
                <w:rFonts w:ascii="Calibri" w:hAnsi="Calibri" w:cs="Calibri"/>
                <w:color w:val="000000"/>
                <w:sz w:val="20"/>
                <w:szCs w:val="20"/>
              </w:rPr>
              <w:t>gramáří</w:t>
            </w:r>
            <w:proofErr w:type="spellEnd"/>
            <w:r w:rsidRPr="00106464">
              <w:rPr>
                <w:rFonts w:ascii="Calibri" w:hAnsi="Calibri" w:cs="Calibri"/>
                <w:color w:val="000000"/>
                <w:sz w:val="20"/>
                <w:szCs w:val="20"/>
              </w:rPr>
              <w:t xml:space="preserve"> min </w:t>
            </w:r>
            <w:proofErr w:type="gramStart"/>
            <w:r w:rsidRPr="00106464">
              <w:rPr>
                <w:rFonts w:ascii="Calibri" w:hAnsi="Calibri" w:cs="Calibri"/>
                <w:color w:val="000000"/>
                <w:sz w:val="20"/>
                <w:szCs w:val="20"/>
              </w:rPr>
              <w:t>90g</w:t>
            </w:r>
            <w:proofErr w:type="gramEnd"/>
            <w:r w:rsidRPr="00106464">
              <w:rPr>
                <w:rFonts w:ascii="Calibri" w:hAnsi="Calibri" w:cs="Calibri"/>
                <w:color w:val="000000"/>
                <w:sz w:val="20"/>
                <w:szCs w:val="20"/>
              </w:rPr>
              <w:t xml:space="preserve">/m2, opatřený úchopy pro </w:t>
            </w:r>
            <w:proofErr w:type="spellStart"/>
            <w:r w:rsidRPr="00106464">
              <w:rPr>
                <w:rFonts w:ascii="Calibri" w:hAnsi="Calibri" w:cs="Calibri"/>
                <w:color w:val="000000"/>
                <w:sz w:val="20"/>
                <w:szCs w:val="20"/>
              </w:rPr>
              <w:t>snažší</w:t>
            </w:r>
            <w:proofErr w:type="spellEnd"/>
            <w:r w:rsidRPr="00106464">
              <w:rPr>
                <w:rFonts w:ascii="Calibri" w:hAnsi="Calibri" w:cs="Calibri"/>
                <w:color w:val="000000"/>
                <w:sz w:val="20"/>
                <w:szCs w:val="20"/>
              </w:rPr>
              <w:t xml:space="preserve"> přesun. </w:t>
            </w:r>
            <w:r w:rsidRPr="00106464">
              <w:rPr>
                <w:rFonts w:ascii="Calibri" w:hAnsi="Calibri" w:cs="Calibri"/>
                <w:color w:val="000000"/>
                <w:sz w:val="20"/>
                <w:szCs w:val="20"/>
              </w:rPr>
              <w:br/>
              <w:t>- se svařovanými švy a krytím zipu</w:t>
            </w:r>
            <w:r w:rsidRPr="00106464">
              <w:rPr>
                <w:rFonts w:ascii="Calibri" w:hAnsi="Calibri" w:cs="Calibri"/>
                <w:color w:val="000000"/>
                <w:sz w:val="20"/>
                <w:szCs w:val="20"/>
              </w:rPr>
              <w:br/>
              <w:t>- zip min. kolem 2 stran matrace</w:t>
            </w:r>
            <w:r w:rsidRPr="00106464">
              <w:rPr>
                <w:rFonts w:ascii="Calibri" w:hAnsi="Calibri" w:cs="Calibri"/>
                <w:color w:val="000000"/>
                <w:sz w:val="20"/>
                <w:szCs w:val="20"/>
              </w:rPr>
              <w:br/>
              <w:t>- antibakteriální, antimikrobiální povrch potahu</w:t>
            </w:r>
            <w:r w:rsidRPr="00106464">
              <w:rPr>
                <w:rFonts w:ascii="Calibri" w:hAnsi="Calibri" w:cs="Calibri"/>
                <w:color w:val="000000"/>
                <w:sz w:val="20"/>
                <w:szCs w:val="20"/>
              </w:rPr>
              <w:br/>
              <w:t xml:space="preserve">- </w:t>
            </w:r>
            <w:proofErr w:type="spellStart"/>
            <w:r w:rsidRPr="00106464">
              <w:rPr>
                <w:rFonts w:ascii="Calibri" w:hAnsi="Calibri" w:cs="Calibri"/>
                <w:color w:val="000000"/>
                <w:sz w:val="20"/>
                <w:szCs w:val="20"/>
              </w:rPr>
              <w:t>paropropustný</w:t>
            </w:r>
            <w:proofErr w:type="spellEnd"/>
            <w:r w:rsidRPr="00106464">
              <w:rPr>
                <w:rFonts w:ascii="Calibri" w:hAnsi="Calibri" w:cs="Calibri"/>
                <w:color w:val="000000"/>
                <w:sz w:val="20"/>
                <w:szCs w:val="20"/>
              </w:rPr>
              <w:t xml:space="preserve"> (dle ASTM 96-66 550 g/m2 za 24 hodin při </w:t>
            </w:r>
            <w:proofErr w:type="gramStart"/>
            <w:r w:rsidRPr="00106464">
              <w:rPr>
                <w:rFonts w:ascii="Calibri" w:hAnsi="Calibri" w:cs="Calibri"/>
                <w:color w:val="000000"/>
                <w:sz w:val="20"/>
                <w:szCs w:val="20"/>
              </w:rPr>
              <w:t>38°C</w:t>
            </w:r>
            <w:proofErr w:type="gramEnd"/>
            <w:r w:rsidRPr="00106464">
              <w:rPr>
                <w:rFonts w:ascii="Calibri" w:hAnsi="Calibri" w:cs="Calibri"/>
                <w:color w:val="000000"/>
                <w:sz w:val="20"/>
                <w:szCs w:val="20"/>
              </w:rPr>
              <w:t>)</w:t>
            </w:r>
            <w:r w:rsidRPr="00106464">
              <w:rPr>
                <w:rFonts w:ascii="Calibri" w:hAnsi="Calibri" w:cs="Calibri"/>
                <w:color w:val="000000"/>
                <w:sz w:val="20"/>
                <w:szCs w:val="20"/>
              </w:rPr>
              <w:br/>
              <w:t>- bez použití latexu - musí splňovat normu ISO 1420</w:t>
            </w:r>
          </w:p>
        </w:tc>
        <w:tc>
          <w:tcPr>
            <w:tcW w:w="1725" w:type="dxa"/>
            <w:tcBorders>
              <w:top w:val="nil"/>
              <w:left w:val="nil"/>
              <w:bottom w:val="single" w:sz="4" w:space="0" w:color="auto"/>
              <w:right w:val="nil"/>
            </w:tcBorders>
            <w:shd w:val="clear" w:color="000000" w:fill="FFFF00"/>
            <w:noWrap/>
            <w:vAlign w:val="bottom"/>
            <w:hideMark/>
          </w:tcPr>
          <w:p w14:paraId="3705B3D1"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c>
          <w:tcPr>
            <w:tcW w:w="3105" w:type="dxa"/>
            <w:tcBorders>
              <w:top w:val="nil"/>
              <w:left w:val="single" w:sz="4" w:space="0" w:color="auto"/>
              <w:bottom w:val="single" w:sz="4" w:space="0" w:color="auto"/>
              <w:right w:val="single" w:sz="4" w:space="0" w:color="auto"/>
            </w:tcBorders>
            <w:shd w:val="clear" w:color="auto" w:fill="auto"/>
            <w:noWrap/>
            <w:vAlign w:val="bottom"/>
            <w:hideMark/>
          </w:tcPr>
          <w:p w14:paraId="70D01A56" w14:textId="77777777" w:rsidR="00B23C7E" w:rsidRPr="00106464" w:rsidRDefault="00B23C7E">
            <w:pPr>
              <w:rPr>
                <w:rFonts w:ascii="Calibri" w:hAnsi="Calibri" w:cs="Calibri"/>
                <w:color w:val="000000"/>
                <w:sz w:val="20"/>
                <w:szCs w:val="20"/>
              </w:rPr>
            </w:pPr>
            <w:r w:rsidRPr="00106464">
              <w:rPr>
                <w:rFonts w:ascii="Calibri" w:hAnsi="Calibri" w:cs="Calibri"/>
                <w:color w:val="000000"/>
                <w:sz w:val="20"/>
                <w:szCs w:val="20"/>
              </w:rPr>
              <w:t> </w:t>
            </w:r>
          </w:p>
        </w:tc>
      </w:tr>
      <w:tr w:rsidR="00B23C7E" w14:paraId="06453768" w14:textId="77777777" w:rsidTr="00B23C7E">
        <w:trPr>
          <w:trHeight w:val="179"/>
        </w:trPr>
        <w:tc>
          <w:tcPr>
            <w:tcW w:w="10178" w:type="dxa"/>
            <w:gridSpan w:val="4"/>
            <w:tcBorders>
              <w:top w:val="single" w:sz="4" w:space="0" w:color="auto"/>
              <w:left w:val="nil"/>
              <w:bottom w:val="nil"/>
              <w:right w:val="nil"/>
            </w:tcBorders>
            <w:shd w:val="clear" w:color="auto" w:fill="auto"/>
            <w:noWrap/>
            <w:vAlign w:val="bottom"/>
            <w:hideMark/>
          </w:tcPr>
          <w:p w14:paraId="4C588F34" w14:textId="77777777" w:rsidR="00106464" w:rsidRDefault="00106464">
            <w:pPr>
              <w:rPr>
                <w:rFonts w:ascii="Calibri" w:hAnsi="Calibri" w:cs="Calibri"/>
                <w:b/>
                <w:bCs/>
                <w:color w:val="000000"/>
                <w:sz w:val="22"/>
                <w:szCs w:val="22"/>
              </w:rPr>
            </w:pPr>
          </w:p>
          <w:p w14:paraId="65584468" w14:textId="3B01BA65" w:rsidR="00B23C7E" w:rsidRDefault="00B23C7E">
            <w:pPr>
              <w:rPr>
                <w:rFonts w:ascii="Calibri" w:hAnsi="Calibri" w:cs="Calibri"/>
                <w:b/>
                <w:bCs/>
                <w:color w:val="000000"/>
                <w:sz w:val="22"/>
                <w:szCs w:val="22"/>
              </w:rPr>
            </w:pPr>
            <w:r>
              <w:rPr>
                <w:rFonts w:ascii="Calibri" w:hAnsi="Calibri" w:cs="Calibri"/>
                <w:b/>
                <w:bCs/>
                <w:color w:val="000000"/>
                <w:sz w:val="22"/>
                <w:szCs w:val="22"/>
              </w:rPr>
              <w:t>Poznámka k ocenění prvků, které nemají toleranci ve specifikaci</w:t>
            </w:r>
          </w:p>
        </w:tc>
      </w:tr>
      <w:tr w:rsidR="00B23C7E" w14:paraId="34A81ADA" w14:textId="77777777" w:rsidTr="00B23C7E">
        <w:trPr>
          <w:trHeight w:val="379"/>
        </w:trPr>
        <w:tc>
          <w:tcPr>
            <w:tcW w:w="10178" w:type="dxa"/>
            <w:gridSpan w:val="4"/>
            <w:tcBorders>
              <w:top w:val="nil"/>
              <w:left w:val="nil"/>
              <w:bottom w:val="nil"/>
              <w:right w:val="nil"/>
            </w:tcBorders>
            <w:shd w:val="clear" w:color="auto" w:fill="auto"/>
            <w:vAlign w:val="bottom"/>
            <w:hideMark/>
          </w:tcPr>
          <w:p w14:paraId="286B3A4B" w14:textId="77777777" w:rsidR="00B23C7E" w:rsidRDefault="00B23C7E">
            <w:pPr>
              <w:rPr>
                <w:rFonts w:ascii="Calibri" w:hAnsi="Calibri" w:cs="Calibri"/>
                <w:color w:val="000000"/>
                <w:sz w:val="22"/>
                <w:szCs w:val="22"/>
              </w:rPr>
            </w:pPr>
            <w:r>
              <w:rPr>
                <w:rFonts w:ascii="Calibri" w:hAnsi="Calibri" w:cs="Calibri"/>
                <w:color w:val="000000"/>
                <w:sz w:val="22"/>
                <w:szCs w:val="22"/>
              </w:rPr>
              <w:t>S ohledem na požadavky zákona č. 134/2016 Sb., budou parametry jednotlivých položek uchazeči naceněny s následujícími tolerancemi:</w:t>
            </w:r>
          </w:p>
        </w:tc>
      </w:tr>
      <w:tr w:rsidR="00B23C7E" w14:paraId="62447E25" w14:textId="77777777" w:rsidTr="00B23C7E">
        <w:trPr>
          <w:trHeight w:val="179"/>
        </w:trPr>
        <w:tc>
          <w:tcPr>
            <w:tcW w:w="1720" w:type="dxa"/>
            <w:tcBorders>
              <w:top w:val="nil"/>
              <w:left w:val="nil"/>
              <w:bottom w:val="nil"/>
              <w:right w:val="nil"/>
            </w:tcBorders>
            <w:shd w:val="clear" w:color="auto" w:fill="auto"/>
            <w:noWrap/>
            <w:vAlign w:val="bottom"/>
            <w:hideMark/>
          </w:tcPr>
          <w:p w14:paraId="301ADB3D" w14:textId="77777777" w:rsidR="00B23C7E" w:rsidRDefault="00B23C7E">
            <w:pPr>
              <w:rPr>
                <w:rFonts w:ascii="Calibri" w:hAnsi="Calibri" w:cs="Calibri"/>
                <w:color w:val="000000"/>
                <w:sz w:val="22"/>
                <w:szCs w:val="22"/>
              </w:rPr>
            </w:pPr>
            <w:r>
              <w:rPr>
                <w:rFonts w:ascii="Calibri" w:hAnsi="Calibri" w:cs="Calibri"/>
                <w:color w:val="000000"/>
                <w:sz w:val="22"/>
                <w:szCs w:val="22"/>
              </w:rPr>
              <w:t xml:space="preserve">Hmotnost </w:t>
            </w:r>
            <w:proofErr w:type="gramStart"/>
            <w:r>
              <w:rPr>
                <w:rFonts w:ascii="Calibri" w:hAnsi="Calibri" w:cs="Calibri"/>
                <w:color w:val="000000"/>
                <w:sz w:val="22"/>
                <w:szCs w:val="22"/>
              </w:rPr>
              <w:t>±  5</w:t>
            </w:r>
            <w:proofErr w:type="gramEnd"/>
            <w:r>
              <w:rPr>
                <w:rFonts w:ascii="Calibri" w:hAnsi="Calibri" w:cs="Calibri"/>
                <w:color w:val="000000"/>
                <w:sz w:val="22"/>
                <w:szCs w:val="22"/>
              </w:rPr>
              <w:t>%</w:t>
            </w:r>
          </w:p>
        </w:tc>
        <w:tc>
          <w:tcPr>
            <w:tcW w:w="3628" w:type="dxa"/>
            <w:tcBorders>
              <w:top w:val="nil"/>
              <w:left w:val="nil"/>
              <w:bottom w:val="nil"/>
              <w:right w:val="nil"/>
            </w:tcBorders>
            <w:shd w:val="clear" w:color="auto" w:fill="auto"/>
            <w:vAlign w:val="bottom"/>
            <w:hideMark/>
          </w:tcPr>
          <w:p w14:paraId="115975ED" w14:textId="77777777" w:rsidR="00B23C7E" w:rsidRDefault="00B23C7E">
            <w:pPr>
              <w:rPr>
                <w:rFonts w:ascii="Calibri" w:hAnsi="Calibri" w:cs="Calibri"/>
                <w:color w:val="000000"/>
                <w:sz w:val="22"/>
                <w:szCs w:val="22"/>
              </w:rPr>
            </w:pPr>
          </w:p>
        </w:tc>
        <w:tc>
          <w:tcPr>
            <w:tcW w:w="1725" w:type="dxa"/>
            <w:tcBorders>
              <w:top w:val="nil"/>
              <w:left w:val="nil"/>
              <w:bottom w:val="nil"/>
              <w:right w:val="nil"/>
            </w:tcBorders>
            <w:shd w:val="clear" w:color="auto" w:fill="auto"/>
            <w:noWrap/>
            <w:vAlign w:val="bottom"/>
            <w:hideMark/>
          </w:tcPr>
          <w:p w14:paraId="300DB281"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1885DB8D" w14:textId="77777777" w:rsidR="00B23C7E" w:rsidRDefault="00B23C7E">
            <w:pPr>
              <w:rPr>
                <w:sz w:val="20"/>
                <w:szCs w:val="20"/>
              </w:rPr>
            </w:pPr>
          </w:p>
        </w:tc>
      </w:tr>
      <w:tr w:rsidR="00B23C7E" w14:paraId="19F571E9" w14:textId="77777777" w:rsidTr="00B23C7E">
        <w:trPr>
          <w:trHeight w:val="179"/>
        </w:trPr>
        <w:tc>
          <w:tcPr>
            <w:tcW w:w="5348" w:type="dxa"/>
            <w:gridSpan w:val="2"/>
            <w:tcBorders>
              <w:top w:val="nil"/>
              <w:left w:val="nil"/>
              <w:bottom w:val="nil"/>
              <w:right w:val="nil"/>
            </w:tcBorders>
            <w:shd w:val="clear" w:color="auto" w:fill="auto"/>
            <w:noWrap/>
            <w:vAlign w:val="bottom"/>
            <w:hideMark/>
          </w:tcPr>
          <w:p w14:paraId="78A84E0B" w14:textId="77777777" w:rsidR="00B23C7E" w:rsidRDefault="00B23C7E">
            <w:pPr>
              <w:rPr>
                <w:rFonts w:ascii="Calibri" w:hAnsi="Calibri" w:cs="Calibri"/>
                <w:color w:val="000000"/>
                <w:sz w:val="22"/>
                <w:szCs w:val="22"/>
              </w:rPr>
            </w:pPr>
            <w:r>
              <w:rPr>
                <w:rFonts w:ascii="Calibri" w:hAnsi="Calibri" w:cs="Calibri"/>
                <w:color w:val="000000"/>
                <w:sz w:val="22"/>
                <w:szCs w:val="22"/>
              </w:rPr>
              <w:t xml:space="preserve">Šířka a hloubka výrobku </w:t>
            </w:r>
            <w:proofErr w:type="gramStart"/>
            <w:r>
              <w:rPr>
                <w:rFonts w:ascii="Calibri" w:hAnsi="Calibri" w:cs="Calibri"/>
                <w:color w:val="000000"/>
                <w:sz w:val="22"/>
                <w:szCs w:val="22"/>
              </w:rPr>
              <w:t>±  5</w:t>
            </w:r>
            <w:proofErr w:type="gramEnd"/>
            <w:r>
              <w:rPr>
                <w:rFonts w:ascii="Calibri" w:hAnsi="Calibri" w:cs="Calibri"/>
                <w:color w:val="000000"/>
                <w:sz w:val="22"/>
                <w:szCs w:val="22"/>
              </w:rPr>
              <w:t>%</w:t>
            </w:r>
          </w:p>
        </w:tc>
        <w:tc>
          <w:tcPr>
            <w:tcW w:w="1725" w:type="dxa"/>
            <w:tcBorders>
              <w:top w:val="nil"/>
              <w:left w:val="nil"/>
              <w:bottom w:val="nil"/>
              <w:right w:val="nil"/>
            </w:tcBorders>
            <w:shd w:val="clear" w:color="auto" w:fill="auto"/>
            <w:noWrap/>
            <w:vAlign w:val="bottom"/>
            <w:hideMark/>
          </w:tcPr>
          <w:p w14:paraId="6BC6FED2" w14:textId="77777777" w:rsidR="00B23C7E" w:rsidRDefault="00B23C7E">
            <w:pPr>
              <w:rPr>
                <w:rFonts w:ascii="Calibri" w:hAnsi="Calibri" w:cs="Calibri"/>
                <w:color w:val="000000"/>
                <w:sz w:val="22"/>
                <w:szCs w:val="22"/>
              </w:rPr>
            </w:pPr>
          </w:p>
        </w:tc>
        <w:tc>
          <w:tcPr>
            <w:tcW w:w="3105" w:type="dxa"/>
            <w:tcBorders>
              <w:top w:val="nil"/>
              <w:left w:val="nil"/>
              <w:bottom w:val="nil"/>
              <w:right w:val="nil"/>
            </w:tcBorders>
            <w:shd w:val="clear" w:color="auto" w:fill="auto"/>
            <w:noWrap/>
            <w:vAlign w:val="bottom"/>
            <w:hideMark/>
          </w:tcPr>
          <w:p w14:paraId="4C2A9DD2" w14:textId="77777777" w:rsidR="00B23C7E" w:rsidRDefault="00B23C7E">
            <w:pPr>
              <w:rPr>
                <w:sz w:val="20"/>
                <w:szCs w:val="20"/>
              </w:rPr>
            </w:pPr>
          </w:p>
        </w:tc>
      </w:tr>
      <w:tr w:rsidR="00B23C7E" w14:paraId="4D944BE0" w14:textId="77777777" w:rsidTr="00B23C7E">
        <w:trPr>
          <w:trHeight w:val="179"/>
        </w:trPr>
        <w:tc>
          <w:tcPr>
            <w:tcW w:w="1720" w:type="dxa"/>
            <w:tcBorders>
              <w:top w:val="nil"/>
              <w:left w:val="nil"/>
              <w:bottom w:val="nil"/>
              <w:right w:val="nil"/>
            </w:tcBorders>
            <w:shd w:val="clear" w:color="auto" w:fill="auto"/>
            <w:noWrap/>
            <w:vAlign w:val="bottom"/>
            <w:hideMark/>
          </w:tcPr>
          <w:p w14:paraId="781FAB58" w14:textId="77777777" w:rsidR="00B23C7E" w:rsidRDefault="00B23C7E">
            <w:pPr>
              <w:rPr>
                <w:rFonts w:ascii="Calibri" w:hAnsi="Calibri" w:cs="Calibri"/>
                <w:color w:val="000000"/>
                <w:sz w:val="22"/>
                <w:szCs w:val="22"/>
              </w:rPr>
            </w:pPr>
            <w:r>
              <w:rPr>
                <w:rFonts w:ascii="Calibri" w:hAnsi="Calibri" w:cs="Calibri"/>
                <w:color w:val="000000"/>
                <w:sz w:val="22"/>
                <w:szCs w:val="22"/>
              </w:rPr>
              <w:t xml:space="preserve">Výška </w:t>
            </w:r>
            <w:proofErr w:type="gramStart"/>
            <w:r>
              <w:rPr>
                <w:rFonts w:ascii="Calibri" w:hAnsi="Calibri" w:cs="Calibri"/>
                <w:color w:val="000000"/>
                <w:sz w:val="22"/>
                <w:szCs w:val="22"/>
              </w:rPr>
              <w:t>±  5</w:t>
            </w:r>
            <w:proofErr w:type="gramEnd"/>
            <w:r>
              <w:rPr>
                <w:rFonts w:ascii="Calibri" w:hAnsi="Calibri" w:cs="Calibri"/>
                <w:color w:val="000000"/>
                <w:sz w:val="22"/>
                <w:szCs w:val="22"/>
              </w:rPr>
              <w:t>%</w:t>
            </w:r>
          </w:p>
        </w:tc>
        <w:tc>
          <w:tcPr>
            <w:tcW w:w="3628" w:type="dxa"/>
            <w:tcBorders>
              <w:top w:val="nil"/>
              <w:left w:val="nil"/>
              <w:bottom w:val="nil"/>
              <w:right w:val="nil"/>
            </w:tcBorders>
            <w:shd w:val="clear" w:color="auto" w:fill="auto"/>
            <w:vAlign w:val="bottom"/>
            <w:hideMark/>
          </w:tcPr>
          <w:p w14:paraId="71FD358B" w14:textId="77777777" w:rsidR="00B23C7E" w:rsidRDefault="00B23C7E">
            <w:pPr>
              <w:rPr>
                <w:rFonts w:ascii="Calibri" w:hAnsi="Calibri" w:cs="Calibri"/>
                <w:color w:val="000000"/>
                <w:sz w:val="22"/>
                <w:szCs w:val="22"/>
              </w:rPr>
            </w:pPr>
          </w:p>
        </w:tc>
        <w:tc>
          <w:tcPr>
            <w:tcW w:w="1725" w:type="dxa"/>
            <w:tcBorders>
              <w:top w:val="nil"/>
              <w:left w:val="nil"/>
              <w:bottom w:val="nil"/>
              <w:right w:val="nil"/>
            </w:tcBorders>
            <w:shd w:val="clear" w:color="auto" w:fill="auto"/>
            <w:noWrap/>
            <w:vAlign w:val="bottom"/>
            <w:hideMark/>
          </w:tcPr>
          <w:p w14:paraId="19FC08F7"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74F09BC2" w14:textId="77777777" w:rsidR="00B23C7E" w:rsidRDefault="00B23C7E">
            <w:pPr>
              <w:rPr>
                <w:sz w:val="20"/>
                <w:szCs w:val="20"/>
              </w:rPr>
            </w:pPr>
          </w:p>
        </w:tc>
      </w:tr>
      <w:tr w:rsidR="00B23C7E" w14:paraId="6D7C1D50" w14:textId="77777777" w:rsidTr="00B23C7E">
        <w:trPr>
          <w:trHeight w:val="179"/>
        </w:trPr>
        <w:tc>
          <w:tcPr>
            <w:tcW w:w="1720" w:type="dxa"/>
            <w:tcBorders>
              <w:top w:val="nil"/>
              <w:left w:val="nil"/>
              <w:bottom w:val="nil"/>
              <w:right w:val="nil"/>
            </w:tcBorders>
            <w:shd w:val="clear" w:color="auto" w:fill="auto"/>
            <w:noWrap/>
            <w:vAlign w:val="bottom"/>
            <w:hideMark/>
          </w:tcPr>
          <w:p w14:paraId="4D2FA784" w14:textId="77777777" w:rsidR="00B23C7E" w:rsidRDefault="00B23C7E">
            <w:pPr>
              <w:rPr>
                <w:sz w:val="20"/>
                <w:szCs w:val="20"/>
              </w:rPr>
            </w:pPr>
          </w:p>
        </w:tc>
        <w:tc>
          <w:tcPr>
            <w:tcW w:w="3628" w:type="dxa"/>
            <w:tcBorders>
              <w:top w:val="nil"/>
              <w:left w:val="nil"/>
              <w:bottom w:val="nil"/>
              <w:right w:val="nil"/>
            </w:tcBorders>
            <w:shd w:val="clear" w:color="auto" w:fill="auto"/>
            <w:vAlign w:val="bottom"/>
            <w:hideMark/>
          </w:tcPr>
          <w:p w14:paraId="383A564F" w14:textId="77777777" w:rsidR="00B23C7E" w:rsidRDefault="00B23C7E">
            <w:pPr>
              <w:rPr>
                <w:sz w:val="20"/>
                <w:szCs w:val="20"/>
              </w:rPr>
            </w:pPr>
          </w:p>
        </w:tc>
        <w:tc>
          <w:tcPr>
            <w:tcW w:w="1725" w:type="dxa"/>
            <w:tcBorders>
              <w:top w:val="nil"/>
              <w:left w:val="nil"/>
              <w:bottom w:val="nil"/>
              <w:right w:val="nil"/>
            </w:tcBorders>
            <w:shd w:val="clear" w:color="auto" w:fill="auto"/>
            <w:noWrap/>
            <w:vAlign w:val="bottom"/>
            <w:hideMark/>
          </w:tcPr>
          <w:p w14:paraId="310DE8FF" w14:textId="77777777" w:rsidR="00B23C7E" w:rsidRDefault="00B23C7E">
            <w:pPr>
              <w:rPr>
                <w:sz w:val="20"/>
                <w:szCs w:val="20"/>
              </w:rPr>
            </w:pPr>
          </w:p>
        </w:tc>
        <w:tc>
          <w:tcPr>
            <w:tcW w:w="3105" w:type="dxa"/>
            <w:tcBorders>
              <w:top w:val="nil"/>
              <w:left w:val="nil"/>
              <w:bottom w:val="nil"/>
              <w:right w:val="nil"/>
            </w:tcBorders>
            <w:shd w:val="clear" w:color="auto" w:fill="auto"/>
            <w:noWrap/>
            <w:vAlign w:val="bottom"/>
            <w:hideMark/>
          </w:tcPr>
          <w:p w14:paraId="7DB03F5F" w14:textId="77777777" w:rsidR="00B23C7E" w:rsidRDefault="00B23C7E">
            <w:pPr>
              <w:rPr>
                <w:sz w:val="20"/>
                <w:szCs w:val="20"/>
              </w:rPr>
            </w:pPr>
          </w:p>
        </w:tc>
      </w:tr>
      <w:tr w:rsidR="00B23C7E" w14:paraId="63723200" w14:textId="77777777" w:rsidTr="00B23C7E">
        <w:trPr>
          <w:trHeight w:val="351"/>
        </w:trPr>
        <w:tc>
          <w:tcPr>
            <w:tcW w:w="10178" w:type="dxa"/>
            <w:gridSpan w:val="4"/>
            <w:tcBorders>
              <w:top w:val="nil"/>
              <w:left w:val="nil"/>
              <w:bottom w:val="nil"/>
              <w:right w:val="nil"/>
            </w:tcBorders>
            <w:shd w:val="clear" w:color="auto" w:fill="auto"/>
            <w:vAlign w:val="bottom"/>
            <w:hideMark/>
          </w:tcPr>
          <w:p w14:paraId="4D7D855D" w14:textId="77777777" w:rsidR="00B23C7E" w:rsidRDefault="00B23C7E">
            <w:pPr>
              <w:rPr>
                <w:rFonts w:ascii="Calibri" w:hAnsi="Calibri" w:cs="Calibri"/>
                <w:color w:val="000000"/>
                <w:sz w:val="22"/>
                <w:szCs w:val="22"/>
              </w:rPr>
            </w:pPr>
            <w:r>
              <w:rPr>
                <w:rFonts w:ascii="Calibri" w:hAnsi="Calibri" w:cs="Calibri"/>
                <w:color w:val="000000"/>
                <w:sz w:val="22"/>
                <w:szCs w:val="22"/>
              </w:rPr>
              <w:t xml:space="preserve">Rozměry zvoleného výrobku musí reflektovat prostorové možnosti místnosti v níž bude umístěn, aby nedocházelo ke kolizím s konstrukcemi, ani omezením vstupu a užívání místností. </w:t>
            </w:r>
          </w:p>
        </w:tc>
      </w:tr>
    </w:tbl>
    <w:p w14:paraId="6CCD182D" w14:textId="77777777" w:rsidR="00B23C7E" w:rsidRDefault="00B23C7E" w:rsidP="00B23C7E">
      <w:pPr>
        <w:pStyle w:val="Zkladntext"/>
        <w:tabs>
          <w:tab w:val="clear" w:pos="1418"/>
        </w:tabs>
        <w:spacing w:after="240"/>
        <w:ind w:left="1349" w:hanging="1349"/>
        <w:rPr>
          <w:rFonts w:ascii="Tahoma" w:hAnsi="Tahoma" w:cs="Tahoma"/>
          <w:sz w:val="22"/>
          <w:szCs w:val="22"/>
          <w:u w:val="single"/>
        </w:rPr>
      </w:pPr>
    </w:p>
    <w:p w14:paraId="088896AD" w14:textId="77777777" w:rsidR="00106464" w:rsidRDefault="00106464" w:rsidP="00B23C7E">
      <w:pPr>
        <w:pStyle w:val="Zkladntext"/>
        <w:tabs>
          <w:tab w:val="clear" w:pos="1418"/>
        </w:tabs>
        <w:spacing w:after="240"/>
        <w:ind w:left="1349" w:hanging="1349"/>
        <w:rPr>
          <w:rFonts w:ascii="Tahoma" w:hAnsi="Tahoma" w:cs="Tahoma"/>
          <w:sz w:val="22"/>
          <w:szCs w:val="22"/>
          <w:u w:val="single"/>
        </w:rPr>
      </w:pPr>
    </w:p>
    <w:p w14:paraId="26A6B5CB" w14:textId="77777777" w:rsidR="00106464" w:rsidRDefault="00106464" w:rsidP="00B23C7E">
      <w:pPr>
        <w:pStyle w:val="Zkladntext"/>
        <w:tabs>
          <w:tab w:val="clear" w:pos="1418"/>
        </w:tabs>
        <w:spacing w:after="240"/>
        <w:ind w:left="1349" w:hanging="1349"/>
        <w:rPr>
          <w:rFonts w:ascii="Tahoma" w:hAnsi="Tahoma" w:cs="Tahoma"/>
          <w:sz w:val="22"/>
          <w:szCs w:val="22"/>
          <w:u w:val="single"/>
        </w:rPr>
      </w:pPr>
    </w:p>
    <w:p w14:paraId="5B489510" w14:textId="77777777" w:rsidR="00106464" w:rsidRDefault="00106464" w:rsidP="00B23C7E">
      <w:pPr>
        <w:pStyle w:val="Zkladntext"/>
        <w:tabs>
          <w:tab w:val="clear" w:pos="1418"/>
        </w:tabs>
        <w:spacing w:after="240"/>
        <w:ind w:left="1349" w:hanging="1349"/>
        <w:rPr>
          <w:rFonts w:ascii="Tahoma" w:hAnsi="Tahoma" w:cs="Tahoma"/>
          <w:sz w:val="22"/>
          <w:szCs w:val="22"/>
          <w:u w:val="single"/>
        </w:rPr>
      </w:pPr>
    </w:p>
    <w:p w14:paraId="21F0625B" w14:textId="77777777" w:rsidR="00106464" w:rsidRPr="00B23C7E" w:rsidRDefault="00106464" w:rsidP="00B23C7E">
      <w:pPr>
        <w:pStyle w:val="Zkladntext"/>
        <w:tabs>
          <w:tab w:val="clear" w:pos="1418"/>
        </w:tabs>
        <w:spacing w:after="240"/>
        <w:ind w:left="1349" w:hanging="1349"/>
        <w:rPr>
          <w:rFonts w:ascii="Tahoma" w:hAnsi="Tahoma" w:cs="Tahoma"/>
          <w:sz w:val="22"/>
          <w:szCs w:val="22"/>
          <w:u w:val="single"/>
        </w:rPr>
      </w:pPr>
    </w:p>
    <w:tbl>
      <w:tblPr>
        <w:tblW w:w="10632" w:type="dxa"/>
        <w:tblInd w:w="-781" w:type="dxa"/>
        <w:tblCellMar>
          <w:left w:w="70" w:type="dxa"/>
          <w:right w:w="70" w:type="dxa"/>
        </w:tblCellMar>
        <w:tblLook w:val="04A0" w:firstRow="1" w:lastRow="0" w:firstColumn="1" w:lastColumn="0" w:noHBand="0" w:noVBand="1"/>
      </w:tblPr>
      <w:tblGrid>
        <w:gridCol w:w="492"/>
        <w:gridCol w:w="3761"/>
        <w:gridCol w:w="425"/>
        <w:gridCol w:w="992"/>
        <w:gridCol w:w="993"/>
        <w:gridCol w:w="1003"/>
        <w:gridCol w:w="981"/>
        <w:gridCol w:w="851"/>
        <w:gridCol w:w="1134"/>
      </w:tblGrid>
      <w:tr w:rsidR="00106464" w14:paraId="6CFA571A" w14:textId="77777777" w:rsidTr="0060581F">
        <w:trPr>
          <w:trHeight w:val="350"/>
        </w:trPr>
        <w:tc>
          <w:tcPr>
            <w:tcW w:w="4253" w:type="dxa"/>
            <w:gridSpan w:val="2"/>
            <w:tcBorders>
              <w:top w:val="nil"/>
              <w:left w:val="nil"/>
              <w:bottom w:val="nil"/>
              <w:right w:val="nil"/>
            </w:tcBorders>
            <w:shd w:val="clear" w:color="auto" w:fill="auto"/>
            <w:noWrap/>
            <w:vAlign w:val="bottom"/>
            <w:hideMark/>
          </w:tcPr>
          <w:p w14:paraId="274BC3C7" w14:textId="77777777" w:rsidR="00B23C7E" w:rsidRDefault="00B23C7E">
            <w:pPr>
              <w:rPr>
                <w:rFonts w:ascii="Calibri" w:hAnsi="Calibri" w:cs="Calibri"/>
                <w:color w:val="000000"/>
                <w:sz w:val="22"/>
                <w:szCs w:val="22"/>
              </w:rPr>
            </w:pPr>
            <w:r>
              <w:rPr>
                <w:rFonts w:ascii="Calibri" w:hAnsi="Calibri" w:cs="Calibri"/>
                <w:color w:val="000000"/>
                <w:sz w:val="22"/>
                <w:szCs w:val="22"/>
              </w:rPr>
              <w:lastRenderedPageBreak/>
              <w:t xml:space="preserve">Příloha č. 2 smlouvy: </w:t>
            </w:r>
          </w:p>
        </w:tc>
        <w:tc>
          <w:tcPr>
            <w:tcW w:w="425" w:type="dxa"/>
            <w:tcBorders>
              <w:top w:val="nil"/>
              <w:left w:val="nil"/>
              <w:bottom w:val="nil"/>
              <w:right w:val="nil"/>
            </w:tcBorders>
            <w:shd w:val="clear" w:color="auto" w:fill="auto"/>
            <w:noWrap/>
            <w:vAlign w:val="bottom"/>
            <w:hideMark/>
          </w:tcPr>
          <w:p w14:paraId="20A26610" w14:textId="77777777" w:rsidR="00B23C7E" w:rsidRDefault="00B23C7E">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14:paraId="11323334" w14:textId="77777777" w:rsidR="00B23C7E" w:rsidRDefault="00B23C7E">
            <w:pPr>
              <w:rPr>
                <w:sz w:val="20"/>
                <w:szCs w:val="20"/>
              </w:rPr>
            </w:pPr>
          </w:p>
        </w:tc>
        <w:tc>
          <w:tcPr>
            <w:tcW w:w="993" w:type="dxa"/>
            <w:tcBorders>
              <w:top w:val="nil"/>
              <w:left w:val="nil"/>
              <w:bottom w:val="nil"/>
              <w:right w:val="nil"/>
            </w:tcBorders>
            <w:shd w:val="clear" w:color="auto" w:fill="auto"/>
            <w:noWrap/>
            <w:vAlign w:val="bottom"/>
            <w:hideMark/>
          </w:tcPr>
          <w:p w14:paraId="4DE31EFE" w14:textId="77777777" w:rsidR="00B23C7E" w:rsidRDefault="00B23C7E">
            <w:pPr>
              <w:rPr>
                <w:sz w:val="20"/>
                <w:szCs w:val="20"/>
              </w:rPr>
            </w:pPr>
          </w:p>
        </w:tc>
        <w:tc>
          <w:tcPr>
            <w:tcW w:w="1003" w:type="dxa"/>
            <w:tcBorders>
              <w:top w:val="nil"/>
              <w:left w:val="nil"/>
              <w:bottom w:val="nil"/>
              <w:right w:val="nil"/>
            </w:tcBorders>
            <w:shd w:val="clear" w:color="auto" w:fill="auto"/>
            <w:noWrap/>
            <w:vAlign w:val="bottom"/>
            <w:hideMark/>
          </w:tcPr>
          <w:p w14:paraId="1D28CC98" w14:textId="77777777" w:rsidR="00B23C7E" w:rsidRDefault="00B23C7E">
            <w:pPr>
              <w:rPr>
                <w:sz w:val="20"/>
                <w:szCs w:val="20"/>
              </w:rPr>
            </w:pPr>
          </w:p>
        </w:tc>
        <w:tc>
          <w:tcPr>
            <w:tcW w:w="981" w:type="dxa"/>
            <w:tcBorders>
              <w:top w:val="nil"/>
              <w:left w:val="nil"/>
              <w:bottom w:val="nil"/>
              <w:right w:val="nil"/>
            </w:tcBorders>
            <w:shd w:val="clear" w:color="auto" w:fill="auto"/>
            <w:noWrap/>
            <w:vAlign w:val="bottom"/>
            <w:hideMark/>
          </w:tcPr>
          <w:p w14:paraId="413DA049" w14:textId="77777777" w:rsidR="00B23C7E" w:rsidRDefault="00B23C7E">
            <w:pPr>
              <w:rPr>
                <w:sz w:val="20"/>
                <w:szCs w:val="20"/>
              </w:rPr>
            </w:pPr>
          </w:p>
        </w:tc>
        <w:tc>
          <w:tcPr>
            <w:tcW w:w="851" w:type="dxa"/>
            <w:tcBorders>
              <w:top w:val="nil"/>
              <w:left w:val="nil"/>
              <w:bottom w:val="nil"/>
              <w:right w:val="nil"/>
            </w:tcBorders>
            <w:shd w:val="clear" w:color="auto" w:fill="auto"/>
            <w:noWrap/>
            <w:vAlign w:val="bottom"/>
            <w:hideMark/>
          </w:tcPr>
          <w:p w14:paraId="743AEBC8" w14:textId="77777777" w:rsidR="00B23C7E" w:rsidRDefault="00B23C7E">
            <w:pPr>
              <w:rPr>
                <w:sz w:val="20"/>
                <w:szCs w:val="20"/>
              </w:rPr>
            </w:pPr>
          </w:p>
        </w:tc>
        <w:tc>
          <w:tcPr>
            <w:tcW w:w="1134" w:type="dxa"/>
            <w:tcBorders>
              <w:top w:val="nil"/>
              <w:left w:val="nil"/>
              <w:bottom w:val="nil"/>
              <w:right w:val="nil"/>
            </w:tcBorders>
            <w:shd w:val="clear" w:color="auto" w:fill="auto"/>
            <w:noWrap/>
            <w:vAlign w:val="bottom"/>
            <w:hideMark/>
          </w:tcPr>
          <w:p w14:paraId="13743AA4" w14:textId="77777777" w:rsidR="00B23C7E" w:rsidRDefault="00B23C7E">
            <w:pPr>
              <w:rPr>
                <w:sz w:val="20"/>
                <w:szCs w:val="20"/>
              </w:rPr>
            </w:pPr>
          </w:p>
        </w:tc>
      </w:tr>
      <w:tr w:rsidR="00B23C7E" w14:paraId="3E6F0DB6" w14:textId="77777777" w:rsidTr="0060581F">
        <w:trPr>
          <w:trHeight w:val="981"/>
        </w:trPr>
        <w:tc>
          <w:tcPr>
            <w:tcW w:w="10632" w:type="dxa"/>
            <w:gridSpan w:val="9"/>
            <w:tcBorders>
              <w:top w:val="nil"/>
              <w:left w:val="nil"/>
              <w:bottom w:val="nil"/>
              <w:right w:val="nil"/>
            </w:tcBorders>
            <w:shd w:val="clear" w:color="auto" w:fill="auto"/>
            <w:noWrap/>
            <w:vAlign w:val="center"/>
            <w:hideMark/>
          </w:tcPr>
          <w:p w14:paraId="5AEC831E" w14:textId="77777777" w:rsidR="00B23C7E" w:rsidRDefault="00B23C7E">
            <w:pPr>
              <w:jc w:val="center"/>
              <w:rPr>
                <w:rFonts w:ascii="Calibri" w:hAnsi="Calibri" w:cs="Calibri"/>
                <w:b/>
                <w:bCs/>
                <w:color w:val="000000"/>
              </w:rPr>
            </w:pPr>
            <w:r>
              <w:rPr>
                <w:rFonts w:ascii="Calibri" w:hAnsi="Calibri" w:cs="Calibri"/>
                <w:b/>
                <w:bCs/>
                <w:color w:val="000000"/>
              </w:rPr>
              <w:t>Veřejná zakázka: Nákup elektricky polohovatelných lůžek s laterálním náklonem</w:t>
            </w:r>
          </w:p>
        </w:tc>
      </w:tr>
      <w:tr w:rsidR="00B23C7E" w14:paraId="1EF5C589" w14:textId="77777777" w:rsidTr="0060581F">
        <w:trPr>
          <w:trHeight w:val="420"/>
        </w:trPr>
        <w:tc>
          <w:tcPr>
            <w:tcW w:w="10632" w:type="dxa"/>
            <w:gridSpan w:val="9"/>
            <w:tcBorders>
              <w:top w:val="nil"/>
              <w:left w:val="nil"/>
              <w:bottom w:val="nil"/>
              <w:right w:val="nil"/>
            </w:tcBorders>
            <w:shd w:val="clear" w:color="auto" w:fill="auto"/>
            <w:noWrap/>
            <w:vAlign w:val="center"/>
            <w:hideMark/>
          </w:tcPr>
          <w:p w14:paraId="456DC39A" w14:textId="77777777" w:rsidR="00B23C7E" w:rsidRDefault="00B23C7E">
            <w:pPr>
              <w:jc w:val="center"/>
              <w:rPr>
                <w:rFonts w:ascii="Tahoma" w:hAnsi="Tahoma" w:cs="Tahoma"/>
                <w:b/>
                <w:bCs/>
                <w:color w:val="000000"/>
                <w:sz w:val="28"/>
                <w:szCs w:val="28"/>
              </w:rPr>
            </w:pPr>
            <w:r>
              <w:rPr>
                <w:rFonts w:ascii="Tahoma" w:hAnsi="Tahoma" w:cs="Tahoma"/>
                <w:b/>
                <w:bCs/>
                <w:color w:val="000000"/>
                <w:sz w:val="28"/>
                <w:szCs w:val="28"/>
              </w:rPr>
              <w:t>Rozpis kupní ceny</w:t>
            </w:r>
          </w:p>
        </w:tc>
      </w:tr>
      <w:tr w:rsidR="00B23C7E" w14:paraId="24CB9699" w14:textId="77777777" w:rsidTr="0060581F">
        <w:trPr>
          <w:trHeight w:val="350"/>
        </w:trPr>
        <w:tc>
          <w:tcPr>
            <w:tcW w:w="10632" w:type="dxa"/>
            <w:gridSpan w:val="9"/>
            <w:tcBorders>
              <w:top w:val="nil"/>
              <w:left w:val="nil"/>
              <w:bottom w:val="nil"/>
              <w:right w:val="nil"/>
            </w:tcBorders>
            <w:shd w:val="clear" w:color="auto" w:fill="auto"/>
            <w:noWrap/>
            <w:vAlign w:val="center"/>
            <w:hideMark/>
          </w:tcPr>
          <w:p w14:paraId="55A7E366" w14:textId="77777777" w:rsidR="00B23C7E" w:rsidRDefault="00B23C7E">
            <w:pPr>
              <w:jc w:val="center"/>
              <w:rPr>
                <w:rFonts w:ascii="Tahoma" w:hAnsi="Tahoma" w:cs="Tahoma"/>
                <w:b/>
                <w:bCs/>
                <w:color w:val="000000"/>
                <w:sz w:val="28"/>
                <w:szCs w:val="28"/>
              </w:rPr>
            </w:pPr>
          </w:p>
        </w:tc>
      </w:tr>
      <w:tr w:rsidR="00B23C7E" w14:paraId="610F3F7C" w14:textId="77777777" w:rsidTr="0060581F">
        <w:trPr>
          <w:trHeight w:val="350"/>
        </w:trPr>
        <w:tc>
          <w:tcPr>
            <w:tcW w:w="10632" w:type="dxa"/>
            <w:gridSpan w:val="9"/>
            <w:tcBorders>
              <w:top w:val="nil"/>
              <w:left w:val="nil"/>
              <w:bottom w:val="nil"/>
              <w:right w:val="nil"/>
            </w:tcBorders>
            <w:shd w:val="clear" w:color="auto" w:fill="auto"/>
            <w:noWrap/>
            <w:vAlign w:val="center"/>
            <w:hideMark/>
          </w:tcPr>
          <w:p w14:paraId="315D3D8E" w14:textId="77777777" w:rsidR="00B23C7E" w:rsidRDefault="00B23C7E">
            <w:pPr>
              <w:jc w:val="center"/>
              <w:rPr>
                <w:rFonts w:ascii="Tahoma" w:hAnsi="Tahoma" w:cs="Tahoma"/>
                <w:b/>
                <w:bCs/>
                <w:color w:val="000000"/>
              </w:rPr>
            </w:pPr>
            <w:r>
              <w:rPr>
                <w:rFonts w:ascii="Tahoma" w:hAnsi="Tahoma" w:cs="Tahoma"/>
                <w:b/>
                <w:bCs/>
                <w:color w:val="000000"/>
              </w:rPr>
              <w:t>Elektricky ovládaná lůžka, matrace</w:t>
            </w:r>
          </w:p>
        </w:tc>
      </w:tr>
      <w:tr w:rsidR="00106464" w14:paraId="7349D5D9" w14:textId="77777777" w:rsidTr="0060581F">
        <w:trPr>
          <w:trHeight w:val="1489"/>
        </w:trPr>
        <w:tc>
          <w:tcPr>
            <w:tcW w:w="49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035C27"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P.Č.</w:t>
            </w:r>
          </w:p>
        </w:tc>
        <w:tc>
          <w:tcPr>
            <w:tcW w:w="3761" w:type="dxa"/>
            <w:tcBorders>
              <w:top w:val="single" w:sz="4" w:space="0" w:color="auto"/>
              <w:left w:val="nil"/>
              <w:bottom w:val="single" w:sz="4" w:space="0" w:color="auto"/>
              <w:right w:val="single" w:sz="4" w:space="0" w:color="auto"/>
            </w:tcBorders>
            <w:shd w:val="clear" w:color="000000" w:fill="F2F2F2"/>
            <w:noWrap/>
            <w:vAlign w:val="center"/>
            <w:hideMark/>
          </w:tcPr>
          <w:p w14:paraId="18F3116C"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Název položky</w:t>
            </w:r>
          </w:p>
        </w:tc>
        <w:tc>
          <w:tcPr>
            <w:tcW w:w="425" w:type="dxa"/>
            <w:tcBorders>
              <w:top w:val="single" w:sz="4" w:space="0" w:color="auto"/>
              <w:left w:val="nil"/>
              <w:bottom w:val="single" w:sz="4" w:space="0" w:color="auto"/>
              <w:right w:val="single" w:sz="4" w:space="0" w:color="auto"/>
            </w:tcBorders>
            <w:shd w:val="clear" w:color="000000" w:fill="F2F2F2"/>
            <w:noWrap/>
            <w:vAlign w:val="center"/>
            <w:hideMark/>
          </w:tcPr>
          <w:p w14:paraId="3FF01A20"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MJ</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14:paraId="792718CF"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Množství</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6BEFBF92"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Cena za MJ</w:t>
            </w:r>
            <w:r w:rsidRPr="00106464">
              <w:rPr>
                <w:rFonts w:asciiTheme="minorHAnsi" w:hAnsiTheme="minorHAnsi" w:cstheme="minorHAnsi"/>
                <w:color w:val="000000"/>
                <w:sz w:val="20"/>
                <w:szCs w:val="20"/>
              </w:rPr>
              <w:br/>
              <w:t>bez DPH</w:t>
            </w:r>
            <w:r w:rsidRPr="00106464">
              <w:rPr>
                <w:rFonts w:asciiTheme="minorHAnsi" w:hAnsiTheme="minorHAnsi" w:cstheme="minorHAnsi"/>
                <w:color w:val="000000"/>
                <w:sz w:val="20"/>
                <w:szCs w:val="20"/>
              </w:rPr>
              <w:br/>
              <w:t>(Kč)</w:t>
            </w:r>
          </w:p>
        </w:tc>
        <w:tc>
          <w:tcPr>
            <w:tcW w:w="1003" w:type="dxa"/>
            <w:tcBorders>
              <w:top w:val="single" w:sz="4" w:space="0" w:color="auto"/>
              <w:left w:val="nil"/>
              <w:bottom w:val="single" w:sz="4" w:space="0" w:color="auto"/>
              <w:right w:val="single" w:sz="4" w:space="0" w:color="auto"/>
            </w:tcBorders>
            <w:shd w:val="clear" w:color="000000" w:fill="F2F2F2"/>
            <w:vAlign w:val="center"/>
            <w:hideMark/>
          </w:tcPr>
          <w:p w14:paraId="67954656"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Cena celkem</w:t>
            </w:r>
            <w:r w:rsidRPr="00106464">
              <w:rPr>
                <w:rFonts w:asciiTheme="minorHAnsi" w:hAnsiTheme="minorHAnsi" w:cstheme="minorHAnsi"/>
                <w:color w:val="000000"/>
                <w:sz w:val="20"/>
                <w:szCs w:val="20"/>
              </w:rPr>
              <w:br/>
              <w:t>bez DPH</w:t>
            </w:r>
            <w:r w:rsidRPr="00106464">
              <w:rPr>
                <w:rFonts w:asciiTheme="minorHAnsi" w:hAnsiTheme="minorHAnsi" w:cstheme="minorHAnsi"/>
                <w:color w:val="000000"/>
                <w:sz w:val="20"/>
                <w:szCs w:val="20"/>
              </w:rPr>
              <w:br/>
              <w:t>(Kč)</w:t>
            </w:r>
          </w:p>
        </w:tc>
        <w:tc>
          <w:tcPr>
            <w:tcW w:w="981" w:type="dxa"/>
            <w:tcBorders>
              <w:top w:val="single" w:sz="4" w:space="0" w:color="auto"/>
              <w:left w:val="nil"/>
              <w:bottom w:val="single" w:sz="4" w:space="0" w:color="auto"/>
              <w:right w:val="single" w:sz="4" w:space="0" w:color="auto"/>
            </w:tcBorders>
            <w:shd w:val="clear" w:color="000000" w:fill="F2F2F2"/>
            <w:vAlign w:val="center"/>
            <w:hideMark/>
          </w:tcPr>
          <w:p w14:paraId="64B84CA6"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Celkem DPH snížená sazba (Kč)</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14:paraId="0D615C5E"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Celkem DPH základní sazba (Kč)</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B213060"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 xml:space="preserve"> Cena celkem včetně DPH</w:t>
            </w:r>
            <w:r w:rsidRPr="00106464">
              <w:rPr>
                <w:rFonts w:asciiTheme="minorHAnsi" w:hAnsiTheme="minorHAnsi" w:cstheme="minorHAnsi"/>
                <w:color w:val="000000"/>
                <w:sz w:val="20"/>
                <w:szCs w:val="20"/>
              </w:rPr>
              <w:br/>
              <w:t xml:space="preserve"> (</w:t>
            </w:r>
            <w:proofErr w:type="gramStart"/>
            <w:r w:rsidRPr="00106464">
              <w:rPr>
                <w:rFonts w:asciiTheme="minorHAnsi" w:hAnsiTheme="minorHAnsi" w:cstheme="minorHAnsi"/>
                <w:color w:val="000000"/>
                <w:sz w:val="20"/>
                <w:szCs w:val="20"/>
              </w:rPr>
              <w:t xml:space="preserve">Kč)   </w:t>
            </w:r>
            <w:proofErr w:type="gramEnd"/>
            <w:r w:rsidRPr="00106464">
              <w:rPr>
                <w:rFonts w:asciiTheme="minorHAnsi" w:hAnsiTheme="minorHAnsi" w:cstheme="minorHAnsi"/>
                <w:color w:val="000000"/>
                <w:sz w:val="20"/>
                <w:szCs w:val="20"/>
              </w:rPr>
              <w:t xml:space="preserve">             </w:t>
            </w:r>
          </w:p>
        </w:tc>
      </w:tr>
      <w:tr w:rsidR="00106464" w14:paraId="670509BA" w14:textId="77777777" w:rsidTr="0060581F">
        <w:trPr>
          <w:trHeight w:val="595"/>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14:paraId="729DD326"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3</w:t>
            </w:r>
          </w:p>
        </w:tc>
        <w:tc>
          <w:tcPr>
            <w:tcW w:w="3761" w:type="dxa"/>
            <w:tcBorders>
              <w:top w:val="nil"/>
              <w:left w:val="nil"/>
              <w:bottom w:val="single" w:sz="4" w:space="0" w:color="auto"/>
              <w:right w:val="single" w:sz="4" w:space="0" w:color="auto"/>
            </w:tcBorders>
            <w:shd w:val="clear" w:color="000000" w:fill="FFFFFF"/>
            <w:vAlign w:val="center"/>
            <w:hideMark/>
          </w:tcPr>
          <w:p w14:paraId="2BBA599C" w14:textId="77777777" w:rsidR="00B23C7E" w:rsidRPr="00106464" w:rsidRDefault="00B23C7E" w:rsidP="00106464">
            <w:pPr>
              <w:ind w:firstLine="1"/>
              <w:rPr>
                <w:rFonts w:asciiTheme="minorHAnsi" w:hAnsiTheme="minorHAnsi" w:cstheme="minorHAnsi"/>
                <w:color w:val="000000"/>
                <w:sz w:val="20"/>
                <w:szCs w:val="20"/>
              </w:rPr>
            </w:pPr>
            <w:r w:rsidRPr="00106464">
              <w:rPr>
                <w:rFonts w:asciiTheme="minorHAnsi" w:hAnsiTheme="minorHAnsi" w:cstheme="minorHAnsi"/>
                <w:color w:val="000000"/>
                <w:sz w:val="20"/>
                <w:szCs w:val="20"/>
              </w:rPr>
              <w:t>Elektricky polohovatelné lůžko, laterální náklon, včetně hrazdy a rukojeti</w:t>
            </w:r>
          </w:p>
        </w:tc>
        <w:tc>
          <w:tcPr>
            <w:tcW w:w="425" w:type="dxa"/>
            <w:tcBorders>
              <w:top w:val="nil"/>
              <w:left w:val="nil"/>
              <w:bottom w:val="single" w:sz="4" w:space="0" w:color="auto"/>
              <w:right w:val="single" w:sz="4" w:space="0" w:color="auto"/>
            </w:tcBorders>
            <w:shd w:val="clear" w:color="000000" w:fill="FFFFFF"/>
            <w:noWrap/>
            <w:vAlign w:val="center"/>
            <w:hideMark/>
          </w:tcPr>
          <w:p w14:paraId="270C7271"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ks</w:t>
            </w:r>
          </w:p>
        </w:tc>
        <w:tc>
          <w:tcPr>
            <w:tcW w:w="992" w:type="dxa"/>
            <w:tcBorders>
              <w:top w:val="nil"/>
              <w:left w:val="nil"/>
              <w:bottom w:val="single" w:sz="4" w:space="0" w:color="auto"/>
              <w:right w:val="single" w:sz="4" w:space="0" w:color="auto"/>
            </w:tcBorders>
            <w:shd w:val="clear" w:color="000000" w:fill="FFFFFF"/>
            <w:noWrap/>
            <w:vAlign w:val="center"/>
            <w:hideMark/>
          </w:tcPr>
          <w:p w14:paraId="238F1871" w14:textId="3AEAD93C" w:rsidR="00B23C7E" w:rsidRPr="00106464" w:rsidRDefault="00B23C7E">
            <w:pPr>
              <w:jc w:val="center"/>
              <w:rPr>
                <w:rFonts w:asciiTheme="minorHAnsi" w:hAnsiTheme="minorHAnsi" w:cstheme="minorHAnsi"/>
                <w:color w:val="000000"/>
                <w:sz w:val="20"/>
                <w:szCs w:val="20"/>
              </w:rPr>
            </w:pPr>
          </w:p>
        </w:tc>
        <w:tc>
          <w:tcPr>
            <w:tcW w:w="993" w:type="dxa"/>
            <w:tcBorders>
              <w:top w:val="nil"/>
              <w:left w:val="nil"/>
              <w:bottom w:val="single" w:sz="4" w:space="0" w:color="auto"/>
              <w:right w:val="single" w:sz="4" w:space="0" w:color="auto"/>
            </w:tcBorders>
            <w:shd w:val="clear" w:color="000000" w:fill="FFFF00"/>
            <w:vAlign w:val="center"/>
            <w:hideMark/>
          </w:tcPr>
          <w:p w14:paraId="43A97427"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56D9D27C"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0,00</w:t>
            </w:r>
          </w:p>
        </w:tc>
        <w:tc>
          <w:tcPr>
            <w:tcW w:w="981" w:type="dxa"/>
            <w:tcBorders>
              <w:top w:val="nil"/>
              <w:left w:val="nil"/>
              <w:bottom w:val="single" w:sz="4" w:space="0" w:color="auto"/>
              <w:right w:val="single" w:sz="4" w:space="0" w:color="auto"/>
            </w:tcBorders>
            <w:shd w:val="clear" w:color="000000" w:fill="FFFF00"/>
            <w:vAlign w:val="center"/>
            <w:hideMark/>
          </w:tcPr>
          <w:p w14:paraId="7D6CC279"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14:paraId="506D9D95"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18434043"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0,00</w:t>
            </w:r>
          </w:p>
        </w:tc>
      </w:tr>
      <w:tr w:rsidR="00106464" w14:paraId="4E991089" w14:textId="77777777" w:rsidTr="0060581F">
        <w:trPr>
          <w:trHeight w:val="35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14:paraId="47531809"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4</w:t>
            </w:r>
          </w:p>
        </w:tc>
        <w:tc>
          <w:tcPr>
            <w:tcW w:w="3761" w:type="dxa"/>
            <w:tcBorders>
              <w:top w:val="nil"/>
              <w:left w:val="nil"/>
              <w:bottom w:val="single" w:sz="4" w:space="0" w:color="auto"/>
              <w:right w:val="single" w:sz="4" w:space="0" w:color="auto"/>
            </w:tcBorders>
            <w:shd w:val="clear" w:color="000000" w:fill="FFFFFF"/>
            <w:noWrap/>
            <w:vAlign w:val="center"/>
            <w:hideMark/>
          </w:tcPr>
          <w:p w14:paraId="59CDE796" w14:textId="77777777" w:rsidR="00B23C7E" w:rsidRPr="00106464" w:rsidRDefault="00B23C7E">
            <w:pPr>
              <w:rPr>
                <w:rFonts w:asciiTheme="minorHAnsi" w:hAnsiTheme="minorHAnsi" w:cstheme="minorHAnsi"/>
                <w:color w:val="000000"/>
                <w:sz w:val="20"/>
                <w:szCs w:val="20"/>
              </w:rPr>
            </w:pPr>
            <w:r w:rsidRPr="00106464">
              <w:rPr>
                <w:rFonts w:asciiTheme="minorHAnsi" w:hAnsiTheme="minorHAnsi" w:cstheme="minorHAnsi"/>
                <w:color w:val="000000"/>
                <w:sz w:val="20"/>
                <w:szCs w:val="20"/>
              </w:rPr>
              <w:t xml:space="preserve">Matrace antidekubitní, III. stupeň </w:t>
            </w:r>
          </w:p>
        </w:tc>
        <w:tc>
          <w:tcPr>
            <w:tcW w:w="425" w:type="dxa"/>
            <w:tcBorders>
              <w:top w:val="nil"/>
              <w:left w:val="nil"/>
              <w:bottom w:val="single" w:sz="4" w:space="0" w:color="auto"/>
              <w:right w:val="single" w:sz="4" w:space="0" w:color="auto"/>
            </w:tcBorders>
            <w:shd w:val="clear" w:color="000000" w:fill="FFFFFF"/>
            <w:noWrap/>
            <w:vAlign w:val="center"/>
            <w:hideMark/>
          </w:tcPr>
          <w:p w14:paraId="4B3A48EC" w14:textId="77777777" w:rsidR="00B23C7E" w:rsidRPr="00106464" w:rsidRDefault="00B23C7E">
            <w:pPr>
              <w:jc w:val="center"/>
              <w:rPr>
                <w:rFonts w:asciiTheme="minorHAnsi" w:hAnsiTheme="minorHAnsi" w:cstheme="minorHAnsi"/>
                <w:color w:val="000000"/>
                <w:sz w:val="20"/>
                <w:szCs w:val="20"/>
              </w:rPr>
            </w:pPr>
            <w:r w:rsidRPr="00106464">
              <w:rPr>
                <w:rFonts w:asciiTheme="minorHAnsi" w:hAnsiTheme="minorHAnsi" w:cstheme="minorHAnsi"/>
                <w:color w:val="000000"/>
                <w:sz w:val="20"/>
                <w:szCs w:val="20"/>
              </w:rPr>
              <w:t>ks</w:t>
            </w:r>
          </w:p>
        </w:tc>
        <w:tc>
          <w:tcPr>
            <w:tcW w:w="992" w:type="dxa"/>
            <w:tcBorders>
              <w:top w:val="nil"/>
              <w:left w:val="nil"/>
              <w:bottom w:val="single" w:sz="4" w:space="0" w:color="auto"/>
              <w:right w:val="single" w:sz="4" w:space="0" w:color="auto"/>
            </w:tcBorders>
            <w:shd w:val="clear" w:color="000000" w:fill="FFFFFF"/>
            <w:noWrap/>
            <w:vAlign w:val="center"/>
            <w:hideMark/>
          </w:tcPr>
          <w:p w14:paraId="160C6100" w14:textId="5E9C9927" w:rsidR="00B23C7E" w:rsidRPr="00106464" w:rsidRDefault="00B23C7E">
            <w:pPr>
              <w:jc w:val="center"/>
              <w:rPr>
                <w:rFonts w:asciiTheme="minorHAnsi" w:hAnsiTheme="minorHAnsi" w:cstheme="minorHAnsi"/>
                <w:color w:val="000000"/>
                <w:sz w:val="20"/>
                <w:szCs w:val="20"/>
              </w:rPr>
            </w:pPr>
          </w:p>
        </w:tc>
        <w:tc>
          <w:tcPr>
            <w:tcW w:w="993" w:type="dxa"/>
            <w:tcBorders>
              <w:top w:val="nil"/>
              <w:left w:val="nil"/>
              <w:bottom w:val="single" w:sz="4" w:space="0" w:color="auto"/>
              <w:right w:val="single" w:sz="4" w:space="0" w:color="auto"/>
            </w:tcBorders>
            <w:shd w:val="clear" w:color="000000" w:fill="FFFF00"/>
            <w:vAlign w:val="center"/>
            <w:hideMark/>
          </w:tcPr>
          <w:p w14:paraId="73F1F99D"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 </w:t>
            </w:r>
          </w:p>
        </w:tc>
        <w:tc>
          <w:tcPr>
            <w:tcW w:w="1003" w:type="dxa"/>
            <w:tcBorders>
              <w:top w:val="nil"/>
              <w:left w:val="nil"/>
              <w:bottom w:val="single" w:sz="4" w:space="0" w:color="auto"/>
              <w:right w:val="single" w:sz="4" w:space="0" w:color="auto"/>
            </w:tcBorders>
            <w:shd w:val="clear" w:color="000000" w:fill="FFFFFF"/>
            <w:vAlign w:val="center"/>
            <w:hideMark/>
          </w:tcPr>
          <w:p w14:paraId="2501FA37"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0,00</w:t>
            </w:r>
          </w:p>
        </w:tc>
        <w:tc>
          <w:tcPr>
            <w:tcW w:w="981" w:type="dxa"/>
            <w:tcBorders>
              <w:top w:val="nil"/>
              <w:left w:val="nil"/>
              <w:bottom w:val="single" w:sz="4" w:space="0" w:color="auto"/>
              <w:right w:val="single" w:sz="4" w:space="0" w:color="auto"/>
            </w:tcBorders>
            <w:shd w:val="clear" w:color="000000" w:fill="FFFF00"/>
            <w:vAlign w:val="center"/>
            <w:hideMark/>
          </w:tcPr>
          <w:p w14:paraId="57E8E553"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 </w:t>
            </w:r>
          </w:p>
        </w:tc>
        <w:tc>
          <w:tcPr>
            <w:tcW w:w="851" w:type="dxa"/>
            <w:tcBorders>
              <w:top w:val="nil"/>
              <w:left w:val="nil"/>
              <w:bottom w:val="single" w:sz="4" w:space="0" w:color="auto"/>
              <w:right w:val="single" w:sz="4" w:space="0" w:color="auto"/>
            </w:tcBorders>
            <w:shd w:val="clear" w:color="000000" w:fill="FFFF00"/>
            <w:vAlign w:val="center"/>
            <w:hideMark/>
          </w:tcPr>
          <w:p w14:paraId="1CB276B9"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05815B52"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0,00</w:t>
            </w:r>
          </w:p>
        </w:tc>
      </w:tr>
      <w:tr w:rsidR="00106464" w14:paraId="29AF43B1" w14:textId="77777777" w:rsidTr="0060581F">
        <w:trPr>
          <w:trHeight w:val="350"/>
        </w:trPr>
        <w:tc>
          <w:tcPr>
            <w:tcW w:w="6663"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11C3700" w14:textId="77777777" w:rsidR="00B23C7E" w:rsidRPr="00106464" w:rsidRDefault="00B23C7E">
            <w:pPr>
              <w:ind w:firstLineChars="400" w:firstLine="803"/>
              <w:rPr>
                <w:rFonts w:asciiTheme="minorHAnsi" w:hAnsiTheme="minorHAnsi" w:cstheme="minorHAnsi"/>
                <w:b/>
                <w:bCs/>
                <w:color w:val="000000"/>
                <w:sz w:val="20"/>
                <w:szCs w:val="20"/>
              </w:rPr>
            </w:pPr>
            <w:proofErr w:type="gramStart"/>
            <w:r w:rsidRPr="00106464">
              <w:rPr>
                <w:rFonts w:asciiTheme="minorHAnsi" w:hAnsiTheme="minorHAnsi" w:cstheme="minorHAnsi"/>
                <w:b/>
                <w:bCs/>
                <w:color w:val="000000"/>
                <w:sz w:val="20"/>
                <w:szCs w:val="20"/>
              </w:rPr>
              <w:t>Celkem - postele</w:t>
            </w:r>
            <w:proofErr w:type="gramEnd"/>
            <w:r w:rsidRPr="00106464">
              <w:rPr>
                <w:rFonts w:asciiTheme="minorHAnsi" w:hAnsiTheme="minorHAnsi" w:cstheme="minorHAnsi"/>
                <w:b/>
                <w:bCs/>
                <w:color w:val="000000"/>
                <w:sz w:val="20"/>
                <w:szCs w:val="20"/>
              </w:rPr>
              <w:t>, matrace, noční stolky</w:t>
            </w:r>
          </w:p>
        </w:tc>
        <w:tc>
          <w:tcPr>
            <w:tcW w:w="1003" w:type="dxa"/>
            <w:tcBorders>
              <w:top w:val="nil"/>
              <w:left w:val="nil"/>
              <w:bottom w:val="single" w:sz="4" w:space="0" w:color="auto"/>
              <w:right w:val="single" w:sz="4" w:space="0" w:color="auto"/>
            </w:tcBorders>
            <w:shd w:val="clear" w:color="000000" w:fill="F2F2F2"/>
            <w:noWrap/>
            <w:vAlign w:val="center"/>
            <w:hideMark/>
          </w:tcPr>
          <w:p w14:paraId="1276F609" w14:textId="252B0333" w:rsidR="00B23C7E" w:rsidRPr="00106464" w:rsidRDefault="00106464">
            <w:pP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288340,20</w:t>
            </w:r>
          </w:p>
        </w:tc>
        <w:tc>
          <w:tcPr>
            <w:tcW w:w="981" w:type="dxa"/>
            <w:tcBorders>
              <w:top w:val="nil"/>
              <w:left w:val="nil"/>
              <w:bottom w:val="single" w:sz="4" w:space="0" w:color="auto"/>
              <w:right w:val="single" w:sz="4" w:space="0" w:color="auto"/>
            </w:tcBorders>
            <w:shd w:val="clear" w:color="000000" w:fill="F2F2F2"/>
            <w:noWrap/>
            <w:vAlign w:val="center"/>
            <w:hideMark/>
          </w:tcPr>
          <w:p w14:paraId="78C9747C" w14:textId="1084BBC7" w:rsidR="00B23C7E" w:rsidRPr="00106464" w:rsidRDefault="00106464">
            <w:pPr>
              <w:jc w:val="right"/>
              <w:rPr>
                <w:rFonts w:asciiTheme="minorHAnsi" w:hAnsiTheme="minorHAnsi" w:cstheme="minorHAnsi"/>
                <w:color w:val="000000"/>
                <w:sz w:val="20"/>
                <w:szCs w:val="20"/>
              </w:rPr>
            </w:pPr>
            <w:r>
              <w:rPr>
                <w:rFonts w:asciiTheme="minorHAnsi" w:hAnsiTheme="minorHAnsi" w:cstheme="minorHAnsi"/>
                <w:color w:val="000000"/>
                <w:sz w:val="20"/>
                <w:szCs w:val="20"/>
              </w:rPr>
              <w:t>34600,82</w:t>
            </w:r>
          </w:p>
        </w:tc>
        <w:tc>
          <w:tcPr>
            <w:tcW w:w="851" w:type="dxa"/>
            <w:tcBorders>
              <w:top w:val="nil"/>
              <w:left w:val="nil"/>
              <w:bottom w:val="single" w:sz="4" w:space="0" w:color="auto"/>
              <w:right w:val="single" w:sz="4" w:space="0" w:color="auto"/>
            </w:tcBorders>
            <w:shd w:val="clear" w:color="000000" w:fill="F2F2F2"/>
            <w:noWrap/>
            <w:vAlign w:val="center"/>
            <w:hideMark/>
          </w:tcPr>
          <w:p w14:paraId="6386A23F" w14:textId="77777777" w:rsidR="00B23C7E" w:rsidRPr="00106464" w:rsidRDefault="00B23C7E">
            <w:pPr>
              <w:jc w:val="right"/>
              <w:rPr>
                <w:rFonts w:asciiTheme="minorHAnsi" w:hAnsiTheme="minorHAnsi" w:cstheme="minorHAnsi"/>
                <w:color w:val="000000"/>
                <w:sz w:val="20"/>
                <w:szCs w:val="20"/>
              </w:rPr>
            </w:pPr>
            <w:r w:rsidRPr="00106464">
              <w:rPr>
                <w:rFonts w:asciiTheme="minorHAnsi" w:hAnsiTheme="minorHAnsi" w:cstheme="minorHAnsi"/>
                <w:color w:val="000000"/>
                <w:sz w:val="20"/>
                <w:szCs w:val="20"/>
              </w:rPr>
              <w:t>0,00</w:t>
            </w:r>
          </w:p>
        </w:tc>
        <w:tc>
          <w:tcPr>
            <w:tcW w:w="1134" w:type="dxa"/>
            <w:tcBorders>
              <w:top w:val="nil"/>
              <w:left w:val="nil"/>
              <w:bottom w:val="single" w:sz="4" w:space="0" w:color="auto"/>
              <w:right w:val="single" w:sz="4" w:space="0" w:color="auto"/>
            </w:tcBorders>
            <w:shd w:val="clear" w:color="000000" w:fill="F2F2F2"/>
            <w:noWrap/>
            <w:vAlign w:val="center"/>
            <w:hideMark/>
          </w:tcPr>
          <w:p w14:paraId="3F0B25A0" w14:textId="2EDED2E2" w:rsidR="00B23C7E" w:rsidRPr="00106464" w:rsidRDefault="00106464">
            <w:pPr>
              <w:jc w:val="right"/>
              <w:rPr>
                <w:rFonts w:asciiTheme="minorHAnsi" w:hAnsiTheme="minorHAnsi" w:cstheme="minorHAnsi"/>
                <w:b/>
                <w:bCs/>
                <w:color w:val="000000"/>
                <w:sz w:val="20"/>
                <w:szCs w:val="20"/>
              </w:rPr>
            </w:pPr>
            <w:r>
              <w:rPr>
                <w:rFonts w:asciiTheme="minorHAnsi" w:hAnsiTheme="minorHAnsi" w:cstheme="minorHAnsi"/>
                <w:b/>
                <w:bCs/>
                <w:color w:val="000000"/>
                <w:sz w:val="20"/>
                <w:szCs w:val="20"/>
              </w:rPr>
              <w:t>322941,02</w:t>
            </w:r>
          </w:p>
        </w:tc>
      </w:tr>
      <w:tr w:rsidR="00106464" w14:paraId="48E49EE1" w14:textId="77777777" w:rsidTr="0060581F">
        <w:trPr>
          <w:trHeight w:val="350"/>
        </w:trPr>
        <w:tc>
          <w:tcPr>
            <w:tcW w:w="492" w:type="dxa"/>
            <w:tcBorders>
              <w:top w:val="nil"/>
              <w:left w:val="nil"/>
              <w:bottom w:val="nil"/>
              <w:right w:val="nil"/>
            </w:tcBorders>
            <w:shd w:val="clear" w:color="auto" w:fill="auto"/>
            <w:noWrap/>
            <w:vAlign w:val="bottom"/>
            <w:hideMark/>
          </w:tcPr>
          <w:p w14:paraId="43C4AB9A" w14:textId="77777777" w:rsidR="00B23C7E" w:rsidRPr="00106464" w:rsidRDefault="00B23C7E">
            <w:pPr>
              <w:jc w:val="right"/>
              <w:rPr>
                <w:rFonts w:asciiTheme="minorHAnsi" w:hAnsiTheme="minorHAnsi" w:cstheme="minorHAnsi"/>
                <w:b/>
                <w:bCs/>
                <w:color w:val="000000"/>
                <w:sz w:val="20"/>
                <w:szCs w:val="20"/>
              </w:rPr>
            </w:pPr>
          </w:p>
        </w:tc>
        <w:tc>
          <w:tcPr>
            <w:tcW w:w="3761" w:type="dxa"/>
            <w:tcBorders>
              <w:top w:val="nil"/>
              <w:left w:val="nil"/>
              <w:bottom w:val="nil"/>
              <w:right w:val="nil"/>
            </w:tcBorders>
            <w:shd w:val="clear" w:color="auto" w:fill="auto"/>
            <w:noWrap/>
            <w:vAlign w:val="bottom"/>
            <w:hideMark/>
          </w:tcPr>
          <w:p w14:paraId="6AF805AA" w14:textId="77777777" w:rsidR="00B23C7E" w:rsidRPr="00106464" w:rsidRDefault="00B23C7E">
            <w:pPr>
              <w:rPr>
                <w:rFonts w:asciiTheme="minorHAnsi" w:hAnsiTheme="minorHAnsi" w:cstheme="minorHAnsi"/>
                <w:sz w:val="20"/>
                <w:szCs w:val="20"/>
              </w:rPr>
            </w:pPr>
          </w:p>
        </w:tc>
        <w:tc>
          <w:tcPr>
            <w:tcW w:w="425" w:type="dxa"/>
            <w:tcBorders>
              <w:top w:val="nil"/>
              <w:left w:val="nil"/>
              <w:bottom w:val="nil"/>
              <w:right w:val="nil"/>
            </w:tcBorders>
            <w:shd w:val="clear" w:color="auto" w:fill="auto"/>
            <w:noWrap/>
            <w:vAlign w:val="bottom"/>
            <w:hideMark/>
          </w:tcPr>
          <w:p w14:paraId="47FE38FA" w14:textId="77777777" w:rsidR="00B23C7E" w:rsidRPr="00106464" w:rsidRDefault="00B23C7E">
            <w:pPr>
              <w:rPr>
                <w:rFonts w:asciiTheme="minorHAnsi" w:hAnsiTheme="minorHAnsi" w:cstheme="minorHAnsi"/>
                <w:sz w:val="20"/>
                <w:szCs w:val="20"/>
              </w:rPr>
            </w:pPr>
          </w:p>
        </w:tc>
        <w:tc>
          <w:tcPr>
            <w:tcW w:w="992" w:type="dxa"/>
            <w:tcBorders>
              <w:top w:val="nil"/>
              <w:left w:val="nil"/>
              <w:bottom w:val="nil"/>
              <w:right w:val="nil"/>
            </w:tcBorders>
            <w:shd w:val="clear" w:color="auto" w:fill="auto"/>
            <w:noWrap/>
            <w:vAlign w:val="bottom"/>
            <w:hideMark/>
          </w:tcPr>
          <w:p w14:paraId="7EDCB026" w14:textId="77777777" w:rsidR="00B23C7E" w:rsidRPr="00106464" w:rsidRDefault="00B23C7E">
            <w:pPr>
              <w:rPr>
                <w:rFonts w:asciiTheme="minorHAnsi" w:hAnsiTheme="minorHAnsi" w:cstheme="minorHAnsi"/>
                <w:sz w:val="20"/>
                <w:szCs w:val="20"/>
              </w:rPr>
            </w:pPr>
          </w:p>
        </w:tc>
        <w:tc>
          <w:tcPr>
            <w:tcW w:w="993" w:type="dxa"/>
            <w:tcBorders>
              <w:top w:val="nil"/>
              <w:left w:val="nil"/>
              <w:bottom w:val="nil"/>
              <w:right w:val="nil"/>
            </w:tcBorders>
            <w:shd w:val="clear" w:color="auto" w:fill="auto"/>
            <w:noWrap/>
            <w:vAlign w:val="bottom"/>
            <w:hideMark/>
          </w:tcPr>
          <w:p w14:paraId="735EA022" w14:textId="77777777" w:rsidR="00B23C7E" w:rsidRPr="00106464" w:rsidRDefault="00B23C7E">
            <w:pPr>
              <w:rPr>
                <w:rFonts w:asciiTheme="minorHAnsi" w:hAnsiTheme="minorHAnsi" w:cstheme="minorHAnsi"/>
                <w:sz w:val="20"/>
                <w:szCs w:val="20"/>
              </w:rPr>
            </w:pPr>
          </w:p>
        </w:tc>
        <w:tc>
          <w:tcPr>
            <w:tcW w:w="1003" w:type="dxa"/>
            <w:tcBorders>
              <w:top w:val="nil"/>
              <w:left w:val="nil"/>
              <w:bottom w:val="nil"/>
              <w:right w:val="nil"/>
            </w:tcBorders>
            <w:shd w:val="clear" w:color="auto" w:fill="auto"/>
            <w:noWrap/>
            <w:vAlign w:val="bottom"/>
            <w:hideMark/>
          </w:tcPr>
          <w:p w14:paraId="10321BC9" w14:textId="77777777" w:rsidR="00B23C7E" w:rsidRPr="00106464" w:rsidRDefault="00B23C7E">
            <w:pPr>
              <w:rPr>
                <w:rFonts w:asciiTheme="minorHAnsi" w:hAnsiTheme="minorHAnsi" w:cstheme="minorHAnsi"/>
                <w:sz w:val="20"/>
                <w:szCs w:val="20"/>
              </w:rPr>
            </w:pPr>
          </w:p>
        </w:tc>
        <w:tc>
          <w:tcPr>
            <w:tcW w:w="981" w:type="dxa"/>
            <w:tcBorders>
              <w:top w:val="nil"/>
              <w:left w:val="nil"/>
              <w:bottom w:val="nil"/>
              <w:right w:val="nil"/>
            </w:tcBorders>
            <w:shd w:val="clear" w:color="auto" w:fill="auto"/>
            <w:noWrap/>
            <w:vAlign w:val="bottom"/>
            <w:hideMark/>
          </w:tcPr>
          <w:p w14:paraId="6D60A2FE" w14:textId="77777777" w:rsidR="00B23C7E" w:rsidRPr="00106464" w:rsidRDefault="00B23C7E">
            <w:pPr>
              <w:rPr>
                <w:rFonts w:asciiTheme="minorHAnsi" w:hAnsiTheme="minorHAnsi" w:cstheme="minorHAnsi"/>
                <w:sz w:val="20"/>
                <w:szCs w:val="20"/>
              </w:rPr>
            </w:pPr>
          </w:p>
        </w:tc>
        <w:tc>
          <w:tcPr>
            <w:tcW w:w="851" w:type="dxa"/>
            <w:tcBorders>
              <w:top w:val="nil"/>
              <w:left w:val="nil"/>
              <w:bottom w:val="nil"/>
              <w:right w:val="nil"/>
            </w:tcBorders>
            <w:shd w:val="clear" w:color="auto" w:fill="auto"/>
            <w:noWrap/>
            <w:vAlign w:val="bottom"/>
            <w:hideMark/>
          </w:tcPr>
          <w:p w14:paraId="2F59D439" w14:textId="77777777" w:rsidR="00B23C7E" w:rsidRPr="00106464" w:rsidRDefault="00B23C7E">
            <w:pPr>
              <w:rPr>
                <w:rFonts w:asciiTheme="minorHAnsi" w:hAnsiTheme="minorHAnsi" w:cstheme="minorHAnsi"/>
                <w:sz w:val="20"/>
                <w:szCs w:val="20"/>
              </w:rPr>
            </w:pPr>
          </w:p>
        </w:tc>
        <w:tc>
          <w:tcPr>
            <w:tcW w:w="1134" w:type="dxa"/>
            <w:tcBorders>
              <w:top w:val="nil"/>
              <w:left w:val="nil"/>
              <w:bottom w:val="nil"/>
              <w:right w:val="nil"/>
            </w:tcBorders>
            <w:shd w:val="clear" w:color="auto" w:fill="auto"/>
            <w:noWrap/>
            <w:vAlign w:val="bottom"/>
            <w:hideMark/>
          </w:tcPr>
          <w:p w14:paraId="242F628E" w14:textId="77777777" w:rsidR="00B23C7E" w:rsidRPr="00106464" w:rsidRDefault="00B23C7E">
            <w:pPr>
              <w:rPr>
                <w:rFonts w:asciiTheme="minorHAnsi" w:hAnsiTheme="minorHAnsi" w:cstheme="minorHAnsi"/>
                <w:sz w:val="20"/>
                <w:szCs w:val="20"/>
              </w:rPr>
            </w:pPr>
          </w:p>
        </w:tc>
      </w:tr>
    </w:tbl>
    <w:p w14:paraId="0DF66BE8" w14:textId="77777777" w:rsidR="00B23C7E" w:rsidRPr="00B23C7E" w:rsidRDefault="00B23C7E" w:rsidP="00CF3EBB">
      <w:pPr>
        <w:pStyle w:val="Zkladntext"/>
        <w:tabs>
          <w:tab w:val="clear" w:pos="1418"/>
        </w:tabs>
        <w:spacing w:after="240"/>
        <w:ind w:left="1349" w:hanging="992"/>
        <w:rPr>
          <w:rFonts w:ascii="Tahoma" w:hAnsi="Tahoma" w:cs="Tahoma"/>
          <w:color w:val="FF0000"/>
          <w:sz w:val="22"/>
          <w:szCs w:val="22"/>
        </w:rPr>
      </w:pPr>
    </w:p>
    <w:sectPr w:rsidR="00B23C7E" w:rsidRPr="00B23C7E" w:rsidSect="00B23C7E">
      <w:footerReference w:type="even" r:id="rId8"/>
      <w:footerReference w:type="default" r:id="rId9"/>
      <w:headerReference w:type="first" r:id="rId10"/>
      <w:footerReference w:type="firs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B9404" w14:textId="77777777" w:rsidR="000267DD" w:rsidRDefault="000267DD">
      <w:r>
        <w:separator/>
      </w:r>
    </w:p>
  </w:endnote>
  <w:endnote w:type="continuationSeparator" w:id="0">
    <w:p w14:paraId="7C79687F" w14:textId="77777777" w:rsidR="000267DD" w:rsidRDefault="0002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1911D" w14:textId="43F5B1A1"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sidR="00B23C7E">
      <w:rPr>
        <w:rStyle w:val="slostrnky"/>
      </w:rPr>
      <w:fldChar w:fldCharType="separate"/>
    </w:r>
    <w:r w:rsidR="00B23C7E">
      <w:rPr>
        <w:rStyle w:val="slostrnky"/>
        <w:noProof/>
      </w:rPr>
      <w:t>8</w: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833650"/>
      <w:docPartObj>
        <w:docPartGallery w:val="Page Numbers (Bottom of Page)"/>
        <w:docPartUnique/>
      </w:docPartObj>
    </w:sdtPr>
    <w:sdtEndPr/>
    <w:sdtContent>
      <w:p w14:paraId="5404AEE2" w14:textId="61C79CAA" w:rsidR="00784083" w:rsidRDefault="00784083">
        <w:pPr>
          <w:pStyle w:val="Zpat"/>
          <w:jc w:val="center"/>
        </w:pPr>
        <w:r w:rsidRPr="00784083">
          <w:rPr>
            <w:sz w:val="20"/>
            <w:szCs w:val="20"/>
          </w:rPr>
          <w:fldChar w:fldCharType="begin"/>
        </w:r>
        <w:r w:rsidRPr="00784083">
          <w:rPr>
            <w:sz w:val="20"/>
            <w:szCs w:val="20"/>
          </w:rPr>
          <w:instrText>PAGE   \* MERGEFORMAT</w:instrText>
        </w:r>
        <w:r w:rsidRPr="00784083">
          <w:rPr>
            <w:sz w:val="20"/>
            <w:szCs w:val="20"/>
          </w:rPr>
          <w:fldChar w:fldCharType="separate"/>
        </w:r>
        <w:r w:rsidRPr="00784083">
          <w:rPr>
            <w:sz w:val="20"/>
            <w:szCs w:val="20"/>
          </w:rPr>
          <w:t>2</w:t>
        </w:r>
        <w:r w:rsidRPr="007840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4613C" w14:textId="77777777" w:rsidR="000267DD" w:rsidRDefault="000267DD">
      <w:r>
        <w:separator/>
      </w:r>
    </w:p>
  </w:footnote>
  <w:footnote w:type="continuationSeparator" w:id="0">
    <w:p w14:paraId="3F0F5FC4" w14:textId="77777777" w:rsidR="000267DD" w:rsidRDefault="0002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3B51" w14:textId="374D5D71" w:rsidR="000151B8" w:rsidRPr="00C24126" w:rsidRDefault="000151B8" w:rsidP="00B60457">
    <w:pPr>
      <w:widowControl w:val="0"/>
      <w:tabs>
        <w:tab w:val="center" w:pos="0"/>
        <w:tab w:val="right" w:pos="10206"/>
      </w:tabs>
      <w:suppressAutoHyphens/>
      <w:ind w:hanging="284"/>
      <w:rPr>
        <w:rFonts w:eastAsia="Calibri"/>
        <w:sz w:val="22"/>
        <w:szCs w:val="22"/>
        <w:lang w:val="x-none" w:eastAsia="ar-SA"/>
      </w:rPr>
    </w:pPr>
    <w:r w:rsidRPr="00C24126">
      <w:rPr>
        <w:rFonts w:eastAsia="Calibri"/>
        <w:sz w:val="22"/>
        <w:szCs w:val="22"/>
        <w:lang w:eastAsia="ar-SA"/>
      </w:rPr>
      <w:t xml:space="preserve">      </w:t>
    </w:r>
    <w:r w:rsidRPr="00C24126">
      <w:rPr>
        <w:rFonts w:ascii="Calibri" w:hAnsi="Calibri"/>
        <w:noProof/>
        <w:sz w:val="22"/>
        <w:szCs w:val="22"/>
        <w:lang w:eastAsia="ar-SA"/>
      </w:rPr>
      <w:drawing>
        <wp:inline distT="0" distB="0" distL="0" distR="0" wp14:anchorId="045577F5" wp14:editId="3F080625">
          <wp:extent cx="1779105" cy="731974"/>
          <wp:effectExtent l="0" t="0" r="0" b="0"/>
          <wp:docPr id="829295353" name="Obrázek 82929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539" cy="742850"/>
                  </a:xfrm>
                  <a:prstGeom prst="rect">
                    <a:avLst/>
                  </a:prstGeom>
                  <a:noFill/>
                  <a:ln>
                    <a:noFill/>
                  </a:ln>
                </pic:spPr>
              </pic:pic>
            </a:graphicData>
          </a:graphic>
        </wp:inline>
      </w:drawing>
    </w:r>
    <w:r w:rsidRPr="00C24126">
      <w:rPr>
        <w:rFonts w:eastAsia="Calibri"/>
        <w:sz w:val="22"/>
        <w:szCs w:val="22"/>
        <w:lang w:val="x-none" w:eastAsia="ar-SA"/>
      </w:rPr>
      <w:t xml:space="preserve">               </w:t>
    </w:r>
    <w:r w:rsidRPr="00C24126">
      <w:rPr>
        <w:rFonts w:eastAsia="Calibri"/>
        <w:sz w:val="22"/>
        <w:szCs w:val="22"/>
        <w:lang w:eastAsia="ar-SA"/>
      </w:rPr>
      <w:t xml:space="preserve">                  </w:t>
    </w:r>
    <w:r w:rsidR="00B60457">
      <w:rPr>
        <w:rFonts w:eastAsia="Calibri"/>
        <w:sz w:val="22"/>
        <w:szCs w:val="22"/>
        <w:lang w:eastAsia="ar-SA"/>
      </w:rPr>
      <w:t xml:space="preserve">        </w:t>
    </w:r>
    <w:r w:rsidRPr="00C24126">
      <w:rPr>
        <w:rFonts w:eastAsia="Calibri"/>
        <w:sz w:val="22"/>
        <w:szCs w:val="22"/>
        <w:lang w:eastAsia="ar-SA"/>
      </w:rPr>
      <w:t xml:space="preserve">        </w:t>
    </w:r>
    <w:r w:rsidR="00B60457">
      <w:rPr>
        <w:rFonts w:eastAsia="Calibri"/>
        <w:sz w:val="22"/>
        <w:szCs w:val="22"/>
        <w:lang w:eastAsia="ar-SA"/>
      </w:rPr>
      <w:t xml:space="preserve">            </w:t>
    </w:r>
    <w:r w:rsidRPr="00C24126">
      <w:rPr>
        <w:rFonts w:eastAsia="Calibri"/>
        <w:sz w:val="22"/>
        <w:szCs w:val="22"/>
        <w:lang w:eastAsia="ar-SA"/>
      </w:rPr>
      <w:t xml:space="preserve">      </w:t>
    </w:r>
    <w:r w:rsidR="00B60457">
      <w:rPr>
        <w:rFonts w:eastAsia="Calibri"/>
        <w:sz w:val="22"/>
        <w:szCs w:val="22"/>
        <w:lang w:eastAsia="ar-SA"/>
      </w:rPr>
      <w:t xml:space="preserve">     </w:t>
    </w:r>
    <w:r w:rsidRPr="00C24126">
      <w:rPr>
        <w:rFonts w:eastAsia="Calibri"/>
        <w:sz w:val="22"/>
        <w:szCs w:val="22"/>
        <w:lang w:eastAsia="ar-SA"/>
      </w:rPr>
      <w:t xml:space="preserve">   </w:t>
    </w:r>
    <w:r>
      <w:rPr>
        <w:rFonts w:eastAsia="Calibri"/>
        <w:noProof/>
        <w:sz w:val="22"/>
        <w:szCs w:val="22"/>
        <w:lang w:val="x-none" w:eastAsia="ar-SA"/>
      </w:rPr>
      <w:drawing>
        <wp:inline distT="0" distB="0" distL="0" distR="0" wp14:anchorId="04740324" wp14:editId="6FC57FF2">
          <wp:extent cx="1303931" cy="559971"/>
          <wp:effectExtent l="0" t="0" r="0" b="0"/>
          <wp:docPr id="30982884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3525" cy="564091"/>
                  </a:xfrm>
                  <a:prstGeom prst="rect">
                    <a:avLst/>
                  </a:prstGeom>
                  <a:noFill/>
                  <a:ln>
                    <a:noFill/>
                  </a:ln>
                </pic:spPr>
              </pic:pic>
            </a:graphicData>
          </a:graphic>
        </wp:inline>
      </w:drawing>
    </w:r>
    <w:r w:rsidRPr="00C24126">
      <w:rPr>
        <w:rFonts w:eastAsia="Calibri"/>
        <w:sz w:val="22"/>
        <w:szCs w:val="22"/>
        <w:lang w:eastAsia="ar-SA"/>
      </w:rPr>
      <w:t xml:space="preserve">   </w:t>
    </w:r>
    <w:r w:rsidRPr="00C24126">
      <w:rPr>
        <w:rFonts w:eastAsia="Calibri"/>
        <w:sz w:val="22"/>
        <w:szCs w:val="22"/>
        <w:lang w:val="x-none" w:eastAsia="ar-SA"/>
      </w:rPr>
      <w:t xml:space="preserve">     </w:t>
    </w:r>
  </w:p>
  <w:p w14:paraId="64D5C92E" w14:textId="77777777" w:rsidR="00B2273C" w:rsidRPr="000151B8" w:rsidRDefault="00B2273C" w:rsidP="000151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36688"/>
    <w:multiLevelType w:val="hybridMultilevel"/>
    <w:tmpl w:val="8EAAAE2C"/>
    <w:lvl w:ilvl="0" w:tplc="FFFFFFFF">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9"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1"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6538CE"/>
    <w:multiLevelType w:val="hybridMultilevel"/>
    <w:tmpl w:val="79E4C22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3"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7"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3"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0" w15:restartNumberingAfterBreak="0">
    <w:nsid w:val="6B015CB7"/>
    <w:multiLevelType w:val="hybridMultilevel"/>
    <w:tmpl w:val="8EAAAE2C"/>
    <w:lvl w:ilvl="0" w:tplc="FFFFFFFF">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4"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63562813">
    <w:abstractNumId w:val="45"/>
  </w:num>
  <w:num w:numId="2" w16cid:durableId="2051415164">
    <w:abstractNumId w:val="22"/>
  </w:num>
  <w:num w:numId="3" w16cid:durableId="1645618848">
    <w:abstractNumId w:val="10"/>
  </w:num>
  <w:num w:numId="4" w16cid:durableId="1316298180">
    <w:abstractNumId w:val="39"/>
  </w:num>
  <w:num w:numId="5" w16cid:durableId="1705515875">
    <w:abstractNumId w:val="1"/>
  </w:num>
  <w:num w:numId="6" w16cid:durableId="1469126907">
    <w:abstractNumId w:val="12"/>
  </w:num>
  <w:num w:numId="7" w16cid:durableId="749081090">
    <w:abstractNumId w:val="31"/>
  </w:num>
  <w:num w:numId="8" w16cid:durableId="491800171">
    <w:abstractNumId w:val="9"/>
  </w:num>
  <w:num w:numId="9" w16cid:durableId="1287471554">
    <w:abstractNumId w:val="33"/>
  </w:num>
  <w:num w:numId="10" w16cid:durableId="1351025219">
    <w:abstractNumId w:val="2"/>
  </w:num>
  <w:num w:numId="11" w16cid:durableId="924069281">
    <w:abstractNumId w:val="18"/>
  </w:num>
  <w:num w:numId="12" w16cid:durableId="716592252">
    <w:abstractNumId w:val="26"/>
  </w:num>
  <w:num w:numId="13" w16cid:durableId="2070495114">
    <w:abstractNumId w:val="5"/>
  </w:num>
  <w:num w:numId="14" w16cid:durableId="81877412">
    <w:abstractNumId w:val="35"/>
  </w:num>
  <w:num w:numId="15" w16cid:durableId="2036072731">
    <w:abstractNumId w:val="47"/>
  </w:num>
  <w:num w:numId="16" w16cid:durableId="436608508">
    <w:abstractNumId w:val="14"/>
  </w:num>
  <w:num w:numId="17" w16cid:durableId="428938857">
    <w:abstractNumId w:val="38"/>
  </w:num>
  <w:num w:numId="18" w16cid:durableId="440994924">
    <w:abstractNumId w:val="43"/>
  </w:num>
  <w:num w:numId="19" w16cid:durableId="366419351">
    <w:abstractNumId w:val="36"/>
  </w:num>
  <w:num w:numId="20" w16cid:durableId="2146000754">
    <w:abstractNumId w:val="3"/>
  </w:num>
  <w:num w:numId="21" w16cid:durableId="1915160385">
    <w:abstractNumId w:val="41"/>
  </w:num>
  <w:num w:numId="22" w16cid:durableId="827206925">
    <w:abstractNumId w:val="11"/>
  </w:num>
  <w:num w:numId="23" w16cid:durableId="394353387">
    <w:abstractNumId w:val="30"/>
  </w:num>
  <w:num w:numId="24" w16cid:durableId="160432713">
    <w:abstractNumId w:val="13"/>
  </w:num>
  <w:num w:numId="25" w16cid:durableId="765921691">
    <w:abstractNumId w:val="16"/>
  </w:num>
  <w:num w:numId="26" w16cid:durableId="1455980496">
    <w:abstractNumId w:val="34"/>
  </w:num>
  <w:num w:numId="27" w16cid:durableId="624119530">
    <w:abstractNumId w:val="25"/>
  </w:num>
  <w:num w:numId="28" w16cid:durableId="1858152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297120">
    <w:abstractNumId w:val="17"/>
  </w:num>
  <w:num w:numId="30" w16cid:durableId="1357122751">
    <w:abstractNumId w:val="6"/>
  </w:num>
  <w:num w:numId="31" w16cid:durableId="713623015">
    <w:abstractNumId w:val="26"/>
    <w:lvlOverride w:ilvl="0">
      <w:startOverride w:val="1"/>
    </w:lvlOverride>
  </w:num>
  <w:num w:numId="32" w16cid:durableId="977221377">
    <w:abstractNumId w:val="0"/>
  </w:num>
  <w:num w:numId="33" w16cid:durableId="236786337">
    <w:abstractNumId w:val="20"/>
  </w:num>
  <w:num w:numId="34" w16cid:durableId="205261779">
    <w:abstractNumId w:val="21"/>
  </w:num>
  <w:num w:numId="35" w16cid:durableId="134299242">
    <w:abstractNumId w:val="32"/>
  </w:num>
  <w:num w:numId="36" w16cid:durableId="1555502758">
    <w:abstractNumId w:val="29"/>
  </w:num>
  <w:num w:numId="37" w16cid:durableId="282662294">
    <w:abstractNumId w:val="15"/>
  </w:num>
  <w:num w:numId="38" w16cid:durableId="1578323903">
    <w:abstractNumId w:val="24"/>
  </w:num>
  <w:num w:numId="39" w16cid:durableId="409351173">
    <w:abstractNumId w:val="7"/>
  </w:num>
  <w:num w:numId="40" w16cid:durableId="1563367570">
    <w:abstractNumId w:val="44"/>
  </w:num>
  <w:num w:numId="41" w16cid:durableId="1387728121">
    <w:abstractNumId w:val="19"/>
  </w:num>
  <w:num w:numId="42" w16cid:durableId="1447581460">
    <w:abstractNumId w:val="4"/>
  </w:num>
  <w:num w:numId="43" w16cid:durableId="1901474663">
    <w:abstractNumId w:val="23"/>
  </w:num>
  <w:num w:numId="44" w16cid:durableId="705132420">
    <w:abstractNumId w:val="42"/>
  </w:num>
  <w:num w:numId="45" w16cid:durableId="1245919546">
    <w:abstractNumId w:val="46"/>
  </w:num>
  <w:num w:numId="46" w16cid:durableId="722800316">
    <w:abstractNumId w:val="37"/>
  </w:num>
  <w:num w:numId="47" w16cid:durableId="1713534529">
    <w:abstractNumId w:val="28"/>
  </w:num>
  <w:num w:numId="48" w16cid:durableId="1944456952">
    <w:abstractNumId w:val="27"/>
  </w:num>
  <w:num w:numId="49" w16cid:durableId="1020165307">
    <w:abstractNumId w:val="8"/>
  </w:num>
  <w:num w:numId="50" w16cid:durableId="747578854">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151B8"/>
    <w:rsid w:val="0002118A"/>
    <w:rsid w:val="00021CD5"/>
    <w:rsid w:val="00025BF6"/>
    <w:rsid w:val="000267DD"/>
    <w:rsid w:val="0002683D"/>
    <w:rsid w:val="0002751F"/>
    <w:rsid w:val="00030F74"/>
    <w:rsid w:val="00033307"/>
    <w:rsid w:val="00037EA8"/>
    <w:rsid w:val="000401B6"/>
    <w:rsid w:val="00041540"/>
    <w:rsid w:val="000432C3"/>
    <w:rsid w:val="00044347"/>
    <w:rsid w:val="0005163A"/>
    <w:rsid w:val="00053B3F"/>
    <w:rsid w:val="00066D69"/>
    <w:rsid w:val="0007018E"/>
    <w:rsid w:val="0007299C"/>
    <w:rsid w:val="00074786"/>
    <w:rsid w:val="00075523"/>
    <w:rsid w:val="000770A3"/>
    <w:rsid w:val="0009040E"/>
    <w:rsid w:val="00092702"/>
    <w:rsid w:val="000A29EE"/>
    <w:rsid w:val="000A7598"/>
    <w:rsid w:val="000B3603"/>
    <w:rsid w:val="000D5AE8"/>
    <w:rsid w:val="000E75EA"/>
    <w:rsid w:val="000F23A9"/>
    <w:rsid w:val="000F34B6"/>
    <w:rsid w:val="00103E8A"/>
    <w:rsid w:val="00106464"/>
    <w:rsid w:val="00107B27"/>
    <w:rsid w:val="001151B3"/>
    <w:rsid w:val="001161F5"/>
    <w:rsid w:val="00120CDB"/>
    <w:rsid w:val="00125CED"/>
    <w:rsid w:val="001426C8"/>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1F6426"/>
    <w:rsid w:val="00200706"/>
    <w:rsid w:val="002056DB"/>
    <w:rsid w:val="00206335"/>
    <w:rsid w:val="0021222C"/>
    <w:rsid w:val="00215E41"/>
    <w:rsid w:val="00224BD8"/>
    <w:rsid w:val="0023024F"/>
    <w:rsid w:val="00231B0A"/>
    <w:rsid w:val="00242869"/>
    <w:rsid w:val="00242A6F"/>
    <w:rsid w:val="0024681B"/>
    <w:rsid w:val="0024781E"/>
    <w:rsid w:val="002565C7"/>
    <w:rsid w:val="00265D84"/>
    <w:rsid w:val="00270461"/>
    <w:rsid w:val="00281D7A"/>
    <w:rsid w:val="002839BB"/>
    <w:rsid w:val="00286595"/>
    <w:rsid w:val="002A3A16"/>
    <w:rsid w:val="002A7324"/>
    <w:rsid w:val="002B0CD7"/>
    <w:rsid w:val="002C2A58"/>
    <w:rsid w:val="002D0AEE"/>
    <w:rsid w:val="002E23FB"/>
    <w:rsid w:val="002F44B7"/>
    <w:rsid w:val="00301A6B"/>
    <w:rsid w:val="00302D54"/>
    <w:rsid w:val="003033EB"/>
    <w:rsid w:val="00312C61"/>
    <w:rsid w:val="003135D9"/>
    <w:rsid w:val="00320012"/>
    <w:rsid w:val="00322538"/>
    <w:rsid w:val="00323E78"/>
    <w:rsid w:val="00324E19"/>
    <w:rsid w:val="003337D2"/>
    <w:rsid w:val="00343967"/>
    <w:rsid w:val="0034498A"/>
    <w:rsid w:val="003670F8"/>
    <w:rsid w:val="00373E01"/>
    <w:rsid w:val="00382EA3"/>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7FA8"/>
    <w:rsid w:val="00437729"/>
    <w:rsid w:val="00452C00"/>
    <w:rsid w:val="004546DC"/>
    <w:rsid w:val="0046039E"/>
    <w:rsid w:val="00462524"/>
    <w:rsid w:val="00464E8E"/>
    <w:rsid w:val="00466780"/>
    <w:rsid w:val="00474BE2"/>
    <w:rsid w:val="00483BC4"/>
    <w:rsid w:val="00496C43"/>
    <w:rsid w:val="004A0278"/>
    <w:rsid w:val="004A4C62"/>
    <w:rsid w:val="004A5D34"/>
    <w:rsid w:val="004B1C50"/>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81103"/>
    <w:rsid w:val="005843FB"/>
    <w:rsid w:val="00587A33"/>
    <w:rsid w:val="005A33CC"/>
    <w:rsid w:val="005B06F1"/>
    <w:rsid w:val="005B0B40"/>
    <w:rsid w:val="005B16CA"/>
    <w:rsid w:val="005C01DF"/>
    <w:rsid w:val="005C7268"/>
    <w:rsid w:val="005D00CE"/>
    <w:rsid w:val="005D1E7C"/>
    <w:rsid w:val="005D2561"/>
    <w:rsid w:val="005F4709"/>
    <w:rsid w:val="005F704C"/>
    <w:rsid w:val="00604590"/>
    <w:rsid w:val="0060581F"/>
    <w:rsid w:val="00611C52"/>
    <w:rsid w:val="00622AE9"/>
    <w:rsid w:val="00644C25"/>
    <w:rsid w:val="00647326"/>
    <w:rsid w:val="00650685"/>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0F01"/>
    <w:rsid w:val="0070333A"/>
    <w:rsid w:val="0070434A"/>
    <w:rsid w:val="007107F4"/>
    <w:rsid w:val="00712D7B"/>
    <w:rsid w:val="00717161"/>
    <w:rsid w:val="0072442F"/>
    <w:rsid w:val="00726A43"/>
    <w:rsid w:val="00731933"/>
    <w:rsid w:val="0073772C"/>
    <w:rsid w:val="007415BD"/>
    <w:rsid w:val="00742C32"/>
    <w:rsid w:val="00744941"/>
    <w:rsid w:val="00766269"/>
    <w:rsid w:val="00770523"/>
    <w:rsid w:val="00782E7C"/>
    <w:rsid w:val="00784083"/>
    <w:rsid w:val="007914E4"/>
    <w:rsid w:val="007928C2"/>
    <w:rsid w:val="00792B24"/>
    <w:rsid w:val="0079309A"/>
    <w:rsid w:val="007A05EA"/>
    <w:rsid w:val="007A1B6B"/>
    <w:rsid w:val="007B27DC"/>
    <w:rsid w:val="007B3EDA"/>
    <w:rsid w:val="007B68BC"/>
    <w:rsid w:val="007B7283"/>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75CF4"/>
    <w:rsid w:val="008778D1"/>
    <w:rsid w:val="008841DA"/>
    <w:rsid w:val="00885EC0"/>
    <w:rsid w:val="00885F3A"/>
    <w:rsid w:val="008863D2"/>
    <w:rsid w:val="00886DC7"/>
    <w:rsid w:val="00893BC5"/>
    <w:rsid w:val="008A1F80"/>
    <w:rsid w:val="008A6183"/>
    <w:rsid w:val="008B293F"/>
    <w:rsid w:val="008B421D"/>
    <w:rsid w:val="008B43A1"/>
    <w:rsid w:val="008C5452"/>
    <w:rsid w:val="008D27E0"/>
    <w:rsid w:val="008D5BDB"/>
    <w:rsid w:val="008F0621"/>
    <w:rsid w:val="008F4E65"/>
    <w:rsid w:val="008F715E"/>
    <w:rsid w:val="009000E8"/>
    <w:rsid w:val="00910BD0"/>
    <w:rsid w:val="00913C5D"/>
    <w:rsid w:val="00915A7A"/>
    <w:rsid w:val="00931340"/>
    <w:rsid w:val="009343A6"/>
    <w:rsid w:val="00936C6F"/>
    <w:rsid w:val="009479A4"/>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7D31"/>
    <w:rsid w:val="009F59C3"/>
    <w:rsid w:val="00A06AD7"/>
    <w:rsid w:val="00A10F81"/>
    <w:rsid w:val="00A13C4C"/>
    <w:rsid w:val="00A15D7E"/>
    <w:rsid w:val="00A202A0"/>
    <w:rsid w:val="00A20AF9"/>
    <w:rsid w:val="00A22C93"/>
    <w:rsid w:val="00A350FA"/>
    <w:rsid w:val="00A35581"/>
    <w:rsid w:val="00A458B5"/>
    <w:rsid w:val="00A50351"/>
    <w:rsid w:val="00A51111"/>
    <w:rsid w:val="00A5562E"/>
    <w:rsid w:val="00A620D5"/>
    <w:rsid w:val="00A67DB2"/>
    <w:rsid w:val="00A82562"/>
    <w:rsid w:val="00A83AE6"/>
    <w:rsid w:val="00A83B35"/>
    <w:rsid w:val="00A92C9A"/>
    <w:rsid w:val="00A945F1"/>
    <w:rsid w:val="00A95090"/>
    <w:rsid w:val="00AC58F7"/>
    <w:rsid w:val="00AC6712"/>
    <w:rsid w:val="00AC7FA9"/>
    <w:rsid w:val="00AD28BA"/>
    <w:rsid w:val="00AE0057"/>
    <w:rsid w:val="00AF525A"/>
    <w:rsid w:val="00AF5D57"/>
    <w:rsid w:val="00AF7C55"/>
    <w:rsid w:val="00B00430"/>
    <w:rsid w:val="00B03466"/>
    <w:rsid w:val="00B036DC"/>
    <w:rsid w:val="00B06076"/>
    <w:rsid w:val="00B123F2"/>
    <w:rsid w:val="00B15C02"/>
    <w:rsid w:val="00B21751"/>
    <w:rsid w:val="00B221BF"/>
    <w:rsid w:val="00B2273C"/>
    <w:rsid w:val="00B23026"/>
    <w:rsid w:val="00B23C7E"/>
    <w:rsid w:val="00B2739B"/>
    <w:rsid w:val="00B343D4"/>
    <w:rsid w:val="00B37000"/>
    <w:rsid w:val="00B54AD2"/>
    <w:rsid w:val="00B60457"/>
    <w:rsid w:val="00B60673"/>
    <w:rsid w:val="00B63C03"/>
    <w:rsid w:val="00B7455C"/>
    <w:rsid w:val="00B75ABE"/>
    <w:rsid w:val="00B76E24"/>
    <w:rsid w:val="00B96110"/>
    <w:rsid w:val="00B9701C"/>
    <w:rsid w:val="00BA15B2"/>
    <w:rsid w:val="00BA29D9"/>
    <w:rsid w:val="00BA5A70"/>
    <w:rsid w:val="00BA6747"/>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748B"/>
    <w:rsid w:val="00C63A0F"/>
    <w:rsid w:val="00C64C98"/>
    <w:rsid w:val="00C716C1"/>
    <w:rsid w:val="00C72894"/>
    <w:rsid w:val="00C749A5"/>
    <w:rsid w:val="00C81D80"/>
    <w:rsid w:val="00C82A02"/>
    <w:rsid w:val="00C9591A"/>
    <w:rsid w:val="00C961F2"/>
    <w:rsid w:val="00CC13C3"/>
    <w:rsid w:val="00CC683A"/>
    <w:rsid w:val="00CE4D87"/>
    <w:rsid w:val="00CF3EBB"/>
    <w:rsid w:val="00D00447"/>
    <w:rsid w:val="00D04C0B"/>
    <w:rsid w:val="00D05FFA"/>
    <w:rsid w:val="00D12D6F"/>
    <w:rsid w:val="00D12FD3"/>
    <w:rsid w:val="00D20CA5"/>
    <w:rsid w:val="00D27AA4"/>
    <w:rsid w:val="00D36239"/>
    <w:rsid w:val="00D36409"/>
    <w:rsid w:val="00D425CA"/>
    <w:rsid w:val="00D46DC9"/>
    <w:rsid w:val="00D47735"/>
    <w:rsid w:val="00D534FF"/>
    <w:rsid w:val="00D63D63"/>
    <w:rsid w:val="00D67973"/>
    <w:rsid w:val="00D832A1"/>
    <w:rsid w:val="00D84B78"/>
    <w:rsid w:val="00D85599"/>
    <w:rsid w:val="00D9266E"/>
    <w:rsid w:val="00D960B0"/>
    <w:rsid w:val="00DB10D6"/>
    <w:rsid w:val="00DB3D19"/>
    <w:rsid w:val="00DB69A9"/>
    <w:rsid w:val="00DE417C"/>
    <w:rsid w:val="00DF5181"/>
    <w:rsid w:val="00DF6154"/>
    <w:rsid w:val="00E07AFC"/>
    <w:rsid w:val="00E15AD4"/>
    <w:rsid w:val="00E22928"/>
    <w:rsid w:val="00E264DC"/>
    <w:rsid w:val="00E35A85"/>
    <w:rsid w:val="00E4380E"/>
    <w:rsid w:val="00E5612A"/>
    <w:rsid w:val="00E61F3C"/>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17D4D"/>
    <w:rsid w:val="00F2797C"/>
    <w:rsid w:val="00F327C3"/>
    <w:rsid w:val="00F3404A"/>
    <w:rsid w:val="00F4778F"/>
    <w:rsid w:val="00F55EDB"/>
    <w:rsid w:val="00F609E4"/>
    <w:rsid w:val="00F61AB7"/>
    <w:rsid w:val="00F93B1A"/>
    <w:rsid w:val="00FA7A8D"/>
    <w:rsid w:val="00FB4CBA"/>
    <w:rsid w:val="00FC1FE9"/>
    <w:rsid w:val="00FC472D"/>
    <w:rsid w:val="00FC4FDC"/>
    <w:rsid w:val="00FC6010"/>
    <w:rsid w:val="00FD61D4"/>
    <w:rsid w:val="00FE17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6625"/>
    <o:shapelayout v:ext="edit">
      <o:idmap v:ext="edit" data="1"/>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link w:val="NzevChar"/>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styleId="Nevyeenzmnka">
    <w:name w:val="Unresolved Mention"/>
    <w:basedOn w:val="Standardnpsmoodstavce"/>
    <w:uiPriority w:val="99"/>
    <w:semiHidden/>
    <w:unhideWhenUsed/>
    <w:rsid w:val="000A7598"/>
    <w:rPr>
      <w:color w:val="605E5C"/>
      <w:shd w:val="clear" w:color="auto" w:fill="E1DFDD"/>
    </w:rPr>
  </w:style>
  <w:style w:type="character" w:customStyle="1" w:styleId="ZpatChar">
    <w:name w:val="Zápatí Char"/>
    <w:basedOn w:val="Standardnpsmoodstavce"/>
    <w:link w:val="Zpat"/>
    <w:uiPriority w:val="99"/>
    <w:rsid w:val="00784083"/>
    <w:rPr>
      <w:sz w:val="24"/>
      <w:szCs w:val="24"/>
    </w:rPr>
  </w:style>
  <w:style w:type="character" w:customStyle="1" w:styleId="NzevChar">
    <w:name w:val="Název Char"/>
    <w:basedOn w:val="Standardnpsmoodstavce"/>
    <w:link w:val="Nzev"/>
    <w:rsid w:val="00B23C7E"/>
    <w:rPr>
      <w:b/>
      <w:bCs/>
      <w:cap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695450">
      <w:bodyDiv w:val="1"/>
      <w:marLeft w:val="0"/>
      <w:marRight w:val="0"/>
      <w:marTop w:val="0"/>
      <w:marBottom w:val="0"/>
      <w:divBdr>
        <w:top w:val="none" w:sz="0" w:space="0" w:color="auto"/>
        <w:left w:val="none" w:sz="0" w:space="0" w:color="auto"/>
        <w:bottom w:val="none" w:sz="0" w:space="0" w:color="auto"/>
        <w:right w:val="none" w:sz="0" w:space="0" w:color="auto"/>
      </w:divBdr>
    </w:div>
    <w:div w:id="19732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ssvetprzn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3667</Words>
  <Characters>21053</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24671</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Renata Partilova</dc:creator>
  <cp:keywords/>
  <dc:description/>
  <cp:lastModifiedBy>Renáta Partilová</cp:lastModifiedBy>
  <cp:revision>6</cp:revision>
  <cp:lastPrinted>2024-11-29T07:54:00Z</cp:lastPrinted>
  <dcterms:created xsi:type="dcterms:W3CDTF">2024-11-29T07:49:00Z</dcterms:created>
  <dcterms:modified xsi:type="dcterms:W3CDTF">2024-12-02T13:33:00Z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