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2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407/2024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24036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“MVE Jesenice – modernizace TG4”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805" w:val="left"/>
        </w:tabs>
        <w:bidi w:val="0"/>
        <w:spacing w:before="0" w:after="0" w:line="480" w:lineRule="auto"/>
        <w:ind w:left="0" w:right="0" w:firstLine="0"/>
        <w:jc w:val="left"/>
      </w:pPr>
      <w:bookmarkStart w:id="15" w:name="bookmark15"/>
      <w:bookmarkStart w:id="16" w:name="bookmark1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 objednatel:</w:t>
        <w:tab/>
        <w:t>Povodí Ohře, státní podnik</w:t>
      </w:r>
      <w:bookmarkEnd w:id="15"/>
      <w:bookmarkEnd w:id="16"/>
    </w:p>
    <w:p>
      <w:pPr>
        <w:pStyle w:val="Style2"/>
        <w:keepNext/>
        <w:keepLines/>
        <w:widowControl w:val="0"/>
        <w:shd w:val="clear" w:color="auto" w:fill="auto"/>
        <w:tabs>
          <w:tab w:pos="2805" w:val="left"/>
        </w:tabs>
        <w:bidi w:val="0"/>
        <w:spacing w:before="0" w:after="0" w:line="240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17"/>
      <w:bookmarkEnd w:id="18"/>
      <w:bookmarkEnd w:id="1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0"/>
      <w:bookmarkEnd w:id="21"/>
      <w:bookmarkEnd w:id="2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23"/>
      <w:bookmarkEnd w:id="2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25"/>
      <w:bookmarkEnd w:id="26"/>
      <w:bookmarkEnd w:id="27"/>
    </w:p>
    <w:p>
      <w:pPr>
        <w:pStyle w:val="Style2"/>
        <w:keepNext/>
        <w:keepLines/>
        <w:widowControl w:val="0"/>
        <w:shd w:val="clear" w:color="auto" w:fill="auto"/>
        <w:tabs>
          <w:tab w:pos="2805" w:val="left"/>
        </w:tabs>
        <w:bidi w:val="0"/>
        <w:spacing w:before="0" w:after="0" w:line="240" w:lineRule="auto"/>
        <w:ind w:left="0" w:right="0" w:firstLine="0"/>
        <w:jc w:val="left"/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28"/>
      <w:bookmarkEnd w:id="29"/>
      <w:bookmarkEnd w:id="30"/>
    </w:p>
    <w:p>
      <w:pPr>
        <w:pStyle w:val="Style2"/>
        <w:keepNext/>
        <w:keepLines/>
        <w:widowControl w:val="0"/>
        <w:shd w:val="clear" w:color="auto" w:fill="auto"/>
        <w:tabs>
          <w:tab w:pos="2805" w:val="left"/>
        </w:tabs>
        <w:bidi w:val="0"/>
        <w:spacing w:before="0" w:after="0" w:line="240" w:lineRule="auto"/>
        <w:ind w:left="0" w:right="0" w:firstLine="0"/>
        <w:jc w:val="left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1"/>
      <w:bookmarkEnd w:id="32"/>
      <w:bookmarkEnd w:id="3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  <w:bookmarkEnd w:id="3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  <w:bookmarkEnd w:id="3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36"/>
      <w:bookmarkEnd w:id="37"/>
      <w:bookmarkEnd w:id="38"/>
    </w:p>
    <w:p>
      <w:pPr>
        <w:pStyle w:val="Style9"/>
        <w:keepNext w:val="0"/>
        <w:keepLines w:val="0"/>
        <w:widowControl w:val="0"/>
        <w:shd w:val="clear" w:color="auto" w:fill="auto"/>
        <w:tabs>
          <w:tab w:pos="2805" w:val="left"/>
        </w:tabs>
        <w:bidi w:val="0"/>
        <w:spacing w:before="0" w:after="0" w:line="480" w:lineRule="auto"/>
        <w:ind w:left="0" w:right="0" w:firstLine="0"/>
        <w:jc w:val="left"/>
      </w:pPr>
      <w:bookmarkStart w:id="39" w:name="bookmark39"/>
      <w:bookmarkStart w:id="40" w:name="bookmark4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zhotovitel:</w:t>
        <w:tab/>
        <w:t>ELZACO spol. s r.o.</w:t>
      </w:r>
      <w:bookmarkEnd w:id="39"/>
      <w:bookmarkEnd w:id="40"/>
    </w:p>
    <w:p>
      <w:pPr>
        <w:pStyle w:val="Style2"/>
        <w:keepNext/>
        <w:keepLines/>
        <w:widowControl w:val="0"/>
        <w:shd w:val="clear" w:color="auto" w:fill="auto"/>
        <w:tabs>
          <w:tab w:pos="2805" w:val="left"/>
        </w:tabs>
        <w:bidi w:val="0"/>
        <w:spacing w:before="0" w:after="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B. Němcové 727/10, 787 01 Šumperk</w:t>
      </w:r>
      <w:bookmarkEnd w:id="41"/>
      <w:bookmarkEnd w:id="42"/>
      <w:bookmarkEnd w:id="4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44"/>
      <w:bookmarkEnd w:id="45"/>
      <w:bookmarkEnd w:id="4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 oprávněn(i) jednat o věcech technických: stavbyvedoucí: manažer stavby:</w:t>
      </w:r>
      <w:bookmarkEnd w:id="47"/>
      <w:bookmarkEnd w:id="48"/>
      <w:bookmarkEnd w:id="49"/>
    </w:p>
    <w:p>
      <w:pPr>
        <w:pStyle w:val="Style9"/>
        <w:keepNext w:val="0"/>
        <w:keepLines w:val="0"/>
        <w:widowControl w:val="0"/>
        <w:shd w:val="clear" w:color="auto" w:fill="auto"/>
        <w:tabs>
          <w:tab w:pos="2805" w:val="left"/>
        </w:tabs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19013108</w:t>
      </w:r>
      <w:bookmarkEnd w:id="50"/>
      <w:bookmarkEnd w:id="51"/>
      <w:bookmarkEnd w:id="52"/>
    </w:p>
    <w:p>
      <w:pPr>
        <w:pStyle w:val="Style2"/>
        <w:keepNext/>
        <w:keepLines/>
        <w:widowControl w:val="0"/>
        <w:shd w:val="clear" w:color="auto" w:fill="auto"/>
        <w:tabs>
          <w:tab w:pos="2805" w:val="left"/>
        </w:tabs>
        <w:bidi w:val="0"/>
        <w:spacing w:before="0" w:after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CZ19013108</w:t>
      </w:r>
      <w:bookmarkEnd w:id="53"/>
      <w:bookmarkEnd w:id="54"/>
      <w:bookmarkEnd w:id="5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  <w:bookmarkEnd w:id="56"/>
    </w:p>
    <w:p>
      <w:pPr>
        <w:pStyle w:val="Style9"/>
        <w:keepNext w:val="0"/>
        <w:keepLines w:val="0"/>
        <w:widowControl w:val="0"/>
        <w:shd w:val="clear" w:color="auto" w:fill="auto"/>
        <w:tabs>
          <w:tab w:pos="2805" w:val="left"/>
        </w:tabs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Ostravě odd. C, vložka 1121 tel.:</w:t>
        <w:tab/>
        <w:t>e-mail:</w:t>
      </w:r>
      <w:bookmarkEnd w:id="57"/>
      <w:bookmarkEnd w:id="5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9" w:name="bookmark59"/>
      <w:bookmarkStart w:id="60" w:name="bookmark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59"/>
      <w:bookmarkEnd w:id="60"/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realizace,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Jedná se o změnu termínu předání a převzetí dokončeného díla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kapacitních problémů při realizaci zakázek souvisejících s odstraňováním následků rozsáhlých povodní v Olomouckém kraji v aktuálním období. Změna byla řádně projednána a odsouhlasena zástupci smluvních stran.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Mění se Čl. II. Termín plnění, bod 1. písmeno d) předání a převzetí dokončeného díla: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původní znění: Nejpozději do 20.11.2024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 Nejpozději do 31.01.2025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Tento dodatek ke smlouvě nabývá platnosti dnem jeho podpisu poslední ze smluvních stran účinnosti zveřejněním v Registru smluv, pokud této účinnosti dle příslušných ustanovení dodatku ke smlouvě nenabude později.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488" w:left="1393" w:right="1391" w:bottom="2603" w:header="106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4802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2335" w:bottom="4802" w:header="0" w:footer="3" w:gutter="0"/>
          <w:cols w:num="2" w:space="180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Šumperku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21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12700</wp:posOffset>
                </wp:positionV>
                <wp:extent cx="1276985" cy="38735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698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ELZACO spol. s 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1.75pt;margin-top:1.pt;width:100.55pt;height:30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ELZACO spol. s 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394" w:right="5474" w:bottom="121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10173970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0000000000003pt;margin-top:801.10000000000002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