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5" w:right="39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1240700083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Chotěšov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981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Chotěšov,</w:t>
      </w:r>
      <w:r>
        <w:rPr>
          <w:spacing w:val="-5"/>
        </w:rPr>
        <w:t> </w:t>
      </w:r>
      <w:r>
        <w:rPr/>
        <w:t>Plzeňská</w:t>
      </w:r>
      <w:r>
        <w:rPr>
          <w:spacing w:val="-7"/>
        </w:rPr>
        <w:t> </w:t>
      </w:r>
      <w:r>
        <w:rPr/>
        <w:t>88,</w:t>
      </w:r>
      <w:r>
        <w:rPr>
          <w:spacing w:val="-5"/>
        </w:rPr>
        <w:t> </w:t>
      </w:r>
      <w:r>
        <w:rPr/>
        <w:t>332</w:t>
      </w:r>
      <w:r>
        <w:rPr>
          <w:spacing w:val="-5"/>
        </w:rPr>
        <w:t> </w:t>
      </w:r>
      <w:r>
        <w:rPr/>
        <w:t>14</w:t>
      </w:r>
      <w:r>
        <w:rPr>
          <w:spacing w:val="-6"/>
        </w:rPr>
        <w:t> </w:t>
      </w:r>
      <w:r>
        <w:rPr/>
        <w:t>Chotěšov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00256706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Danielem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319361/0710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1240700083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663"/>
      </w:pPr>
      <w:r>
        <w:rPr/>
        <w:t>„Dostavba</w:t>
      </w:r>
      <w:r>
        <w:rPr>
          <w:spacing w:val="-9"/>
        </w:rPr>
        <w:t> </w:t>
      </w:r>
      <w:r>
        <w:rPr/>
        <w:t>ČOV</w:t>
      </w:r>
      <w:r>
        <w:rPr>
          <w:spacing w:val="-8"/>
        </w:rPr>
        <w:t> </w:t>
      </w:r>
      <w:r>
        <w:rPr>
          <w:spacing w:val="-2"/>
        </w:rPr>
        <w:t>Chotěšov“</w:t>
      </w:r>
    </w:p>
    <w:p>
      <w:pPr>
        <w:pStyle w:val="BodyText"/>
        <w:spacing w:before="120"/>
        <w:ind w:right="6433"/>
        <w:jc w:val="center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15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931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020,62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patnáct</w:t>
      </w:r>
      <w:r>
        <w:rPr>
          <w:spacing w:val="-4"/>
          <w:sz w:val="20"/>
        </w:rPr>
        <w:t> </w:t>
      </w:r>
      <w:r>
        <w:rPr>
          <w:sz w:val="20"/>
        </w:rPr>
        <w:t>milionů</w:t>
      </w:r>
      <w:r>
        <w:rPr>
          <w:spacing w:val="-3"/>
          <w:sz w:val="20"/>
        </w:rPr>
        <w:t> </w:t>
      </w:r>
      <w:r>
        <w:rPr>
          <w:sz w:val="20"/>
        </w:rPr>
        <w:t>devět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třicet</w:t>
      </w:r>
      <w:r>
        <w:rPr>
          <w:spacing w:val="-4"/>
          <w:sz w:val="20"/>
        </w:rPr>
        <w:t> </w:t>
      </w:r>
      <w:r>
        <w:rPr>
          <w:sz w:val="20"/>
        </w:rPr>
        <w:t>jedna</w:t>
      </w:r>
      <w:r>
        <w:rPr>
          <w:spacing w:val="-4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4"/>
          <w:sz w:val="20"/>
        </w:rPr>
        <w:t> </w:t>
      </w:r>
      <w:r>
        <w:rPr>
          <w:sz w:val="20"/>
        </w:rPr>
        <w:t>korun českých a šedesát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26 551 701,04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right="2391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right="370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left"/>
        <w:rPr>
          <w:sz w:val="20"/>
        </w:rPr>
      </w:pPr>
      <w:r>
        <w:rPr>
          <w:sz w:val="20"/>
        </w:rPr>
        <w:t>splní</w:t>
      </w:r>
      <w:r>
        <w:rPr>
          <w:spacing w:val="39"/>
          <w:sz w:val="20"/>
        </w:rPr>
        <w:t> </w:t>
      </w:r>
      <w:r>
        <w:rPr>
          <w:sz w:val="20"/>
        </w:rPr>
        <w:t>účel</w:t>
      </w:r>
      <w:r>
        <w:rPr>
          <w:spacing w:val="39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„Dostavba</w:t>
      </w:r>
      <w:r>
        <w:rPr>
          <w:spacing w:val="40"/>
          <w:sz w:val="20"/>
        </w:rPr>
        <w:t> </w:t>
      </w:r>
      <w:r>
        <w:rPr>
          <w:sz w:val="20"/>
        </w:rPr>
        <w:t>ČOV</w:t>
      </w:r>
      <w:r>
        <w:rPr>
          <w:spacing w:val="40"/>
          <w:sz w:val="20"/>
        </w:rPr>
        <w:t> </w:t>
      </w:r>
      <w:r>
        <w:rPr>
          <w:sz w:val="20"/>
        </w:rPr>
        <w:t>Chotěšov“</w:t>
      </w:r>
      <w:r>
        <w:rPr>
          <w:spacing w:val="38"/>
          <w:sz w:val="20"/>
        </w:rPr>
        <w:t> </w:t>
      </w:r>
      <w:r>
        <w:rPr>
          <w:sz w:val="20"/>
        </w:rPr>
        <w:t>tím,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38"/>
          <w:sz w:val="20"/>
        </w:rPr>
        <w:t> </w:t>
      </w:r>
      <w:r>
        <w:rPr>
          <w:sz w:val="20"/>
        </w:rPr>
        <w:t>akce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provedena</w:t>
      </w:r>
      <w:r>
        <w:rPr>
          <w:spacing w:val="39"/>
          <w:sz w:val="20"/>
        </w:rPr>
        <w:t> </w:t>
      </w:r>
      <w:r>
        <w:rPr>
          <w:sz w:val="20"/>
        </w:rPr>
        <w:t>v souladu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žádostí</w:t>
      </w:r>
      <w:r>
        <w:rPr>
          <w:spacing w:val="39"/>
          <w:sz w:val="20"/>
        </w:rPr>
        <w:t> </w:t>
      </w:r>
      <w:r>
        <w:rPr>
          <w:sz w:val="20"/>
        </w:rPr>
        <w:t>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13"/>
        </w:rPr>
      </w:pPr>
      <w:r>
        <w:rPr>
          <w:position w:val="2"/>
          <w:sz w:val="20"/>
        </w:rPr>
        <w:t>realizuje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projekt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výstavbou</w:t>
      </w:r>
      <w:r>
        <w:rPr>
          <w:spacing w:val="-4"/>
          <w:position w:val="2"/>
          <w:sz w:val="20"/>
        </w:rPr>
        <w:t> </w:t>
      </w:r>
      <w:r>
        <w:rPr>
          <w:position w:val="2"/>
          <w:sz w:val="20"/>
        </w:rPr>
        <w:t>dešťové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nádrže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o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objemu</w:t>
      </w:r>
      <w:r>
        <w:rPr>
          <w:spacing w:val="-4"/>
          <w:position w:val="2"/>
          <w:sz w:val="20"/>
        </w:rPr>
        <w:t> </w:t>
      </w:r>
      <w:r>
        <w:rPr>
          <w:position w:val="2"/>
          <w:sz w:val="20"/>
        </w:rPr>
        <w:t>350</w:t>
      </w:r>
      <w:r>
        <w:rPr>
          <w:spacing w:val="-5"/>
          <w:position w:val="2"/>
          <w:sz w:val="20"/>
        </w:rPr>
        <w:t> m</w:t>
      </w:r>
      <w:r>
        <w:rPr>
          <w:spacing w:val="-5"/>
          <w:position w:val="2"/>
          <w:sz w:val="20"/>
          <w:vertAlign w:val="superscript"/>
        </w:rPr>
        <w:t>3</w:t>
      </w:r>
      <w:r>
        <w:rPr>
          <w:spacing w:val="-5"/>
          <w:sz w:val="13"/>
          <w:vertAlign w:val="baseline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2" w:after="0"/>
        <w:ind w:left="948" w:right="112" w:hanging="284"/>
        <w:jc w:val="left"/>
        <w:rPr>
          <w:sz w:val="20"/>
        </w:rPr>
      </w:pPr>
      <w:r>
        <w:rPr>
          <w:sz w:val="20"/>
        </w:rPr>
        <w:t>se zavazuje, že k termínu pro závěrečné vyhodnocení akce (dále jen „ZVA“) bude na ČOV Chotěšov </w:t>
      </w:r>
      <w:r>
        <w:rPr>
          <w:position w:val="2"/>
          <w:sz w:val="20"/>
        </w:rPr>
        <w:t>odstraňováno navíc znečištění 1,93 t/rok 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1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53"/>
          <w:sz w:val="20"/>
        </w:rPr>
        <w:t> </w:t>
      </w:r>
      <w:r>
        <w:rPr>
          <w:sz w:val="20"/>
        </w:rPr>
        <w:t>v)</w:t>
      </w:r>
      <w:r>
        <w:rPr>
          <w:spacing w:val="53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11/2026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18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02/2027 předložit prostřednictvím AIS SFŽP ČR Fondu podklady k ZVA podle čl. 12 písm. d) Výzvy a dále: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3"/>
          <w:sz w:val="20"/>
        </w:rPr>
        <w:t> </w:t>
      </w:r>
      <w:r>
        <w:rPr>
          <w:sz w:val="20"/>
        </w:rPr>
        <w:t>6,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a),</w:t>
      </w:r>
      <w:r>
        <w:rPr>
          <w:spacing w:val="2"/>
          <w:sz w:val="20"/>
        </w:rPr>
        <w:t> </w:t>
      </w:r>
      <w:r>
        <w:rPr>
          <w:sz w:val="20"/>
        </w:rPr>
        <w:t>d),</w:t>
      </w:r>
      <w:r>
        <w:rPr>
          <w:spacing w:val="3"/>
          <w:sz w:val="20"/>
        </w:rPr>
        <w:t> </w:t>
      </w:r>
      <w:r>
        <w:rPr>
          <w:sz w:val="20"/>
        </w:rPr>
        <w:t>h),</w:t>
      </w:r>
      <w:r>
        <w:rPr>
          <w:spacing w:val="3"/>
          <w:sz w:val="20"/>
        </w:rPr>
        <w:t> </w:t>
      </w:r>
      <w:r>
        <w:rPr>
          <w:sz w:val="20"/>
        </w:rPr>
        <w:t>i),</w:t>
      </w:r>
      <w:r>
        <w:rPr>
          <w:spacing w:val="4"/>
          <w:sz w:val="20"/>
        </w:rPr>
        <w:t> </w:t>
      </w:r>
      <w:r>
        <w:rPr>
          <w:sz w:val="20"/>
        </w:rPr>
        <w:t>j)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k)</w:t>
      </w:r>
    </w:p>
    <w:p>
      <w:pPr>
        <w:pStyle w:val="BodyText"/>
      </w:pPr>
      <w:r>
        <w:rPr>
          <w:w w:val="95"/>
        </w:rPr>
        <w:t>nebo</w:t>
      </w:r>
      <w:r>
        <w:rPr>
          <w:spacing w:val="7"/>
        </w:rPr>
        <w:t> </w:t>
      </w:r>
      <w:r>
        <w:rPr>
          <w:w w:val="95"/>
        </w:rPr>
        <w:t>podle</w:t>
      </w:r>
      <w:r>
        <w:rPr>
          <w:spacing w:val="7"/>
        </w:rPr>
        <w:t> </w:t>
      </w:r>
      <w:r>
        <w:rPr>
          <w:w w:val="95"/>
        </w:rPr>
        <w:t>článku</w:t>
      </w:r>
      <w:r>
        <w:rPr>
          <w:spacing w:val="6"/>
        </w:rPr>
        <w:t> </w:t>
      </w:r>
      <w:r>
        <w:rPr>
          <w:w w:val="95"/>
        </w:rPr>
        <w:t>IV</w:t>
      </w:r>
      <w:r>
        <w:rPr>
          <w:spacing w:val="8"/>
        </w:rPr>
        <w:t> </w:t>
      </w:r>
      <w:r>
        <w:rPr>
          <w:w w:val="95"/>
        </w:rPr>
        <w:t>bodu</w:t>
      </w:r>
      <w:r>
        <w:rPr>
          <w:spacing w:val="10"/>
        </w:rPr>
        <w:t> </w:t>
      </w:r>
      <w:r>
        <w:rPr>
          <w:w w:val="95"/>
        </w:rPr>
        <w:t>2</w:t>
      </w:r>
      <w:r>
        <w:rPr>
          <w:spacing w:val="6"/>
        </w:rPr>
        <w:t> </w:t>
      </w:r>
      <w:r>
        <w:rPr>
          <w:w w:val="95"/>
        </w:rPr>
        <w:t>písm.</w:t>
      </w:r>
      <w:r>
        <w:rPr>
          <w:spacing w:val="9"/>
        </w:rPr>
        <w:t> </w:t>
      </w:r>
      <w:r>
        <w:rPr>
          <w:w w:val="95"/>
        </w:rPr>
        <w:t>a)</w:t>
      </w:r>
      <w:r>
        <w:rPr>
          <w:spacing w:val="9"/>
        </w:rPr>
        <w:t> </w:t>
      </w:r>
      <w:r>
        <w:rPr>
          <w:w w:val="95"/>
        </w:rPr>
        <w:t>nebo</w:t>
      </w:r>
      <w:r>
        <w:rPr>
          <w:spacing w:val="11"/>
        </w:rPr>
        <w:t> </w:t>
      </w:r>
      <w:r>
        <w:rPr>
          <w:w w:val="95"/>
        </w:rPr>
        <w:t>c)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5"/>
        </w:rPr>
        <w:t> </w:t>
      </w:r>
      <w:r>
        <w:rPr>
          <w:w w:val="95"/>
        </w:rPr>
        <w:t>postiženo</w:t>
      </w:r>
      <w:r>
        <w:rPr>
          <w:spacing w:val="7"/>
        </w:rPr>
        <w:t> </w:t>
      </w:r>
      <w:r>
        <w:rPr>
          <w:w w:val="95"/>
        </w:rPr>
        <w:t>odvodem</w:t>
      </w:r>
      <w:r>
        <w:rPr>
          <w:spacing w:val="8"/>
        </w:rPr>
        <w:t> </w:t>
      </w:r>
      <w:r>
        <w:rPr>
          <w:w w:val="95"/>
        </w:rPr>
        <w:t>ve</w:t>
      </w:r>
      <w:r>
        <w:rPr>
          <w:spacing w:val="4"/>
        </w:rPr>
        <w:t> </w:t>
      </w:r>
      <w:r>
        <w:rPr>
          <w:w w:val="95"/>
        </w:rPr>
        <w:t>výši</w:t>
      </w:r>
      <w:r>
        <w:rPr>
          <w:spacing w:val="6"/>
        </w:rPr>
        <w:t> </w:t>
      </w:r>
      <w:r>
        <w:rPr>
          <w:w w:val="95"/>
        </w:rPr>
        <w:t>odpovídající</w:t>
      </w:r>
      <w:r>
        <w:rPr>
          <w:spacing w:val="9"/>
        </w:rPr>
        <w:t> </w:t>
      </w:r>
      <w:r>
        <w:rPr>
          <w:spacing w:val="-2"/>
          <w:w w:val="95"/>
        </w:rPr>
        <w:t>neoprávněně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použitým</w:t>
      </w:r>
      <w:r>
        <w:rPr>
          <w:spacing w:val="-10"/>
        </w:rPr>
        <w:t> </w:t>
      </w:r>
      <w:r>
        <w:rPr>
          <w:spacing w:val="-2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spacing w:before="1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3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6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2"/>
        </w:rPr>
        <w:t> </w:t>
      </w:r>
      <w:r>
        <w:rPr/>
        <w:t>oddílný</w:t>
      </w:r>
      <w:r>
        <w:rPr>
          <w:spacing w:val="-5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ind w:right="0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10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2"/>
          <w:sz w:val="20"/>
        </w:rPr>
        <w:t> </w:t>
      </w:r>
      <w:r>
        <w:rPr>
          <w:sz w:val="20"/>
        </w:rPr>
        <w:t>oddílného</w:t>
      </w:r>
      <w:r>
        <w:rPr>
          <w:spacing w:val="13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1"/>
          <w:sz w:val="20"/>
        </w:rPr>
        <w:t> </w:t>
      </w:r>
      <w:r>
        <w:rPr>
          <w:sz w:val="20"/>
        </w:rPr>
        <w:t>ji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provozovat</w:t>
      </w:r>
      <w:r>
        <w:rPr>
          <w:spacing w:val="12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oddílný</w:t>
      </w:r>
      <w:r>
        <w:rPr>
          <w:spacing w:val="-11"/>
          <w:sz w:val="20"/>
        </w:rPr>
        <w:t> </w:t>
      </w:r>
      <w:r>
        <w:rPr>
          <w:sz w:val="20"/>
        </w:rPr>
        <w:t>model</w:t>
      </w:r>
      <w:r>
        <w:rPr>
          <w:spacing w:val="-12"/>
          <w:sz w:val="20"/>
        </w:rPr>
        <w:t> </w:t>
      </w:r>
      <w:r>
        <w:rPr>
          <w:sz w:val="20"/>
        </w:rPr>
        <w:t>viz</w:t>
      </w:r>
      <w:r>
        <w:rPr>
          <w:spacing w:val="-8"/>
          <w:sz w:val="20"/>
        </w:rPr>
        <w:t> </w:t>
      </w:r>
      <w:r>
        <w:rPr>
          <w:sz w:val="20"/>
        </w:rPr>
        <w:t>dokument</w:t>
      </w:r>
      <w:r>
        <w:rPr>
          <w:spacing w:val="-11"/>
          <w:sz w:val="20"/>
        </w:rPr>
        <w:t> </w:t>
      </w:r>
      <w:r>
        <w:rPr>
          <w:sz w:val="20"/>
        </w:rPr>
        <w:t>„Metodika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žadatele</w:t>
      </w:r>
      <w:r>
        <w:rPr>
          <w:spacing w:val="-13"/>
          <w:sz w:val="20"/>
        </w:rPr>
        <w:t> </w:t>
      </w:r>
      <w:r>
        <w:rPr>
          <w:sz w:val="20"/>
        </w:rPr>
        <w:t>rozvádějící</w:t>
      </w:r>
      <w:r>
        <w:rPr>
          <w:spacing w:val="-9"/>
          <w:sz w:val="20"/>
        </w:rPr>
        <w:t> </w:t>
      </w:r>
      <w:r>
        <w:rPr>
          <w:sz w:val="20"/>
        </w:rPr>
        <w:t>podmínky</w:t>
      </w:r>
      <w:r>
        <w:rPr>
          <w:spacing w:val="-12"/>
          <w:sz w:val="20"/>
        </w:rPr>
        <w:t> </w:t>
      </w:r>
      <w:r>
        <w:rPr>
          <w:sz w:val="20"/>
        </w:rPr>
        <w:t>přílohy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 Programového dokumentu OPŽP 2021 – 2027“ dále jen „Metodika“, která je součástí „Pravidel pro žadatele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Operačním</w:t>
      </w:r>
      <w:r>
        <w:rPr>
          <w:spacing w:val="-9"/>
          <w:sz w:val="20"/>
        </w:rPr>
        <w:t> </w:t>
      </w:r>
      <w:r>
        <w:rPr>
          <w:sz w:val="20"/>
        </w:rPr>
        <w:t>programu</w:t>
      </w:r>
      <w:r>
        <w:rPr>
          <w:spacing w:val="-8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období</w:t>
      </w:r>
      <w:r>
        <w:rPr>
          <w:spacing w:val="-10"/>
          <w:sz w:val="20"/>
        </w:rPr>
        <w:t> </w:t>
      </w:r>
      <w:r>
        <w:rPr>
          <w:sz w:val="20"/>
        </w:rPr>
        <w:t>2021–2027“</w:t>
      </w:r>
      <w:r>
        <w:rPr>
          <w:spacing w:val="33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2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line="264" w:lineRule="auto" w:before="119"/>
        <w:ind w:left="809" w:right="116"/>
      </w:pPr>
      <w:r>
        <w:rPr/>
        <w:t>V</w:t>
      </w:r>
      <w:r>
        <w:rPr>
          <w:spacing w:val="-1"/>
        </w:rPr>
        <w:t> </w:t>
      </w:r>
      <w:r>
        <w:rPr/>
        <w:t>případě zakázky zadávané přidružené osobě musí být naplněny požadavky dle účinných právních předpisů a 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before="120"/>
        <w:ind w:left="809"/>
      </w:pPr>
      <w:r>
        <w:rPr/>
        <w:t>Příjemce</w:t>
      </w:r>
      <w:r>
        <w:rPr>
          <w:spacing w:val="17"/>
        </w:rPr>
        <w:t> </w:t>
      </w:r>
      <w:r>
        <w:rPr/>
        <w:t>podpory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stanovených</w:t>
      </w:r>
      <w:r>
        <w:rPr>
          <w:spacing w:val="18"/>
        </w:rPr>
        <w:t> </w:t>
      </w:r>
      <w:r>
        <w:rPr/>
        <w:t>Fondem</w:t>
      </w:r>
      <w:r>
        <w:rPr>
          <w:spacing w:val="19"/>
        </w:rPr>
        <w:t> </w:t>
      </w:r>
      <w:r>
        <w:rPr/>
        <w:t>zajistí</w:t>
      </w:r>
      <w:r>
        <w:rPr>
          <w:spacing w:val="18"/>
        </w:rPr>
        <w:t> </w:t>
      </w:r>
      <w:r>
        <w:rPr/>
        <w:t>plnění</w:t>
      </w:r>
      <w:r>
        <w:rPr>
          <w:spacing w:val="18"/>
        </w:rPr>
        <w:t> </w:t>
      </w:r>
      <w:r>
        <w:rPr/>
        <w:t>požadavků</w:t>
      </w:r>
      <w:r>
        <w:rPr>
          <w:spacing w:val="20"/>
        </w:rPr>
        <w:t> </w:t>
      </w:r>
      <w:r>
        <w:rPr/>
        <w:t>nejlepší</w:t>
      </w:r>
      <w:r>
        <w:rPr>
          <w:spacing w:val="19"/>
        </w:rPr>
        <w:t> </w:t>
      </w:r>
      <w:r>
        <w:rPr>
          <w:spacing w:val="-2"/>
        </w:rPr>
        <w:t>mezinárodní</w:t>
      </w:r>
    </w:p>
    <w:p>
      <w:pPr>
        <w:pStyle w:val="BodyText"/>
        <w:spacing w:before="25"/>
        <w:ind w:left="809"/>
      </w:pP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line="264" w:lineRule="auto" w:before="146"/>
        <w:ind w:left="809" w:right="113"/>
      </w:pPr>
      <w:r>
        <w:rPr/>
        <w:t>Příjemce podpory zajistí, že bude po dobu nejméně 10 let od prvního dne následujícího kalendářního roku po získání posledního kolaudačního souhlasu/rozhodnutí k projektu zabezpečena finanční udržitelnost projektu. Musí být zejména zajištěna tvorba prostředků na obnovu vodovodů a/nebo kanalizací konzistentně s</w:t>
      </w:r>
      <w:r>
        <w:rPr>
          <w:spacing w:val="-2"/>
        </w:rPr>
        <w:t> </w:t>
      </w:r>
      <w:r>
        <w:rPr/>
        <w:t>návrhem Plánu prostředků obnovy vodovodů a/nebo kanalizací schváleným Fondem</w:t>
      </w:r>
      <w:r>
        <w:rPr>
          <w:spacing w:val="-14"/>
        </w:rPr>
        <w:t> </w:t>
      </w:r>
      <w:r>
        <w:rPr/>
        <w:t>dle</w:t>
      </w:r>
      <w:r>
        <w:rPr>
          <w:spacing w:val="-14"/>
        </w:rPr>
        <w:t> </w:t>
      </w:r>
      <w:r>
        <w:rPr/>
        <w:t>výstupu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Nástroje</w:t>
      </w:r>
      <w:r>
        <w:rPr>
          <w:spacing w:val="-14"/>
        </w:rPr>
        <w:t> </w:t>
      </w:r>
      <w:r>
        <w:rPr/>
        <w:t>Udržitelnost.</w:t>
      </w:r>
      <w:r>
        <w:rPr>
          <w:spacing w:val="-14"/>
        </w:rPr>
        <w:t> </w:t>
      </w:r>
      <w:r>
        <w:rPr/>
        <w:t>Tato</w:t>
      </w:r>
      <w:r>
        <w:rPr>
          <w:spacing w:val="-13"/>
        </w:rPr>
        <w:t> </w:t>
      </w:r>
      <w:r>
        <w:rPr/>
        <w:t>výše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obnovu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zakotvena</w:t>
      </w:r>
      <w:r>
        <w:rPr>
          <w:spacing w:val="-13"/>
        </w:rPr>
        <w:t> </w:t>
      </w:r>
      <w:r>
        <w:rPr/>
        <w:t>ve</w:t>
      </w:r>
      <w:r>
        <w:rPr>
          <w:spacing w:val="-14"/>
        </w:rPr>
        <w:t> </w:t>
      </w:r>
      <w:r>
        <w:rPr/>
        <w:t>finančním modelu, který tvoří povinnou součást provozní smlouvy.</w:t>
      </w:r>
    </w:p>
    <w:p>
      <w:pPr>
        <w:pStyle w:val="BodyText"/>
        <w:spacing w:line="264" w:lineRule="auto" w:before="122"/>
        <w:ind w:left="809" w:right="110"/>
      </w:pPr>
      <w:r>
        <w:rPr/>
        <w:t>Změna výše prostředků na obnovu vodovodů a/nebo kanalizací dle odstavce výše je přípustná pouze z</w:t>
      </w:r>
      <w:r>
        <w:rPr>
          <w:spacing w:val="-2"/>
        </w:rPr>
        <w:t> </w:t>
      </w:r>
      <w:r>
        <w:rPr/>
        <w:t>důvodu (a) snížení na úroveň, která prokazatelně zajistí nepřekročení hranice sociálně únosné ceny pro</w:t>
      </w:r>
      <w:r>
        <w:rPr>
          <w:spacing w:val="-4"/>
        </w:rPr>
        <w:t> </w:t>
      </w:r>
      <w:r>
        <w:rPr/>
        <w:t>vodné</w:t>
      </w:r>
      <w:r>
        <w:rPr>
          <w:spacing w:val="-5"/>
        </w:rPr>
        <w:t> </w:t>
      </w:r>
      <w:r>
        <w:rPr/>
        <w:t>a/nebo</w:t>
      </w:r>
      <w:r>
        <w:rPr>
          <w:spacing w:val="-3"/>
        </w:rPr>
        <w:t> </w:t>
      </w:r>
      <w:r>
        <w:rPr/>
        <w:t>stočné</w:t>
      </w:r>
      <w:r>
        <w:rPr>
          <w:spacing w:val="-5"/>
        </w:rPr>
        <w:t> </w:t>
      </w:r>
      <w:r>
        <w:rPr/>
        <w:t>zveřejňované</w:t>
      </w:r>
      <w:r>
        <w:rPr>
          <w:spacing w:val="-6"/>
        </w:rPr>
        <w:t> </w:t>
      </w:r>
      <w:r>
        <w:rPr/>
        <w:t>každoročně</w:t>
      </w:r>
      <w:r>
        <w:rPr>
          <w:spacing w:val="-5"/>
        </w:rPr>
        <w:t> </w:t>
      </w:r>
      <w:r>
        <w:rPr/>
        <w:t>Fondem,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(b)</w:t>
      </w:r>
      <w:r>
        <w:rPr>
          <w:spacing w:val="-4"/>
        </w:rPr>
        <w:t> </w:t>
      </w:r>
      <w:r>
        <w:rPr/>
        <w:t>dosažení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 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3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 minimálně ve výši „plných odpisů“. V obou případech je nezbytné, aby Fond navrženou odchylku </w:t>
      </w:r>
      <w:r>
        <w:rPr>
          <w:spacing w:val="-2"/>
        </w:rPr>
        <w:t>odsouhlasil.</w:t>
      </w:r>
    </w:p>
    <w:p>
      <w:pPr>
        <w:spacing w:after="0" w:line="264" w:lineRule="auto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73" w:after="0"/>
        <w:ind w:left="809" w:right="118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21" w:hanging="507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52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2024-11-29T12:21:57Z</dcterms:created>
  <dcterms:modified xsi:type="dcterms:W3CDTF">2024-11-29T12:21:57Z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2024-11-29T00:00:00Z</vt:filetime>
  </property>
</Properties>
</file>