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1295/2024 Oceněný soupis prací</w:t>
      </w:r>
      <w:bookmarkEnd w:id="0"/>
      <w:bookmarkEnd w:id="1"/>
      <w:bookmarkEnd w:id="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bookmarkEnd w:id="3"/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tabs>
          <w:tab w:pos="1639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Kód:</w:t>
        <w:tab/>
        <w:t>SoD240630</w:t>
      </w:r>
    </w:p>
    <w:p>
      <w:pPr>
        <w:pStyle w:val="Style12"/>
        <w:keepNext/>
        <w:keepLines/>
        <w:widowControl w:val="0"/>
        <w:shd w:val="clear" w:color="auto" w:fill="auto"/>
        <w:tabs>
          <w:tab w:pos="1639" w:val="left"/>
        </w:tabs>
        <w:bidi w:val="0"/>
        <w:spacing w:before="0" w:after="300" w:line="240" w:lineRule="auto"/>
        <w:ind w:left="0" w:right="0" w:firstLine="0"/>
        <w:jc w:val="left"/>
        <w:rPr>
          <w:sz w:val="22"/>
          <w:szCs w:val="22"/>
        </w:rPr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</w:t>
        <w:tab/>
        <w:t>VD Fláje – potrubí MZP PSV – návodní šoupátkový uzávěr a ocelové potrubí</w:t>
      </w:r>
      <w:bookmarkEnd w:id="6"/>
      <w:bookmarkEnd w:id="7"/>
      <w:bookmarkEnd w:id="8"/>
    </w:p>
    <w:tbl>
      <w:tblPr>
        <w:tblOverlap w:val="never"/>
        <w:jc w:val="center"/>
        <w:tblLayout w:type="fixed"/>
      </w:tblPr>
      <w:tblGrid>
        <w:gridCol w:w="10032"/>
        <w:gridCol w:w="3499"/>
      </w:tblGrid>
      <w:tr>
        <w:trPr>
          <w:trHeight w:val="58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638" w:val="left"/>
              </w:tabs>
              <w:bidi w:val="0"/>
              <w:spacing w:before="0" w:after="0" w:line="226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  <w:tab/>
              <w:t>8. 11. 2024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6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34" w:h="11909" w:orient="landscape"/>
          <w:pgMar w:top="236" w:left="535" w:right="2767" w:bottom="3318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236" w:left="0" w:right="0" w:bottom="21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0008"/>
        <w:gridCol w:w="3475"/>
      </w:tblGrid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3483" w:h="1891" w:wrap="none" w:vAnchor="text" w:hAnchor="page" w:x="560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3483" w:h="1891" w:wrap="none" w:vAnchor="text" w:hAnchor="page" w:x="560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410 931,95</w:t>
            </w:r>
          </w:p>
        </w:tc>
      </w:tr>
      <w:tr>
        <w:trPr>
          <w:trHeight w:val="9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3483" w:h="1891" w:wrap="none" w:vAnchor="text" w:hAnchor="page" w:x="560" w:y="203"/>
              <w:widowControl w:val="0"/>
              <w:shd w:val="clear" w:color="auto" w:fill="auto"/>
              <w:tabs>
                <w:tab w:pos="5465" w:val="left"/>
              </w:tabs>
              <w:bidi w:val="0"/>
              <w:spacing w:before="0" w:after="0" w:line="240" w:lineRule="auto"/>
              <w:ind w:left="19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  <w:tab/>
              <w:t>Základ daně</w:t>
            </w:r>
          </w:p>
          <w:p>
            <w:pPr>
              <w:pStyle w:val="Style17"/>
              <w:keepNext w:val="0"/>
              <w:keepLines w:val="0"/>
              <w:framePr w:w="13483" w:h="1891" w:wrap="none" w:vAnchor="text" w:hAnchor="page" w:x="560" w:y="203"/>
              <w:widowControl w:val="0"/>
              <w:shd w:val="clear" w:color="auto" w:fill="auto"/>
              <w:tabs>
                <w:tab w:pos="1877" w:val="left"/>
                <w:tab w:pos="55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  <w:tab/>
              <w:t>21,00%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410 931,95</w:t>
            </w:r>
          </w:p>
          <w:p>
            <w:pPr>
              <w:pStyle w:val="Style17"/>
              <w:keepNext w:val="0"/>
              <w:keepLines w:val="0"/>
              <w:framePr w:w="13483" w:h="1891" w:wrap="none" w:vAnchor="text" w:hAnchor="page" w:x="560" w:y="203"/>
              <w:widowControl w:val="0"/>
              <w:shd w:val="clear" w:color="auto" w:fill="auto"/>
              <w:tabs>
                <w:tab w:pos="1926" w:val="left"/>
                <w:tab w:pos="6170" w:val="left"/>
              </w:tabs>
              <w:bidi w:val="0"/>
              <w:spacing w:before="0" w:after="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  <w:tab/>
              <w:t>15,00%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3483" w:h="1891" w:wrap="none" w:vAnchor="text" w:hAnchor="page" w:x="560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17"/>
              <w:keepNext w:val="0"/>
              <w:keepLines w:val="0"/>
              <w:framePr w:w="13483" w:h="1891" w:wrap="none" w:vAnchor="text" w:hAnchor="page" w:x="560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86 295,71</w:t>
            </w:r>
          </w:p>
          <w:p>
            <w:pPr>
              <w:pStyle w:val="Style17"/>
              <w:keepNext w:val="0"/>
              <w:keepLines w:val="0"/>
              <w:framePr w:w="13483" w:h="1891" w:wrap="none" w:vAnchor="text" w:hAnchor="page" w:x="560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5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3483" w:h="1891" w:wrap="none" w:vAnchor="text" w:hAnchor="page" w:x="560" w:y="203"/>
              <w:widowControl w:val="0"/>
              <w:shd w:val="clear" w:color="auto" w:fill="auto"/>
              <w:tabs>
                <w:tab w:pos="3744" w:val="left"/>
                <w:tab w:pos="469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  <w:tab/>
              <w:t>v</w:t>
              <w:tab/>
              <w:t>CZK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3483" w:h="1891" w:wrap="none" w:vAnchor="text" w:hAnchor="page" w:x="560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497 227,66</w:t>
            </w:r>
          </w:p>
        </w:tc>
      </w:tr>
    </w:tbl>
    <w:p>
      <w:pPr>
        <w:framePr w:w="13483" w:h="1891" w:wrap="none" w:vAnchor="text" w:hAnchor="page" w:x="560" w:y="2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558530" cy="132588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236" w:left="535" w:right="2767" w:bottom="2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/>
        <w:keepLines/>
        <w:framePr w:w="10190" w:h="1306" w:wrap="none" w:hAnchor="page" w:x="599" w:y="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10"/>
      <w:bookmarkEnd w:id="11"/>
      <w:bookmarkEnd w:id="9"/>
    </w:p>
    <w:p>
      <w:pPr>
        <w:pStyle w:val="Style9"/>
        <w:keepNext w:val="0"/>
        <w:keepLines w:val="0"/>
        <w:framePr w:w="10190" w:h="1306" w:wrap="none" w:hAnchor="page" w:x="599" w:y="1"/>
        <w:widowControl w:val="0"/>
        <w:shd w:val="clear" w:color="auto" w:fill="auto"/>
        <w:tabs>
          <w:tab w:pos="2242" w:val="left"/>
        </w:tabs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Kód:</w:t>
        <w:tab/>
        <w:t>SoD240630</w:t>
      </w:r>
    </w:p>
    <w:p>
      <w:pPr>
        <w:pStyle w:val="Style9"/>
        <w:keepNext w:val="0"/>
        <w:keepLines w:val="0"/>
        <w:framePr w:w="10190" w:h="1306" w:wrap="none" w:hAnchor="page" w:x="599" w:y="1"/>
        <w:widowControl w:val="0"/>
        <w:shd w:val="clear" w:color="auto" w:fill="auto"/>
        <w:tabs>
          <w:tab w:pos="2160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VD Fláje – potrubí MZP PSV – návodní šoupátkový uzávěr a ocelové potrubí</w:t>
      </w:r>
    </w:p>
    <w:tbl>
      <w:tblPr>
        <w:tblOverlap w:val="never"/>
        <w:jc w:val="left"/>
        <w:tblLayout w:type="fixed"/>
      </w:tblPr>
      <w:tblGrid>
        <w:gridCol w:w="1008"/>
        <w:gridCol w:w="5150"/>
        <w:gridCol w:w="3379"/>
        <w:gridCol w:w="3235"/>
        <w:gridCol w:w="1603"/>
        <w:gridCol w:w="715"/>
      </w:tblGrid>
      <w:tr>
        <w:trPr>
          <w:trHeight w:val="1123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80" w:line="240" w:lineRule="auto"/>
              <w:ind w:left="1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8. 11. 2024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091" w:h="3077" w:wrap="none" w:hAnchor="page" w:x="594" w:y="150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tabs>
                <w:tab w:pos="2735" w:val="left"/>
              </w:tabs>
              <w:bidi w:val="0"/>
              <w:spacing w:before="0" w:after="0" w:line="240" w:lineRule="auto"/>
              <w:ind w:left="0" w:right="0" w:firstLine="7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  <w:tab/>
              <w:t>Cena s DPH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38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091" w:h="3077" w:wrap="none" w:hAnchor="page" w:x="594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410 931,95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497 227,66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091" w:h="3077" w:wrap="none" w:hAnchor="page" w:x="594" w:y="1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 02 Revizní uzávěr 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91" w:h="3077" w:wrap="none" w:hAnchor="page" w:x="594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345 131,95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417 609,66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a vedlejší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91" w:h="3077" w:wrap="none" w:hAnchor="page" w:x="594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65 800,00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79 618,00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091" w:h="3077" w:wrap="none" w:hAnchor="page" w:x="594" w:y="15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1664335</wp:posOffset>
            </wp:positionV>
            <wp:extent cx="9897110" cy="3657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64" w:right="684" w:bottom="21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63040" cy="193865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304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8. 11. 2024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47.39999999999998pt;margin-top:82.100000000000009pt;width:115.2pt;height:152.65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8. 11. 2024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2"/>
      <w:bookmarkEnd w:id="13"/>
      <w:bookmarkEnd w:id="14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Fláje – potrubí MZP PSV – návodní šoupátkový uzávěr a ocelové potrubí Objekt: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140"/>
        <w:ind w:left="0" w:right="0" w:firstLine="38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PS 02 Revizní uzávěr SV</w:t>
      </w:r>
      <w:bookmarkEnd w:id="15"/>
      <w:bookmarkEnd w:id="16"/>
      <w:bookmarkEnd w:id="17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1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675"/>
        <w:gridCol w:w="1526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345 131,95</w:t>
            </w:r>
          </w:p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345 131,95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72 477,71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417 609,66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30162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77400" cy="30162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8"/>
      <w:bookmarkEnd w:id="19"/>
      <w:bookmarkEnd w:id="20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Fláje – potrubí MZP PSV – návodní šoupátkový uzávěr a ocelové potrubí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PS 02 Revizní uzávěr SV</w:t>
      </w:r>
      <w:bookmarkEnd w:id="21"/>
      <w:bookmarkEnd w:id="22"/>
      <w:bookmarkEnd w:id="23"/>
    </w:p>
    <w:p>
      <w:pPr>
        <w:pStyle w:val="Style25"/>
        <w:keepNext w:val="0"/>
        <w:keepLines w:val="0"/>
        <w:widowControl w:val="0"/>
        <w:shd w:val="clear" w:color="auto" w:fill="auto"/>
        <w:tabs>
          <w:tab w:pos="12293" w:val="left"/>
          <w:tab w:pos="14602" w:val="righ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8. 11. 2024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122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12293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2"/>
        <w:keepNext w:val="0"/>
        <w:keepLines w:val="0"/>
        <w:widowControl w:val="0"/>
        <w:shd w:val="clear" w:color="auto" w:fill="auto"/>
        <w:tabs>
          <w:tab w:pos="1395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36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345 131,95</w:t>
      </w:r>
    </w:p>
    <w:p>
      <w:pPr>
        <w:pStyle w:val="Style2"/>
        <w:keepNext/>
        <w:keepLines/>
        <w:widowControl w:val="0"/>
        <w:shd w:val="clear" w:color="auto" w:fill="auto"/>
        <w:tabs>
          <w:tab w:pos="14362" w:val="left"/>
        </w:tabs>
        <w:bidi w:val="0"/>
        <w:spacing w:before="0" w:line="240" w:lineRule="auto"/>
        <w:ind w:left="0" w:right="0"/>
        <w:jc w:val="both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767 - Konstrukce zámečnické</w:t>
        <w:tab/>
        <w:t>254 131,89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4362" w:val="left"/>
        </w:tabs>
        <w:bidi w:val="0"/>
        <w:spacing w:before="0" w:line="240" w:lineRule="auto"/>
        <w:ind w:left="0" w:right="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576" w:header="0" w:footer="3" w:gutter="0"/>
          <w:cols w:space="720"/>
          <w:noEndnote/>
          <w:rtlGutter w:val="0"/>
          <w:docGrid w:linePitch="360"/>
        </w:sectPr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789 - Povrchové úpravy ocelových konstrukcí a technologických zařízení</w:t>
        <w:tab/>
        <w:t>91 000,06</w:t>
      </w:r>
      <w:bookmarkEnd w:id="27"/>
      <w:bookmarkEnd w:id="28"/>
      <w:bookmarkEnd w:id="29"/>
    </w:p>
    <w:p>
      <w:pPr>
        <w:pStyle w:val="Style27"/>
        <w:keepNext/>
        <w:keepLines/>
        <w:framePr w:w="7133" w:h="2486" w:wrap="none" w:hAnchor="page" w:x="59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30"/>
      <w:bookmarkEnd w:id="31"/>
      <w:bookmarkEnd w:id="32"/>
    </w:p>
    <w:p>
      <w:pPr>
        <w:pStyle w:val="Style25"/>
        <w:keepNext w:val="0"/>
        <w:keepLines w:val="0"/>
        <w:framePr w:w="7133" w:h="2486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5"/>
        <w:keepNext w:val="0"/>
        <w:keepLines w:val="0"/>
        <w:framePr w:w="7133" w:h="2486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Fláje – potrubí MZP PSV – návodní šoupátkový uzávěr a ocelové potrubí Objekt:</w:t>
      </w:r>
    </w:p>
    <w:p>
      <w:pPr>
        <w:pStyle w:val="Style12"/>
        <w:keepNext/>
        <w:keepLines/>
        <w:framePr w:w="7133" w:h="2486" w:wrap="none" w:hAnchor="page" w:x="594" w:y="1"/>
        <w:widowControl w:val="0"/>
        <w:shd w:val="clear" w:color="auto" w:fill="auto"/>
        <w:bidi w:val="0"/>
        <w:spacing w:before="0" w:after="80"/>
        <w:ind w:left="0" w:right="0" w:firstLine="74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PS 02 Revizní uzávěr SV</w:t>
      </w:r>
      <w:bookmarkEnd w:id="33"/>
      <w:bookmarkEnd w:id="34"/>
      <w:bookmarkEnd w:id="35"/>
    </w:p>
    <w:p>
      <w:pPr>
        <w:pStyle w:val="Style25"/>
        <w:keepNext w:val="0"/>
        <w:keepLines w:val="0"/>
        <w:framePr w:w="7133" w:h="2486" w:wrap="none" w:hAnchor="page" w:x="594" w:y="1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5"/>
        <w:keepNext w:val="0"/>
        <w:keepLines w:val="0"/>
        <w:framePr w:w="7133" w:h="2486" w:wrap="none" w:hAnchor="page" w:x="594" w:y="1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pStyle w:val="Style25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5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5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5"/>
        <w:keepNext w:val="0"/>
        <w:keepLines w:val="0"/>
        <w:framePr w:w="979" w:h="317" w:wrap="none" w:hAnchor="page" w:x="14274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8. 11. 2024</w:t>
      </w:r>
    </w:p>
    <w:tbl>
      <w:tblPr>
        <w:tblOverlap w:val="never"/>
        <w:jc w:val="left"/>
        <w:tblLayout w:type="fixed"/>
      </w:tblPr>
      <w:tblGrid>
        <w:gridCol w:w="312"/>
        <w:gridCol w:w="346"/>
        <w:gridCol w:w="1190"/>
        <w:gridCol w:w="8659"/>
        <w:gridCol w:w="763"/>
        <w:gridCol w:w="1152"/>
        <w:gridCol w:w="1334"/>
        <w:gridCol w:w="1762"/>
      </w:tblGrid>
      <w:tr>
        <w:trPr>
          <w:trHeight w:val="31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345 131,95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Konstrukce zámečnické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254 131,89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35083001R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"poz.1"Vysokotlaké dno materiál P265GH EN 10028-2 povrch po formování surový, neodkujený Da 1600 x 15 mm (vč.dopravy na místo osazení) viz D.2.02.3 poz.1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65 000,00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"poz.1"Vysokotlaké dno materiál P265GH EN 10028-2 povrch po formování surový, neodkujený Da 1600 x 15 mm (vč.dopravy na místo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osazení) viz D.2.02.3 poz.1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35083002R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"poz.2-35"Atyp.zámečnický prvek mat.S235JR dodávka a výroba (vč.dopravy na místo osazení a povrchové úpravy-nátěru) viz D.2.02.3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648,614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162,00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105 075,47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"poz.2-35"Atyp.zámečnický prvek mat.S235JR dodávka a výroba (vč.dopravy na místo osazení a povrchové úpravy-nátěru) viz D.2.02.3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35083009R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"poz.36"PL 30x6 dl.3040 2 kus mat.S235JR dodávka a výroba vč.dopravy na místo osazení) viz D.2.02.3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9,086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6 723,64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"poz.36"PL 30x6 dl.3040 2 kus mat.S235JR dodávka a výroba vč.dopravy na místo osazení) viz D.2.02.3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"8.26*1.1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9,086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35083003R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"poz.37"Závitová tyč RD40 dl.500 mt.5,8 viz D.2.02.3 (vč.dopravy na místo osazení)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"poz.37"Závitová tyč RD40 dl.500 mt.5,8 viz D.2.02.3 (vč.dopravy na místo osazení)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35083004R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"poz.38"Matice RD40 mat.bronz viz D.2.02.3 (vč.dopravy na místo osazení)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"poz.38"Matice RD40 mat.bronz viz D.2.02.3 (vč.dopravy na místo osazení)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100KU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35083005R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"poz.39"Šroub M 12 ISO4017/8.8 pozink viz D.2.02.3 (vč.dopravy na místo osazení)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8" w:h="8006" w:wrap="none" w:hAnchor="page" w:x="604" w:y="273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0,480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499,20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"poz.39"Šroub M 12 ISO4017/8.8 pozink viz D.2.02.3 (vč.dopravy na místo osazení)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100KU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35083006R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"poz.40"Podložka 13 ISO7089 pozink viz D.2.02.3 (vč.dopravy na místo osazení)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8" w:h="8006" w:wrap="none" w:hAnchor="page" w:x="604" w:y="273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0,480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499,20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"poz.40"Podložka 13 ISO7089 pozink viz D.2.02.3 (vč.dopravy na místo osazení)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35083007R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"poz.41"Těsnění 50x16 d.5900 SBR pryž 60°Sha viz D.2.02.3 (vč.dopravy na místo osazení)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6,490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2 531,10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"poz.41"Těsnění 50x16 d.5900 SBR pryž 60°Sha viz D.2.02.3 (vč.dopravy na místo osazení)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"5.9*1.1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6,490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35083008R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"poz.42"Těsnění tvarová pryž d.6300 SBR pryž 60°Sha viz D.2.02.3 (vč.dopravy na místo osazení)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2 457,00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"poz.42"Těsnění tvarová pryž d.6300 SBR pryž 60°Sha viz D.2.02.3 (vč.dopravy na místo osazení)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350084001R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Ovládací mechanismus čočky-dodávka a výroba (vč.dopravy na místo osazení) mat.1,4307 viz výkres D.2.02.4 poz.1-16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238,040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282,92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67 346,28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Ovládací mechanismus čočky-dodávka a výroba (vč.dopravy na místo osazení) mat.1,4307 viz výkres D.2.02.4 poz.1-16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"216.4*1.1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238,040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Povrchové úpravy ocelových konstrukcí a technologických zařízení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0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91 000,06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789121240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Úpravy povrchů pod nátěry ocelových konstrukcí třídy I očištění odmaštěním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10,960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456,20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800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4 999,95</w:t>
            </w:r>
          </w:p>
        </w:tc>
      </w:tr>
    </w:tbl>
    <w:p>
      <w:pPr>
        <w:framePr w:w="15518" w:h="8006" w:wrap="none" w:hAnchor="page" w:x="604" w:y="273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1657985</wp:posOffset>
            </wp:positionV>
            <wp:extent cx="9897110" cy="517842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9897110" cy="5178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64" w:right="684" w:bottom="21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36"/>
        <w:gridCol w:w="1550"/>
        <w:gridCol w:w="8578"/>
        <w:gridCol w:w="782"/>
        <w:gridCol w:w="1210"/>
        <w:gridCol w:w="1334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4718" w:vSpace="38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34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Úpravy povrchů pod nátěry ocelových konstrukcí třídy I očištění odmaštěním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02/789121240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4718" w:vSpace="38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4718" w:vSpace="38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4718" w:vSpace="38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4718" w:vSpace="38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789321110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319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Zhotovení nátěru ocelových konstrukcí třídy I jednosložkového základního, tloušťky do 40 µm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Zhotovení nátěru ocelových konstrukcí třídy I jednosložkového základního, tloušťky do 40 µm </w:t>
            </w:r>
            <w:r>
              <w:fldChar w:fldCharType="begin"/>
            </w:r>
            <w:r>
              <w:rPr/>
              <w:instrText> HYPERLINK "https://podminky.urs.cz/item/CS_URS_2024_02/789321110"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https://podminky.urs.cz/item/CS_URS_2024_02/789321110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10,960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2 068,13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22 666,70</w:t>
            </w:r>
          </w:p>
        </w:tc>
      </w:tr>
      <w:tr>
        <w:trPr>
          <w:trHeight w:val="66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2462300R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307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hmota nátěrová alkyd uretanová základní univerzální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hmota nátěrová alkyd uretanová základní univerzální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307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"10.96*0.405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4,439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4,439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1 603,85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7 119,49</w:t>
            </w:r>
          </w:p>
        </w:tc>
      </w:tr>
      <w:tr>
        <w:trPr>
          <w:trHeight w:val="6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789321115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319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Zhotovení nátěru ocelových konstrukcí třídy I jednosložkového mezivrstvy, tloušťky do 40 µm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Zhotovení nátěru ocelových konstrukcí třídy I jednosložkového mezivrstvy, tloušťky do 40 µm </w:t>
            </w:r>
            <w:r>
              <w:fldChar w:fldCharType="begin"/>
            </w:r>
            <w:r>
              <w:rPr/>
              <w:instrText> HYPERLINK "https://podminky.urs.cz/item/CS_URS_2024_02/789321115"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https://podminky.urs.cz/item/CS_URS_2024_02/789321115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10,960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2 068,13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22 666,70</w:t>
            </w:r>
          </w:p>
        </w:tc>
      </w:tr>
      <w:tr>
        <w:trPr>
          <w:trHeight w:val="7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2462908R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374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hmota nátěrová alkyd uretanová antikorozní samozákladující na ocelové konstrukce RAL 5010 lesk modrý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hmota nátěrová alkyd uretanová antikorozní samozákladující na ocelové konstrukce RAL 5010 lesk modrý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"10.96*0.228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2,499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2,499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1 603,85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4 008,02</w:t>
            </w:r>
          </w:p>
        </w:tc>
      </w:tr>
      <w:tr>
        <w:trPr>
          <w:trHeight w:val="7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789321121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Zhotovení nátěru ocelových konstrukcí třídy I jednosložkového krycího (vrchního), tloušťky do 80 µm</w:t>
            </w:r>
          </w:p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34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Zhotovení nátěru ocelových konstrukcí třídy I jednosložkového krycího (vrchního), tloušťky do 80 µm </w:t>
            </w:r>
            <w:r>
              <w:fldChar w:fldCharType="begin"/>
            </w:r>
            <w:r>
              <w:rPr/>
              <w:instrText> HYPERLINK "https://podminky.urs.cz/item/CS_URS_2024_02/789321121"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https://podminky.urs.cz/item/CS_URS_2024_02/789321121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10,960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2 068,13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22 666,70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2462919R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hmota nátěrová alkyd uretanová krycí (email) na ocelové konstrukce RAL 5010 lesk modrý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4,285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1 603,85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81" w:h="4718" w:vSpace="38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6 872,50</w:t>
            </w:r>
          </w:p>
        </w:tc>
      </w:tr>
    </w:tbl>
    <w:p>
      <w:pPr>
        <w:framePr w:w="15581" w:h="4718" w:vSpace="389" w:wrap="none" w:hAnchor="page" w:x="565" w:y="548"/>
        <w:widowControl w:val="0"/>
        <w:spacing w:line="1" w:lineRule="exact"/>
      </w:pPr>
    </w:p>
    <w:p>
      <w:pPr>
        <w:pStyle w:val="Style15"/>
        <w:keepNext w:val="0"/>
        <w:keepLines w:val="0"/>
        <w:framePr w:w="12000" w:h="442" w:wrap="none" w:hAnchor="page" w:x="939" w:y="5214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hmota nátěrová alkyd uretanová krycí (email) na ocelové konstrukce RAL 5010 lesk modrý</w:t>
      </w:r>
    </w:p>
    <w:p>
      <w:pPr>
        <w:pStyle w:val="Style15"/>
        <w:keepNext w:val="0"/>
        <w:keepLines w:val="0"/>
        <w:framePr w:w="12000" w:h="442" w:wrap="none" w:hAnchor="page" w:x="939" w:y="5214"/>
        <w:widowControl w:val="0"/>
        <w:shd w:val="clear" w:color="auto" w:fill="auto"/>
        <w:tabs>
          <w:tab w:pos="1786" w:val="left"/>
          <w:tab w:pos="11558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A13</w:t>
        <w:tab/>
        <w:t>" "10.96*0.391 "Přepočtené koeficientem množství</w:t>
        <w:tab/>
        <w:t>4,285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908050</wp:posOffset>
            </wp:positionV>
            <wp:extent cx="9897110" cy="243205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9897110" cy="24320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1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63040" cy="1938655"/>
                <wp:wrapSquare wrapText="bothSides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304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8. 11. 2024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647.39999999999998pt;margin-top:82.100000000000009pt;width:115.2pt;height:152.65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8. 11. 2024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6"/>
      <w:bookmarkEnd w:id="37"/>
      <w:bookmarkEnd w:id="38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Fláje – potrubí MZP PSV – návodní šoupátkový uzávěr a ocelové potrubí Objekt: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140"/>
        <w:ind w:left="0" w:right="0" w:firstLine="38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 - Ostatní a vedlejší náklady</w:t>
      </w:r>
      <w:bookmarkEnd w:id="39"/>
      <w:bookmarkEnd w:id="40"/>
      <w:bookmarkEnd w:id="41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1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738"/>
        <w:gridCol w:w="1464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65 800,00</w:t>
            </w:r>
          </w:p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65 800,00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13 818,00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79 618,00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30162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9677400" cy="30162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42"/>
      <w:bookmarkEnd w:id="43"/>
      <w:bookmarkEnd w:id="44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Fláje – potrubí MZP PSV – návodní šoupátkový uzávěr a ocelové potrubí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 - Ostatní a vedlejší náklady</w:t>
      </w:r>
      <w:bookmarkEnd w:id="45"/>
      <w:bookmarkEnd w:id="46"/>
      <w:bookmarkEnd w:id="47"/>
    </w:p>
    <w:p>
      <w:pPr>
        <w:pStyle w:val="Style25"/>
        <w:keepNext w:val="0"/>
        <w:keepLines w:val="0"/>
        <w:widowControl w:val="0"/>
        <w:shd w:val="clear" w:color="auto" w:fill="auto"/>
        <w:tabs>
          <w:tab w:pos="12307" w:val="left"/>
          <w:tab w:pos="14602" w:val="righ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8. 11. 2024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1230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12307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2"/>
        <w:keepNext w:val="0"/>
        <w:keepLines w:val="0"/>
        <w:widowControl w:val="0"/>
        <w:shd w:val="clear" w:color="auto" w:fill="auto"/>
        <w:tabs>
          <w:tab w:pos="1397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455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65 800,00</w:t>
      </w:r>
    </w:p>
    <w:p>
      <w:pPr>
        <w:pStyle w:val="Style2"/>
        <w:keepNext/>
        <w:keepLines/>
        <w:widowControl w:val="0"/>
        <w:shd w:val="clear" w:color="auto" w:fill="auto"/>
        <w:tabs>
          <w:tab w:pos="14455" w:val="left"/>
        </w:tabs>
        <w:bidi w:val="0"/>
        <w:spacing w:before="0" w:line="240" w:lineRule="auto"/>
        <w:ind w:left="0" w:right="0"/>
        <w:jc w:val="both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VRN4 - Inženýrská činnost</w:t>
        <w:tab/>
        <w:t>40 800,00</w:t>
      </w:r>
      <w:bookmarkEnd w:id="48"/>
      <w:bookmarkEnd w:id="49"/>
      <w:bookmarkEnd w:id="50"/>
    </w:p>
    <w:p>
      <w:pPr>
        <w:pStyle w:val="Style2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4455" w:val="left"/>
        </w:tabs>
        <w:bidi w:val="0"/>
        <w:spacing w:before="0" w:line="240" w:lineRule="auto"/>
        <w:ind w:left="0" w:right="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576" w:header="0" w:footer="3" w:gutter="0"/>
          <w:cols w:space="720"/>
          <w:noEndnote/>
          <w:rtlGutter w:val="0"/>
          <w:docGrid w:linePitch="360"/>
        </w:sectPr>
      </w:pPr>
      <w:bookmarkStart w:id="48" w:name="bookmark48"/>
      <w:bookmarkStart w:id="49" w:name="bookmark49"/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VRN9 - Ostatní náklady</w:t>
        <w:tab/>
        <w:t>25 000,00</w:t>
      </w:r>
      <w:bookmarkEnd w:id="48"/>
      <w:bookmarkEnd w:id="49"/>
      <w:bookmarkEnd w:id="51"/>
    </w:p>
    <w:p>
      <w:pPr>
        <w:pStyle w:val="Style27"/>
        <w:keepNext/>
        <w:keepLines/>
        <w:framePr w:w="1934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52"/>
      <w:bookmarkEnd w:id="53"/>
      <w:bookmarkEnd w:id="54"/>
    </w:p>
    <w:p>
      <w:pPr>
        <w:pStyle w:val="Style25"/>
        <w:keepNext w:val="0"/>
        <w:keepLines w:val="0"/>
        <w:framePr w:w="7133" w:h="2006" w:wrap="none" w:hAnchor="page" w:x="594" w:y="48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5"/>
        <w:keepNext w:val="0"/>
        <w:keepLines w:val="0"/>
        <w:framePr w:w="7133" w:h="2006" w:wrap="none" w:hAnchor="page" w:x="594" w:y="481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Fláje – potrubí MZP PSV – návodní šoupátkový uzávěr a ocelové potrubí Objekt:</w:t>
      </w:r>
    </w:p>
    <w:p>
      <w:pPr>
        <w:pStyle w:val="Style12"/>
        <w:keepNext/>
        <w:keepLines/>
        <w:framePr w:w="7133" w:h="2006" w:wrap="none" w:hAnchor="page" w:x="594" w:y="481"/>
        <w:widowControl w:val="0"/>
        <w:shd w:val="clear" w:color="auto" w:fill="auto"/>
        <w:bidi w:val="0"/>
        <w:spacing w:before="0" w:after="80"/>
        <w:ind w:left="0" w:right="0" w:firstLine="74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 - Ostatní a vedlejší náklady</w:t>
      </w:r>
      <w:bookmarkEnd w:id="55"/>
      <w:bookmarkEnd w:id="56"/>
      <w:bookmarkEnd w:id="57"/>
    </w:p>
    <w:p>
      <w:pPr>
        <w:pStyle w:val="Style25"/>
        <w:keepNext w:val="0"/>
        <w:keepLines w:val="0"/>
        <w:framePr w:w="7133" w:h="2006" w:wrap="none" w:hAnchor="page" w:x="594" w:y="481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5"/>
        <w:keepNext w:val="0"/>
        <w:keepLines w:val="0"/>
        <w:framePr w:w="7133" w:h="2006" w:wrap="none" w:hAnchor="page" w:x="594" w:y="481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pStyle w:val="Style25"/>
        <w:keepNext w:val="0"/>
        <w:keepLines w:val="0"/>
        <w:framePr w:w="2304" w:h="922" w:wrap="none" w:hAnchor="page" w:x="12949" w:y="1566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8. 11. 2024</w:t>
      </w:r>
    </w:p>
    <w:p>
      <w:pPr>
        <w:pStyle w:val="Style25"/>
        <w:keepNext w:val="0"/>
        <w:keepLines w:val="0"/>
        <w:framePr w:w="2304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5"/>
        <w:keepNext w:val="0"/>
        <w:keepLines w:val="0"/>
        <w:framePr w:w="2304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39"/>
        <w:keepNext w:val="0"/>
        <w:keepLines w:val="0"/>
        <w:framePr w:w="144" w:h="235" w:wrap="none" w:hAnchor="page" w:x="939" w:y="6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tbl>
      <w:tblPr>
        <w:tblOverlap w:val="never"/>
        <w:jc w:val="left"/>
        <w:tblLayout w:type="fixed"/>
      </w:tblPr>
      <w:tblGrid>
        <w:gridCol w:w="662"/>
        <w:gridCol w:w="1186"/>
        <w:gridCol w:w="8606"/>
        <w:gridCol w:w="768"/>
        <w:gridCol w:w="1190"/>
        <w:gridCol w:w="1334"/>
        <w:gridCol w:w="1771"/>
      </w:tblGrid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65 800,00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Inženýrská činnost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40 800,00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04140312R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Ostatní zkoušky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40 800,00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40 800,00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Ostatní zkoušky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-tlaková zkouška revizního uzávěru P10 dle ČSN EN 12266-1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125" w:vSpace="605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09100303R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Ostatní náklady v průběhu realizace a po realizaci stavby - zpracování VDD (výrobní dílenská dokumentace)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5518" w:h="3125" w:vSpace="605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25 000,00</w:t>
            </w:r>
          </w:p>
        </w:tc>
      </w:tr>
    </w:tbl>
    <w:p>
      <w:pPr>
        <w:framePr w:w="15518" w:h="3125" w:vSpace="605" w:wrap="none" w:hAnchor="page" w:x="604" w:y="2737"/>
        <w:widowControl w:val="0"/>
        <w:spacing w:line="1" w:lineRule="exact"/>
      </w:pPr>
    </w:p>
    <w:p>
      <w:pPr>
        <w:pStyle w:val="Style15"/>
        <w:keepNext w:val="0"/>
        <w:keepLines w:val="0"/>
        <w:framePr w:w="6710" w:h="379" w:wrap="none" w:hAnchor="page" w:x="2730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Poznámka k položce:</w:t>
      </w:r>
    </w:p>
    <w:p>
      <w:pPr>
        <w:pStyle w:val="Style15"/>
        <w:keepNext w:val="0"/>
        <w:keepLines w:val="0"/>
        <w:framePr w:w="6710" w:h="379" w:wrap="none" w:hAnchor="page" w:x="2730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„Zpracování VDD (výrobní dílenská dokumentace) na revizní uzávěr spodní výpusti včetně plánu údržby a revizí.“</w:t>
      </w:r>
    </w:p>
    <w:p>
      <w:pPr>
        <w:widowControl w:val="0"/>
        <w:spacing w:line="360" w:lineRule="exact"/>
      </w:pPr>
      <w:r>
        <w:drawing>
          <wp:anchor distT="0" distB="283210" distL="0" distR="0" simplePos="0" relativeHeight="6291470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1657985</wp:posOffset>
            </wp:positionV>
            <wp:extent cx="9897110" cy="210947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9897110" cy="2109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64" w:right="684" w:bottom="2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8851" w:h="1440" w:wrap="none" w:hAnchor="page" w:x="103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SEZNAM FIGUR</w:t>
      </w:r>
    </w:p>
    <w:p>
      <w:pPr>
        <w:pStyle w:val="Style25"/>
        <w:keepNext w:val="0"/>
        <w:keepLines w:val="0"/>
        <w:framePr w:w="8851" w:h="1440" w:wrap="none" w:hAnchor="page" w:x="1036" w:y="1"/>
        <w:widowControl w:val="0"/>
        <w:shd w:val="clear" w:color="auto" w:fill="auto"/>
        <w:tabs>
          <w:tab w:pos="1858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Kód:</w:t>
        <w:tab/>
        <w:t>SoD240630</w:t>
      </w:r>
    </w:p>
    <w:p>
      <w:pPr>
        <w:pStyle w:val="Style25"/>
        <w:keepNext w:val="0"/>
        <w:keepLines w:val="0"/>
        <w:framePr w:w="8851" w:h="1440" w:wrap="none" w:hAnchor="page" w:x="1036" w:y="1"/>
        <w:widowControl w:val="0"/>
        <w:shd w:val="clear" w:color="auto" w:fill="auto"/>
        <w:tabs>
          <w:tab w:pos="1930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VD Fláje – potrubí MZP PSV – návodní šoupátkový uzávěr a ocelové potrubí</w:t>
      </w:r>
    </w:p>
    <w:p>
      <w:pPr>
        <w:pStyle w:val="Style25"/>
        <w:keepNext w:val="0"/>
        <w:keepLines w:val="0"/>
        <w:framePr w:w="8851" w:h="1440" w:wrap="none" w:hAnchor="page" w:x="1036" w:y="1"/>
        <w:widowControl w:val="0"/>
        <w:shd w:val="clear" w:color="auto" w:fill="auto"/>
        <w:tabs>
          <w:tab w:pos="1858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  <w:t>8. 11. 2024</w:t>
      </w:r>
    </w:p>
    <w:tbl>
      <w:tblPr>
        <w:tblOverlap w:val="never"/>
        <w:jc w:val="left"/>
        <w:tblLayout w:type="fixed"/>
      </w:tblPr>
      <w:tblGrid>
        <w:gridCol w:w="581"/>
        <w:gridCol w:w="946"/>
        <w:gridCol w:w="4411"/>
        <w:gridCol w:w="3888"/>
        <w:gridCol w:w="3293"/>
        <w:gridCol w:w="1507"/>
      </w:tblGrid>
      <w:tr>
        <w:trPr>
          <w:trHeight w:val="312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PS 02 Revizní uzávěr 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238,040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"216.4*1.1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238,040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9,086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"8.26*1.1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9,086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4,439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"10.96*0.405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4,439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2,499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"10.96*0.228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2,499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4,285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"10.96*0.391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4,285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6,490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"5.9*1.1 "Přepočtené koeficientem 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3946" w:wrap="none" w:hAnchor="page" w:x="1026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14626" w:h="3946" w:wrap="none" w:hAnchor="page" w:x="1026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6,490</w:t>
            </w:r>
          </w:p>
        </w:tc>
      </w:tr>
    </w:tbl>
    <w:p>
      <w:pPr>
        <w:framePr w:w="14626" w:h="3946" w:wrap="none" w:hAnchor="page" w:x="1026" w:y="168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996950</wp:posOffset>
            </wp:positionV>
            <wp:extent cx="9311640" cy="243205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9311640" cy="24320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erReference w:type="default" r:id="rId30"/>
          <w:footnotePr>
            <w:pos w:val="pageBottom"/>
            <w:numFmt w:val="decimal"/>
            <w:numRestart w:val="continuous"/>
          </w:footnotePr>
          <w:pgSz w:w="16834" w:h="11909" w:orient="landscape"/>
          <w:pgMar w:top="1139" w:left="1006" w:right="1164" w:bottom="551" w:header="711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280" w:line="240" w:lineRule="auto"/>
        <w:ind w:left="168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39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39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přitom obsahuje ještě samostatné sestavy vymezené orámovaním a nadpisem sestavy.</w:t>
      </w:r>
    </w:p>
    <w:p>
      <w:pPr>
        <w:pStyle w:val="Style39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obsahuje sestavu Rekapitulace stavby a Rekapitulace objektů stavby a soupisů prací.</w:t>
      </w:r>
    </w:p>
    <w:p>
      <w:pPr>
        <w:pStyle w:val="Style39"/>
        <w:keepNext w:val="0"/>
        <w:keepLines w:val="0"/>
        <w:framePr w:w="8726" w:h="3240" w:wrap="none" w:hAnchor="page" w:x="972" w:y="231"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after="180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uchazeče.</w:t>
      </w:r>
    </w:p>
    <w:p>
      <w:pPr>
        <w:pStyle w:val="Style39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140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Termínem "uchazeč" (resp. zhotovitel) se myslí "účastník zadávacího řízení" ve smyslu zákona o zadávání veřejných zakázek.</w:t>
      </w:r>
    </w:p>
    <w:p>
      <w:pPr>
        <w:pStyle w:val="Style39"/>
        <w:keepNext w:val="0"/>
        <w:keepLines w:val="0"/>
        <w:framePr w:w="8726" w:h="3240" w:wrap="none" w:hAnchor="page" w:x="972" w:y="231"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after="160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objektů stavby a soupisů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39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pro jednotlivé objekty obsahuje sestavy Krycí list soupisu prací, Rekapitulace členění soupisu prací, Soupis prací. Za soupis prací může být považován i objekt stavby v případě, že neobsahuje podřízenou zakázku.</w:t>
      </w:r>
    </w:p>
    <w:p>
      <w:pPr>
        <w:pStyle w:val="Style39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Krycí list soupisu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rekapitulaci informací o předmětu veřejné zakázky ze sestavy Rekapitulace stavby, informaci o zařazení objektu do KSO, CC-CZ, CZ-CPV, CZ-CPA a rekapitulaci celkové nabídkové ceny uchazeče za aktuální soupis prací.</w:t>
      </w:r>
    </w:p>
    <w:p>
      <w:pPr>
        <w:pStyle w:val="Style39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členění soupisu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39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39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Plný popis položky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 výměr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8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je k řádku výkazu výměr evidovaný údaj ve sloupci Kód, jedná se o definovaný odkaz, na který se může odvolávat výkaz výměr z jiné položky.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 je pro podání nabídky povinen vyplnit žlutě podbarvená pole: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 Uchazeč v sestavě Rekapitulace stavby - zde uchazeč vyplní svůj název (název subjektu)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 IČ a DIČ v sestavě Rekapitulace stavby - zde uchazeč vyplní svoje IČ a DIČ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 sestavě Rekapitulace stavby - zde uchazeč vyplní datum vytvoření nabídky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= jednotková cena v sestavě Soupis prací o maximálním počtu desetinných míst uvedených v poli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sestavy soupisů prací obsahují pole J.cena, měla by být všechna tato pole vyplněna nenulovými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4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- nepovinný údaj pro položku soupisu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39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20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 v tomto případě by měl vyplnit všechna pole J.materiál a pole J.montáž nenulovými kladnými číslicemi. V případech, kdy položka 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</w:r>
    </w:p>
    <w:tbl>
      <w:tblPr>
        <w:tblOverlap w:val="never"/>
        <w:jc w:val="left"/>
        <w:tblLayout w:type="fixed"/>
      </w:tblPr>
      <w:tblGrid>
        <w:gridCol w:w="576"/>
        <w:gridCol w:w="1987"/>
      </w:tblGrid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63" w:h="1210" w:wrap="none" w:hAnchor="page" w:x="1616" w:y="340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7"/>
        <w:gridCol w:w="8035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Pořadové číslo položky v aktuálním soupisu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položky: K - konstrukce, M - materiál, PP - plný popis, PSC - poznámka k souboru cen, P - poznámka k položce, VV - výkaz výměr, FIG - rozpad figur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Zkrácený popis položky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v měrné jednotce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343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 položky. Zadaní může obsahovat namísto J.ceny sloupce J.materiál a J.montáž, jejichž součet definuje J.cenu položky.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položky daná jako součin množství a j.ceny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Příslušnost položky do cenové soustavy</w:t>
            </w:r>
          </w:p>
        </w:tc>
      </w:tr>
    </w:tbl>
    <w:p>
      <w:pPr>
        <w:framePr w:w="9182" w:h="2213" w:wrap="none" w:hAnchor="page" w:x="1616" w:y="686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895477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6498590" cy="8954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erReference w:type="default" r:id="rId33"/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framePr w:w="2251" w:h="360" w:wrap="none" w:hAnchor="page" w:x="4831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stavby</w:t>
      </w:r>
    </w:p>
    <w:p>
      <w:pPr>
        <w:pStyle w:val="Style39"/>
        <w:keepNext w:val="0"/>
        <w:keepLines w:val="0"/>
        <w:framePr w:w="4882" w:h="355" w:wrap="none" w:hAnchor="page" w:x="3516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411"/>
        <w:gridCol w:w="1786"/>
        <w:gridCol w:w="1176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4291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86"/>
        <w:gridCol w:w="893"/>
        <w:gridCol w:w="3557"/>
        <w:gridCol w:w="2678"/>
        <w:gridCol w:w="1138"/>
      </w:tblGrid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909" w:wrap="none" w:hAnchor="page" w:x="973" w:y="6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601980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6498590" cy="6019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framePr w:w="1915" w:h="360" w:wrap="none" w:hAnchor="page" w:x="4999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Krycí list soupisu</w:t>
      </w:r>
    </w:p>
    <w:p>
      <w:pPr>
        <w:pStyle w:val="Style39"/>
        <w:keepNext w:val="0"/>
        <w:keepLines w:val="0"/>
        <w:framePr w:w="3859" w:h="355" w:wrap="none" w:hAnchor="page" w:x="4025" w:y="5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členění soupisu prací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Max. počet znaků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120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 + 120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 + 120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</w:t>
      </w:r>
    </w:p>
    <w:p>
      <w:pPr>
        <w:pStyle w:val="Style39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255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618"/>
        <w:gridCol w:w="1325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</w:tr>
    </w:tbl>
    <w:p>
      <w:pPr>
        <w:framePr w:w="8122" w:h="3898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38"/>
        <w:gridCol w:w="1042"/>
        <w:gridCol w:w="4114"/>
        <w:gridCol w:w="1915"/>
        <w:gridCol w:w="134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501" w:wrap="none" w:hAnchor="page" w:x="973" w:y="59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552005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6498590" cy="5520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framePr w:w="1373" w:h="360" w:wrap="none" w:hAnchor="page" w:x="5263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Soupis prací</w:t>
      </w:r>
    </w:p>
    <w:p>
      <w:pPr>
        <w:pStyle w:val="Style39"/>
        <w:keepNext w:val="0"/>
        <w:keepLines w:val="0"/>
        <w:framePr w:w="1358" w:h="360" w:wrap="none" w:hAnchor="page" w:x="5273" w:y="7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Datová věta</w:t>
      </w:r>
    </w:p>
    <w:tbl>
      <w:tblPr>
        <w:tblOverlap w:val="never"/>
        <w:jc w:val="left"/>
        <w:tblLayout w:type="fixed"/>
      </w:tblPr>
      <w:tblGrid>
        <w:gridCol w:w="1181"/>
        <w:gridCol w:w="994"/>
        <w:gridCol w:w="266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38" w:h="5669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položky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Rozpad figur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 pro položku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Suť položky ze soupisu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</w:tr>
    </w:tbl>
    <w:p>
      <w:pPr>
        <w:framePr w:w="4838" w:h="5669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042"/>
        <w:gridCol w:w="1186"/>
        <w:gridCol w:w="1810"/>
      </w:tblGrid>
      <w:tr>
        <w:trPr>
          <w:trHeight w:val="13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Typ věty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8" w:lineRule="auto"/>
              <w:ind w:left="24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Hodnota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snížená nulová zákl. přenesená sníž.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sazba DPH Snížená sazba DPH</w:t>
            </w:r>
          </w:p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Nulová sazba DPH</w:t>
            </w:r>
          </w:p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sazba DPH přenesená Snížená sazba DPH přenesená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PSV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M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OST</w:t>
            </w:r>
          </w:p>
        </w:tc>
      </w:tr>
    </w:tbl>
    <w:p>
      <w:pPr>
        <w:framePr w:w="4037" w:h="3466" w:wrap="none" w:hAnchor="page" w:x="973" w:y="784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04"/>
        <w:gridCol w:w="1085"/>
      </w:tblGrid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300" w:lineRule="auto"/>
              <w:ind w:left="2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89" w:h="5664" w:wrap="none" w:hAnchor="page" w:x="8336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730631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6498590" cy="7306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819" w:left="832" w:right="842" w:bottom="819" w:header="391" w:footer="39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5048885</wp:posOffset>
              </wp:positionH>
              <wp:positionV relativeFrom="page">
                <wp:posOffset>7409180</wp:posOffset>
              </wp:positionV>
              <wp:extent cx="603250" cy="13716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32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7.55000000000001pt;margin-top:583.39999999999998pt;width:47.5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5064125</wp:posOffset>
              </wp:positionH>
              <wp:positionV relativeFrom="page">
                <wp:posOffset>7148195</wp:posOffset>
              </wp:positionV>
              <wp:extent cx="570230" cy="11874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02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398.75pt;margin-top:562.85000000000002pt;width:44.899999999999999pt;height:9.3499999999999996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0">
    <w:name w:val="Char Style 40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  <w:ind w:firstLine="38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8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10" w:line="262" w:lineRule="auto"/>
      <w:ind w:firstLine="720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24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after="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  <w:spacing w:after="3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FFFFFF"/>
      <w:spacing w:line="34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4.pn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Relationship Id="rId16" Type="http://schemas.openxmlformats.org/officeDocument/2006/relationships/image" Target="media/image6.png"/><Relationship Id="rId17" Type="http://schemas.openxmlformats.org/officeDocument/2006/relationships/image" Target="media/image6.png" TargetMode="External"/><Relationship Id="rId18" Type="http://schemas.openxmlformats.org/officeDocument/2006/relationships/image" Target="media/image7.jpeg"/><Relationship Id="rId19" Type="http://schemas.openxmlformats.org/officeDocument/2006/relationships/image" Target="media/image7.jpe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png"/><Relationship Id="rId25" Type="http://schemas.openxmlformats.org/officeDocument/2006/relationships/image" Target="media/image10.pn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Relationship Id="rId30" Type="http://schemas.openxmlformats.org/officeDocument/2006/relationships/footer" Target="footer2.xml"/><Relationship Id="rId31" Type="http://schemas.openxmlformats.org/officeDocument/2006/relationships/image" Target="media/image13.jpeg"/><Relationship Id="rId32" Type="http://schemas.openxmlformats.org/officeDocument/2006/relationships/image" Target="media/image13.jpeg" TargetMode="External"/><Relationship Id="rId33" Type="http://schemas.openxmlformats.org/officeDocument/2006/relationships/footer" Target="footer3.xml"/><Relationship Id="rId34" Type="http://schemas.openxmlformats.org/officeDocument/2006/relationships/image" Target="media/image14.jpeg"/><Relationship Id="rId35" Type="http://schemas.openxmlformats.org/officeDocument/2006/relationships/image" Target="media/image14.jpeg" TargetMode="External"/><Relationship Id="rId36" Type="http://schemas.openxmlformats.org/officeDocument/2006/relationships/image" Target="media/image15.jpeg"/><Relationship Id="rId37" Type="http://schemas.openxmlformats.org/officeDocument/2006/relationships/image" Target="media/image15.jpeg" TargetMode="External"/><Relationship Id="rId38" Type="http://schemas.openxmlformats.org/officeDocument/2006/relationships/image" Target="media/image16.jpeg"/><Relationship Id="rId39" Type="http://schemas.openxmlformats.org/officeDocument/2006/relationships/image" Target="media/image1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