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69" w:rsidRDefault="00B53269" w:rsidP="0024213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105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88"/>
        <w:gridCol w:w="667"/>
      </w:tblGrid>
      <w:tr w:rsidR="00B53269">
        <w:trPr>
          <w:trHeight w:val="885"/>
        </w:trPr>
        <w:tc>
          <w:tcPr>
            <w:tcW w:w="10555" w:type="dxa"/>
            <w:gridSpan w:val="2"/>
            <w:shd w:val="clear" w:color="auto" w:fill="F2F2F2"/>
            <w:vAlign w:val="center"/>
          </w:tcPr>
          <w:p w:rsidR="00B53269" w:rsidRPr="00FF1CF0" w:rsidRDefault="00B53269" w:rsidP="007C0566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>licenční Smlouva</w:t>
            </w:r>
          </w:p>
          <w:p w:rsidR="00B53269" w:rsidRPr="007C0566" w:rsidRDefault="00B53269" w:rsidP="007C0566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>na užívání dat A PRODUKTŮ ČHMÚ pro koncové uživatele</w:t>
            </w:r>
          </w:p>
        </w:tc>
      </w:tr>
      <w:tr w:rsidR="00B53269">
        <w:trPr>
          <w:trHeight w:val="876"/>
        </w:trPr>
        <w:tc>
          <w:tcPr>
            <w:tcW w:w="1055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53269" w:rsidRDefault="00B53269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B53269" w:rsidRDefault="00B53269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6774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(uzavřená podle ustanovení § 2 358 a násl. zákona č. 89/2012 Sb., občanský zákoník</w:t>
            </w:r>
          </w:p>
          <w:p w:rsidR="00B53269" w:rsidRPr="007C0566" w:rsidRDefault="00B53269" w:rsidP="007C0566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6774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ve spojení se zákonem č. 121/2000 Sb., autorský zákon, v platném znění)</w:t>
            </w:r>
          </w:p>
        </w:tc>
      </w:tr>
      <w:tr w:rsidR="00B53269">
        <w:trPr>
          <w:trHeight w:val="795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B53269" w:rsidRDefault="00B53269" w:rsidP="00C40907">
            <w:pPr>
              <w:ind w:left="532"/>
              <w:rPr>
                <w:rFonts w:ascii="Calibri" w:hAnsi="Calibri" w:cs="Calibri"/>
              </w:rPr>
            </w:pPr>
          </w:p>
          <w:p w:rsidR="00B53269" w:rsidRDefault="00B53269" w:rsidP="00C40907">
            <w:pPr>
              <w:rPr>
                <w:rFonts w:ascii="Calibri" w:hAnsi="Calibri" w:cs="Calibri"/>
                <w:b/>
                <w:bCs/>
              </w:rPr>
            </w:pPr>
            <w:r w:rsidRPr="00070FAF">
              <w:rPr>
                <w:rFonts w:ascii="Calibri" w:hAnsi="Calibri" w:cs="Calibri"/>
                <w:b/>
                <w:bCs/>
              </w:rPr>
              <w:t>Český hydrometeorologický ústav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269" w:rsidRPr="00BB65F5" w:rsidRDefault="00B53269" w:rsidP="00C4090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53269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269" w:rsidRDefault="00B53269"/>
          <w:tbl>
            <w:tblPr>
              <w:tblW w:w="1010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28"/>
              <w:gridCol w:w="2978"/>
              <w:gridCol w:w="141"/>
              <w:gridCol w:w="5671"/>
              <w:gridCol w:w="283"/>
            </w:tblGrid>
            <w:tr w:rsidR="00B53269">
              <w:trPr>
                <w:gridAfter w:val="1"/>
                <w:wAfter w:w="140" w:type="pct"/>
                <w:trHeight w:val="404"/>
              </w:trPr>
              <w:tc>
                <w:tcPr>
                  <w:tcW w:w="486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BB65F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Šabatce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53269">
              <w:trPr>
                <w:gridAfter w:val="1"/>
                <w:wAfter w:w="140" w:type="pct"/>
                <w:trHeight w:val="265"/>
              </w:trPr>
              <w:tc>
                <w:tcPr>
                  <w:tcW w:w="19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BB65F5" w:rsidRDefault="00B53269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IČ: 00020699</w:t>
                  </w:r>
                </w:p>
              </w:tc>
              <w:tc>
                <w:tcPr>
                  <w:tcW w:w="2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C40907" w:rsidRDefault="00B53269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B53269">
              <w:trPr>
                <w:gridAfter w:val="1"/>
                <w:wAfter w:w="140" w:type="pct"/>
                <w:trHeight w:val="265"/>
              </w:trPr>
              <w:tc>
                <w:tcPr>
                  <w:tcW w:w="19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6F2467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č.ú.  </w:t>
                  </w:r>
                  <w:r w:rsidR="006F2467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2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6F246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B53269">
              <w:trPr>
                <w:gridAfter w:val="1"/>
                <w:wAfter w:w="140" w:type="pct"/>
                <w:trHeight w:val="480"/>
              </w:trPr>
              <w:tc>
                <w:tcPr>
                  <w:tcW w:w="486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BB65F5" w:rsidRDefault="00B53269" w:rsidP="007C0566">
                  <w:pPr>
                    <w:pStyle w:val="Zkladntext"/>
                    <w:spacing w:after="0" w:line="240" w:lineRule="auto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(plátce DPH, avšak při výkonu činnosti dle Vl. nařízení č. 96/1953 Sb. není osobou povinnou k dani podle ust. § 5 odst. 3 zák.č.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235/2004 Sb., o DPH)</w:t>
                  </w:r>
                </w:p>
              </w:tc>
            </w:tr>
            <w:tr w:rsidR="00B53269">
              <w:trPr>
                <w:gridAfter w:val="1"/>
                <w:wAfter w:w="140" w:type="pct"/>
                <w:trHeight w:val="275"/>
              </w:trPr>
              <w:tc>
                <w:tcPr>
                  <w:tcW w:w="19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BB65F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3733AD" w:rsidRDefault="00B53269" w:rsidP="00BB65F5">
                  <w:pPr>
                    <w:rPr>
                      <w:rFonts w:ascii="Calibri" w:hAnsi="Calibri" w:cs="Calibri"/>
                    </w:rPr>
                  </w:pPr>
                  <w:r w:rsidRPr="003733AD">
                    <w:rPr>
                      <w:rFonts w:ascii="Calibri" w:hAnsi="Calibri" w:cs="Calibri"/>
                      <w:sz w:val="22"/>
                      <w:szCs w:val="22"/>
                    </w:rPr>
                    <w:t>Ing. Václav Dvořák, ředitel ČHMÚ</w:t>
                  </w:r>
                </w:p>
              </w:tc>
            </w:tr>
            <w:tr w:rsidR="00B53269">
              <w:trPr>
                <w:gridAfter w:val="1"/>
                <w:wAfter w:w="140" w:type="pct"/>
                <w:trHeight w:val="275"/>
              </w:trPr>
              <w:tc>
                <w:tcPr>
                  <w:tcW w:w="19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BB65F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3733AD" w:rsidRDefault="00B53269" w:rsidP="00BB65F5">
                  <w:pPr>
                    <w:rPr>
                      <w:rFonts w:ascii="Calibri" w:hAnsi="Calibri" w:cs="Calibri"/>
                    </w:rPr>
                  </w:pPr>
                  <w:r w:rsidRPr="003733AD">
                    <w:rPr>
                      <w:rFonts w:ascii="Calibri" w:hAnsi="Calibri" w:cs="Calibri"/>
                      <w:sz w:val="22"/>
                      <w:szCs w:val="22"/>
                    </w:rPr>
                    <w:t>RNDr. Janem Macounem, Ph.D., náměstkem ředitele</w:t>
                  </w:r>
                </w:p>
              </w:tc>
            </w:tr>
            <w:tr w:rsidR="00B53269">
              <w:trPr>
                <w:gridAfter w:val="1"/>
                <w:wAfter w:w="140" w:type="pct"/>
                <w:trHeight w:val="293"/>
              </w:trPr>
              <w:tc>
                <w:tcPr>
                  <w:tcW w:w="19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 w:rsidRPr="00AA6C18">
                    <w:rPr>
                      <w:rFonts w:ascii="Calibri" w:hAnsi="Calibri" w:cs="Calibri"/>
                      <w:sz w:val="22"/>
                      <w:szCs w:val="22"/>
                    </w:rPr>
                    <w:t>Kontaktní osoba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k věcnému jednání a předání Dat, Produktů a Služeb</w:t>
                  </w:r>
                  <w:r w:rsidRPr="00AA6C18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3733AD" w:rsidRDefault="006F2467" w:rsidP="006F246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xxxxx</w:t>
                  </w:r>
                  <w:r w:rsidR="00B53269" w:rsidRPr="003733AD">
                    <w:rPr>
                      <w:rFonts w:ascii="Calibri" w:hAnsi="Calibri" w:cs="Calibri"/>
                      <w:sz w:val="22"/>
                      <w:szCs w:val="22"/>
                    </w:rPr>
                    <w:br/>
                  </w:r>
                  <w:r>
                    <w:t>xxxx</w:t>
                  </w:r>
                </w:p>
              </w:tc>
            </w:tr>
            <w:tr w:rsidR="00B53269">
              <w:trPr>
                <w:gridAfter w:val="1"/>
                <w:wAfter w:w="140" w:type="pct"/>
                <w:trHeight w:val="267"/>
              </w:trPr>
              <w:tc>
                <w:tcPr>
                  <w:tcW w:w="486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dále jen „</w:t>
                  </w:r>
                  <w:r w:rsidRPr="00CF6C1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</w:t>
                  </w:r>
                  <w:r w:rsidRPr="00BB65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oskytovatel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 w:cs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B53269">
              <w:trPr>
                <w:gridAfter w:val="4"/>
                <w:wAfter w:w="4491" w:type="pct"/>
                <w:trHeight w:val="413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</w:p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B53269">
              <w:trPr>
                <w:trHeight w:val="345"/>
              </w:trPr>
              <w:tc>
                <w:tcPr>
                  <w:tcW w:w="486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B53269" w:rsidRDefault="00B53269" w:rsidP="007C0566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B53269" w:rsidRPr="003733AD" w:rsidRDefault="00B53269" w:rsidP="007C0566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3733AD">
                    <w:rPr>
                      <w:rFonts w:ascii="Calibri" w:hAnsi="Calibri" w:cs="Calibri"/>
                      <w:b/>
                      <w:bCs/>
                    </w:rPr>
                    <w:t>EMPLA AG spol. s r.o.</w:t>
                  </w:r>
                </w:p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B53269">
              <w:trPr>
                <w:trHeight w:val="279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Škodovkou 305, 503 11 Hradec Králové</w:t>
                  </w:r>
                </w:p>
              </w:tc>
            </w:tr>
            <w:tr w:rsidR="00B53269">
              <w:trPr>
                <w:trHeight w:val="411"/>
              </w:trPr>
              <w:tc>
                <w:tcPr>
                  <w:tcW w:w="205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IČ: 259 96 240</w:t>
                  </w:r>
                </w:p>
              </w:tc>
              <w:tc>
                <w:tcPr>
                  <w:tcW w:w="29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CZ25 96 240</w:t>
                  </w:r>
                </w:p>
              </w:tc>
            </w:tr>
            <w:tr w:rsidR="00B53269">
              <w:trPr>
                <w:trHeight w:val="403"/>
              </w:trPr>
              <w:tc>
                <w:tcPr>
                  <w:tcW w:w="205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6F246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č.ú. </w:t>
                  </w:r>
                  <w:r w:rsidR="006F2467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29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6F2467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</w:t>
                  </w:r>
                </w:p>
              </w:tc>
            </w:tr>
            <w:tr w:rsidR="00B53269">
              <w:trPr>
                <w:trHeight w:val="435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B53269">
              <w:trPr>
                <w:trHeight w:val="435"/>
              </w:trPr>
              <w:tc>
                <w:tcPr>
                  <w:tcW w:w="205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9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Ing. Vladimír Plachý – jednatel </w:t>
                  </w:r>
                </w:p>
              </w:tc>
            </w:tr>
            <w:tr w:rsidR="00B53269">
              <w:trPr>
                <w:trHeight w:val="281"/>
              </w:trPr>
              <w:tc>
                <w:tcPr>
                  <w:tcW w:w="205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9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Ing. Vladimírem Plachým, jednatelem</w:t>
                  </w:r>
                </w:p>
              </w:tc>
            </w:tr>
            <w:tr w:rsidR="00B53269">
              <w:trPr>
                <w:trHeight w:val="273"/>
              </w:trPr>
              <w:tc>
                <w:tcPr>
                  <w:tcW w:w="205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 w:rsidRPr="00AA6C18">
                    <w:rPr>
                      <w:rFonts w:ascii="Calibri" w:hAnsi="Calibri" w:cs="Calibri"/>
                      <w:sz w:val="22"/>
                      <w:szCs w:val="22"/>
                    </w:rPr>
                    <w:t>Kontaktní osoba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k věcnému jednání a převzetí Dat, Produktů a Služeb</w:t>
                  </w:r>
                  <w:r w:rsidRPr="00AA6C18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Ing. Kamila Komárková,</w:t>
                  </w:r>
                </w:p>
                <w:p w:rsidR="00B53269" w:rsidRDefault="006F2467" w:rsidP="007C0566">
                  <w:pPr>
                    <w:rPr>
                      <w:rFonts w:ascii="Calibri" w:hAnsi="Calibri" w:cs="Calibri"/>
                    </w:rPr>
                  </w:pPr>
                  <w:r>
                    <w:t>xxxx</w:t>
                  </w:r>
                </w:p>
              </w:tc>
            </w:tr>
            <w:tr w:rsidR="00B53269">
              <w:trPr>
                <w:trHeight w:val="79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  <w:p w:rsidR="00B53269" w:rsidRDefault="00B53269" w:rsidP="007C0566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dále jen „</w:t>
                  </w:r>
                  <w:r w:rsidRPr="00070FA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Nabyvatel“</w:t>
                  </w:r>
                </w:p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B53269">
              <w:trPr>
                <w:trHeight w:val="133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Přílohy 1:</w:t>
                  </w:r>
                </w:p>
              </w:tc>
              <w:tc>
                <w:tcPr>
                  <w:tcW w:w="449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6F214E" w:rsidRDefault="00B53269" w:rsidP="007C0566">
                  <w:pPr>
                    <w:rPr>
                      <w:rFonts w:ascii="Calibri" w:hAnsi="Calibri" w:cs="Calibri"/>
                    </w:rPr>
                  </w:pP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SPECIFIKACE Dat, produktů a Služeb a způsobu jejich užití</w:t>
                  </w:r>
                </w:p>
              </w:tc>
            </w:tr>
            <w:tr w:rsidR="00B53269">
              <w:trPr>
                <w:trHeight w:val="133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Příloha 2:</w:t>
                  </w:r>
                </w:p>
              </w:tc>
              <w:tc>
                <w:tcPr>
                  <w:tcW w:w="449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266FB3" w:rsidRDefault="00B53269" w:rsidP="007C0566">
                  <w:pPr>
                    <w:rPr>
                      <w:rFonts w:ascii="Calibri" w:hAnsi="Calibri" w:cs="Calibri"/>
                      <w:caps/>
                    </w:rPr>
                  </w:pP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Vyčíslení ceny poskytnutých dat a produktů a ceny služeb</w:t>
                  </w:r>
                </w:p>
              </w:tc>
            </w:tr>
            <w:tr w:rsidR="00B53269">
              <w:trPr>
                <w:trHeight w:val="133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Ostatní:</w:t>
                  </w:r>
                </w:p>
              </w:tc>
              <w:tc>
                <w:tcPr>
                  <w:tcW w:w="449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6F214E" w:rsidRDefault="00B53269" w:rsidP="007C0566">
                  <w:pPr>
                    <w:rPr>
                      <w:rFonts w:ascii="Calibri" w:hAnsi="Calibri" w:cs="Calibri"/>
                      <w:caps/>
                    </w:rPr>
                  </w:pPr>
                </w:p>
              </w:tc>
            </w:tr>
            <w:tr w:rsidR="00B53269">
              <w:trPr>
                <w:trHeight w:val="1829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606E64" w:rsidRDefault="00B53269" w:rsidP="007C0566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B53269" w:rsidRPr="00606E64" w:rsidRDefault="00B53269" w:rsidP="007C0566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Poskytovatel na základě této nevýhradní </w:t>
                  </w:r>
                  <w:r w:rsidRPr="00606E64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Licenční smlouvy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pro poskytnutí dat a produktů ČHMÚ  pro koncové uživatele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Smlouva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“) poskytne Nabyvateli oprávnění užít Data, Produkty a Služby, jejichž specifikace a rozsah jsou obsahem této Smlouvy nebo mohou být uvedeny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samostatně jako přílohy a Nabyvatel se zavazuje</w:t>
                  </w:r>
                  <w:r w:rsidRPr="00606E64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za jejich poskytnutí uhradit sjednanou cenu.</w:t>
                  </w:r>
                </w:p>
              </w:tc>
            </w:tr>
            <w:tr w:rsidR="00B53269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606E64" w:rsidRDefault="00B53269" w:rsidP="007C0566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  <w:t>Podmínky užití, Cena</w:t>
                  </w:r>
                </w:p>
                <w:p w:rsidR="00B53269" w:rsidRPr="00606E64" w:rsidRDefault="00B53269" w:rsidP="007C0566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Nabyvatel souhlasí s obsahem, formou a způsobem dodání a poskytnutím Dat a Produktů, Služeb, které byly potvrzeny smluvními stranami prostřednictvím e-mailu, telefonu, faxu nebo osobně.</w:t>
                  </w:r>
                </w:p>
                <w:p w:rsidR="00B53269" w:rsidRPr="00606E64" w:rsidRDefault="00B53269" w:rsidP="007C0566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Osoba oprávněná k převzetí Dat, Produktů a Služeb na straně Nabyvatele je uvedena v záhlaví smlouvy, nebo může být odlišná, určí-li tak Nabyvatel.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jc w:val="both"/>
                  </w:pPr>
                  <w:r w:rsidRPr="00606E64">
                    <w:t>Poskytnutá Data, Produkty a Služby není oprávněn Nabyvatel užít k jiným účelům, než jak vymezuje tato Smlouva a je povinen při jejich užití dodržovat zákony České republiky, zejména zákon č. 121/2000 Sb., autorský zákon a zákon č. 89/2012 Sb., občanský zákoník a ustanovení této Smlouvy.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jc w:val="both"/>
                  </w:pPr>
                  <w:r w:rsidRPr="00606E64">
                    <w:t xml:space="preserve">Smluvní strany se dohodly, že za poskytnutí Dat, Produktů a Služeb uhradí Nabyvatel cenu, která je stanovena na částku: </w:t>
                  </w:r>
                  <w:r w:rsidRPr="00213661">
                    <w:t>24 800 Kč (slovy: dvacet čtyři tisíc osm set).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jc w:val="both"/>
                  </w:pPr>
                  <w:r w:rsidRPr="00606E64">
                    <w:t>Nabyvatel souhlasí s tím, že mu budou Data, Produkty a Služby poskytnuty ze strany Poskytovatele až po úplném zaplacení</w:t>
                  </w:r>
                  <w:r w:rsidRPr="00606E64">
                    <w:rPr>
                      <w:b/>
                      <w:bCs/>
                      <w:color w:val="FF0000"/>
                    </w:rPr>
                    <w:t xml:space="preserve"> </w:t>
                  </w:r>
                  <w:r w:rsidRPr="00606E64">
                    <w:t>ceny podle odst. 4 tohoto článku a to na základě faktury se splatností 30 dní od jejího vystavení nebo v hotovosti, pokud si tak smluvn</w:t>
                  </w:r>
                  <w:r>
                    <w:t>í strany takto stanoví.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jc w:val="both"/>
                  </w:pPr>
                  <w:r>
                    <w:t>V případě prodlení</w:t>
                  </w:r>
                  <w:r w:rsidRPr="00606E64">
                    <w:t xml:space="preserve"> úhrady sm</w:t>
                  </w:r>
                  <w:r>
                    <w:t>luvní ceny ze strany Nabyvatele</w:t>
                  </w:r>
                  <w:r w:rsidRPr="00606E64">
                    <w:t xml:space="preserve"> je oprávněn Poskytovatel od této Smlouvy odstoupit bez udání důvodu a to</w:t>
                  </w:r>
                  <w:r>
                    <w:t xml:space="preserve"> i tehdy, pokud</w:t>
                  </w:r>
                  <w:r w:rsidRPr="00606E64">
                    <w:t xml:space="preserve"> byla uhrazena pouze její část</w:t>
                  </w:r>
                  <w:r>
                    <w:t>.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jc w:val="both"/>
                  </w:pPr>
                  <w:r w:rsidRPr="0061263A">
                    <w:t xml:space="preserve">Nabyvatel </w:t>
                  </w:r>
                  <w:r>
                    <w:t xml:space="preserve">je oprávněn čerpat </w:t>
                  </w:r>
                  <w:r w:rsidRPr="00606E64">
                    <w:t>Dat</w:t>
                  </w:r>
                  <w:r>
                    <w:t>a</w:t>
                  </w:r>
                  <w:r w:rsidRPr="00606E64">
                    <w:t>, Produkt</w:t>
                  </w:r>
                  <w:r>
                    <w:t>y</w:t>
                  </w:r>
                  <w:r w:rsidRPr="00606E64">
                    <w:t xml:space="preserve"> a Služb</w:t>
                  </w:r>
                  <w:r>
                    <w:t>y</w:t>
                  </w:r>
                  <w:r w:rsidRPr="00606E64">
                    <w:t xml:space="preserve"> </w:t>
                  </w:r>
                  <w:r>
                    <w:t xml:space="preserve">(viz Příloha 1) po uhrazení </w:t>
                  </w:r>
                  <w:r w:rsidRPr="00606E64">
                    <w:t>sjednan</w:t>
                  </w:r>
                  <w:r>
                    <w:t>é</w:t>
                  </w:r>
                  <w:r w:rsidRPr="00606E64">
                    <w:t xml:space="preserve"> cen</w:t>
                  </w:r>
                  <w:r>
                    <w:t>y</w:t>
                  </w:r>
                  <w:r w:rsidRPr="00606E64">
                    <w:t xml:space="preserve"> podle článku II. odst. 4</w:t>
                  </w:r>
                  <w:r>
                    <w:t xml:space="preserve"> a to po dobu 365 dnů od uzavření smlouvy. 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jc w:val="both"/>
                  </w:pPr>
                  <w:r w:rsidRPr="00606E64">
                    <w:t xml:space="preserve">Způsob předání Dat, Produktů a Služeb Nabyvateli nastane ze strany Poskytovatele na základě předem </w:t>
                  </w:r>
                  <w:r w:rsidRPr="00365F70">
                    <w:t xml:space="preserve">dohodnutého způsobu </w:t>
                  </w:r>
                  <w:r w:rsidRPr="00A60484">
                    <w:t>odesláním přes ulozto.chmi.cz</w:t>
                  </w:r>
                  <w:r w:rsidRPr="00365F70">
                    <w:t>. V případě nepřevzetí předmětu Smlouvy ze strany Nabyvatele, nebude již předmět Smlouvy opakovaně</w:t>
                  </w:r>
                  <w:r>
                    <w:t xml:space="preserve"> doručován</w:t>
                  </w:r>
                  <w:r w:rsidRPr="00606E64">
                    <w:t xml:space="preserve"> ze strany Poskytovatele a </w:t>
                  </w:r>
                  <w:r>
                    <w:t>sdělení o nepřevzetí není založené povinností oznámení Nabyvateli. Dále nepřevzetí předmětu Smlouvy</w:t>
                  </w:r>
                  <w:r w:rsidRPr="00606E64">
                    <w:t xml:space="preserve"> nezakládá </w:t>
                  </w:r>
                  <w:r w:rsidRPr="00606E64">
                    <w:rPr>
                      <w:lang w:eastAsia="cs-CZ"/>
                    </w:rPr>
                    <w:t>právo Nabyvateli požadovat po Poskytovateli vrácení již uhrazené celkové ceny dle odst. 4 tohoto článku této Smlouvy.</w:t>
                  </w:r>
                </w:p>
              </w:tc>
            </w:tr>
            <w:tr w:rsidR="00B53269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213661" w:rsidRDefault="00B53269" w:rsidP="007C0566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</w:pPr>
                  <w:r w:rsidRPr="00213661"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  <w:t>Ostatní ujednání</w:t>
                  </w:r>
                  <w:r w:rsidRPr="0021366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B53269" w:rsidRPr="00606E64" w:rsidRDefault="00B53269" w:rsidP="007C0566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Data, Produkty a Služby na základě této Smlouvy a Nabyvatel je oprávněn je v daném rozsahu užít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 ne však ke komerčním účelům.</w:t>
                  </w:r>
                  <w:r w:rsidDel="00A03F0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B53269" w:rsidRPr="00606E64" w:rsidRDefault="00B53269" w:rsidP="007C0566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Nabyvatel a třetí osoby nesmí bez souhlasu Poskytovatele provádět jakékoliv změny na předmětu Smlouvy a využívat Data, Produkty a Služby bez předchozího souhlasu Poskytovatele.</w:t>
                  </w:r>
                </w:p>
                <w:p w:rsidR="00B53269" w:rsidRPr="00606E64" w:rsidRDefault="00B53269" w:rsidP="007C0566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Nabyvatel při nakládání s Daty, Produkty a Službami poruší ustanovení této Smlouvy,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bere tímto na vědomí, že Poskytovateli vzniká nárok požadovat po Nabyvateli úhradu vzniklé škody a vydání bezdůvodného obohacení, které tímto jednáním vzniklo.   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jc w:val="both"/>
                  </w:pPr>
                  <w:r w:rsidRPr="00606E64">
                    <w:t>Poskytovatel nenese jakoukoliv odpovědnost za použití Dat, Produktů a Služeb, které budou ze strany Nabyvatele a třetích osob užity, zpracovány, reprodukovány a rozšiřovány a to jakýmkoliv způsobem a formou a nezodpovídá za vzniklou škodu, na kterou se Nabyvatel a třetí osoby mohou dovolávat ve vztahu k předm</w:t>
                  </w:r>
                  <w:r>
                    <w:t>ětu Smlouvy</w:t>
                  </w:r>
                  <w:r w:rsidRPr="00606E64">
                    <w:t xml:space="preserve"> a to i v případě, pokud k užití jim byl dán souhlas. </w:t>
                  </w:r>
                </w:p>
              </w:tc>
            </w:tr>
            <w:tr w:rsidR="00B53269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606E64" w:rsidRDefault="00B53269" w:rsidP="007C0566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  <w:lastRenderedPageBreak/>
                    <w:t>Platnost a účinnost Smlouvy</w:t>
                  </w:r>
                </w:p>
                <w:p w:rsidR="00B53269" w:rsidRPr="00606E64" w:rsidRDefault="00B53269" w:rsidP="007C0566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nabývá platnosti a účinnosti dnem podpisu smluvních stran.</w:t>
                  </w:r>
                </w:p>
                <w:p w:rsidR="00B53269" w:rsidRPr="00606E64" w:rsidRDefault="00B53269" w:rsidP="007C0566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V případě, že Nabyvatel neuhradí sjednanou cenu za poskytnutá Data podle článku II. odst. 4, Smlouva tímto zaniká. </w:t>
                  </w:r>
                </w:p>
              </w:tc>
            </w:tr>
            <w:tr w:rsidR="00B53269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Pr="00606E64" w:rsidRDefault="00B53269" w:rsidP="007C0566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B53269" w:rsidRPr="00606E64" w:rsidRDefault="00B53269" w:rsidP="007C0566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je uzavřena ve dvou vyhotoveních s platností originálu, po jednom stejnopise pro každou ze smluvních stran. </w:t>
                  </w:r>
                </w:p>
                <w:p w:rsidR="00B53269" w:rsidRPr="00606E64" w:rsidRDefault="00B53269" w:rsidP="007C0566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jc w:val="both"/>
                  </w:pPr>
                  <w:r w:rsidRPr="00606E64">
                    <w:t>Poskytovatel je na základě zákona č. 340/2015 Sb.</w:t>
                  </w:r>
                  <w:r>
                    <w:t>,</w:t>
                  </w:r>
                  <w:r w:rsidRPr="00606E64">
                    <w:t xml:space="preserve"> o registru smluv povinným subjektem bez ohledu na rozhodné právo Smlouvy a zveřejní obsah této Smlouvy, příloh v Registru smluv podle § 5 i s tím, že na určité části obsahu textu </w:t>
                  </w:r>
                  <w:r>
                    <w:t>provede</w:t>
                  </w:r>
                  <w:r w:rsidRPr="00606E64">
                    <w:t xml:space="preserve"> dle ustanovení § 3 anonymizaci. </w:t>
                  </w:r>
                </w:p>
                <w:p w:rsidR="00B53269" w:rsidRPr="00606E64" w:rsidRDefault="00B53269" w:rsidP="007C0566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53269" w:rsidRPr="00606E64" w:rsidRDefault="00B53269" w:rsidP="007C0566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B53269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269" w:rsidRDefault="00B53269" w:rsidP="007C0566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bCs/>
                      <w:caps/>
                      <w:sz w:val="22"/>
                      <w:szCs w:val="22"/>
                    </w:rPr>
                  </w:pPr>
                </w:p>
                <w:p w:rsidR="00B53269" w:rsidRDefault="00B53269" w:rsidP="007C0566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 ___________, dne _____._____.__                            V ___________, dne _____._____.__</w:t>
                  </w:r>
                </w:p>
                <w:p w:rsidR="00B53269" w:rsidRDefault="00B53269" w:rsidP="007C0566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53269" w:rsidRDefault="00B53269" w:rsidP="007C0566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B53269" w:rsidRDefault="00B53269" w:rsidP="007C056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:rsidR="00B53269" w:rsidRDefault="00B53269" w:rsidP="007C0566">
                  <w:pPr>
                    <w:rPr>
                      <w:rFonts w:ascii="Calibri" w:hAnsi="Calibri" w:cs="Calibri"/>
                      <w:b/>
                      <w:bCs/>
                      <w:caps/>
                    </w:rPr>
                  </w:pPr>
                </w:p>
              </w:tc>
            </w:tr>
          </w:tbl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br w:type="page"/>
            </w: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spacing w:after="120"/>
              <w:rPr>
                <w:rFonts w:ascii="Calibri" w:hAnsi="Calibri" w:cs="Calibri"/>
                <w:b/>
                <w:bCs/>
                <w:caps/>
              </w:rPr>
            </w:pPr>
          </w:p>
          <w:p w:rsidR="00B53269" w:rsidRPr="00DB7AA4" w:rsidRDefault="00B53269" w:rsidP="00CF6C1D">
            <w:pPr>
              <w:pageBreakBefore/>
              <w:spacing w:after="120"/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Příloha 1 – SPECIFIKACE Dat,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produktů a </w:t>
            </w: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Služeb a způsobu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jejich </w:t>
            </w: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užití</w:t>
            </w:r>
          </w:p>
          <w:p w:rsidR="00B53269" w:rsidRPr="00DB7AA4" w:rsidRDefault="00B53269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B53269" w:rsidRPr="00537735" w:rsidRDefault="00B53269" w:rsidP="00757494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>Předplatné 5 stabilitně členěných větrných růžic. Nebude-li nabyvatelem požadováno jinak, budou růžice odpovídat 5letí shodnému s nejnovějšími mapami 5letých průměrných koncentrací zveřejněných na webu ČHMÚ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budou dodány ve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stabilitní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dělení Bubník-Koldovský.</w:t>
            </w:r>
          </w:p>
          <w:p w:rsidR="00B53269" w:rsidRPr="00DB7AA4" w:rsidRDefault="00B53269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B53269" w:rsidRPr="00CF6C1D" w:rsidRDefault="00B53269" w:rsidP="00D00103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Nabyvatel je oprávněn užít Data a Produkty poskytnuté na základě této smlouvy pouze pro vlastní potřebu a není oprávněn postoupit je ke komerčnímu užití třetím osobám a to ani v rámci části své podnikatelské činnosti, která teprve vznikne. </w:t>
            </w:r>
          </w:p>
          <w:p w:rsidR="00B53269" w:rsidRPr="00CF6C1D" w:rsidRDefault="00B53269" w:rsidP="00D00103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Zveřejnění úplných větrných růžic v tabelární či grafické podobě v technické dokumentaci Nabyvatelem provedených zakázek, k jejichž zpracování byla větrná růžice použita, není v rozporu s tímto ustanovením.</w:t>
            </w:r>
          </w:p>
          <w:p w:rsidR="00B53269" w:rsidRPr="00CF6C1D" w:rsidRDefault="00B53269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B53269" w:rsidRPr="00CF6C1D" w:rsidDel="00F94F50" w:rsidRDefault="00B53269" w:rsidP="00F94F50">
            <w:pPr>
              <w:pStyle w:val="Odstavecseseznamem"/>
              <w:numPr>
                <w:ilvl w:val="1"/>
                <w:numId w:val="19"/>
              </w:numPr>
              <w:spacing w:after="120" w:line="280" w:lineRule="atLeast"/>
              <w:ind w:left="1434" w:hanging="357"/>
              <w:jc w:val="both"/>
            </w:pPr>
            <w:r w:rsidRPr="00CF6C1D">
              <w:t>Větrná růžice smí být uvedena v technické dokumentaci pouze se všemi náležitostmi (zejména musí být uveden zpracovatel větrné růžice,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B53269" w:rsidRPr="00737D64" w:rsidRDefault="00B53269" w:rsidP="00757494">
            <w:pPr>
              <w:spacing w:after="120"/>
              <w:ind w:left="21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:rsidR="00B53269" w:rsidRDefault="00B53269" w:rsidP="00757494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br w:type="page"/>
            </w:r>
          </w:p>
          <w:p w:rsidR="00B53269" w:rsidRDefault="00B53269" w:rsidP="00757494">
            <w:pPr>
              <w:rPr>
                <w:rFonts w:ascii="Calibri" w:hAnsi="Calibri" w:cs="Calibri"/>
                <w:b/>
                <w:bCs/>
                <w:caps/>
              </w:rPr>
            </w:pPr>
          </w:p>
          <w:p w:rsidR="00B53269" w:rsidRDefault="00B53269" w:rsidP="00757494">
            <w:pPr>
              <w:rPr>
                <w:rFonts w:ascii="Calibri" w:hAnsi="Calibri" w:cs="Calibri"/>
                <w:b/>
                <w:bCs/>
                <w:caps/>
              </w:rPr>
            </w:pPr>
          </w:p>
          <w:p w:rsidR="00B53269" w:rsidRPr="00DB7AA4" w:rsidRDefault="00B53269" w:rsidP="00757494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poskytnutých dat a produktů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a ceny služeb</w:t>
            </w:r>
          </w:p>
          <w:p w:rsidR="00B53269" w:rsidRPr="00DB7AA4" w:rsidRDefault="00B53269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B53269" w:rsidRPr="00DB7AA4" w:rsidRDefault="00B53269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B53269" w:rsidRDefault="00B53269" w:rsidP="00757494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>CENY DAT A PRODUKTŮ A SLUŽEB</w:t>
            </w:r>
          </w:p>
          <w:p w:rsidR="00B53269" w:rsidRPr="001C6E90" w:rsidRDefault="00B53269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6F2467">
              <w:rPr>
                <w:rFonts w:ascii="Calibri" w:hAnsi="Calibri" w:cs="Calibri"/>
                <w:i/>
                <w:iCs/>
                <w:sz w:val="22"/>
                <w:szCs w:val="22"/>
              </w:rPr>
              <w:t>xxx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B53269" w:rsidRPr="001C6E90" w:rsidRDefault="00B53269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Kč</w:t>
            </w:r>
          </w:p>
          <w:p w:rsidR="00B53269" w:rsidRPr="000552DE" w:rsidRDefault="00B53269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6F246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xxxx </w:t>
            </w:r>
            <w:r w:rsidRPr="00AA313B">
              <w:rPr>
                <w:rFonts w:ascii="Calibri" w:hAnsi="Calibri" w:cs="Calibri"/>
                <w:sz w:val="22"/>
                <w:szCs w:val="22"/>
              </w:rPr>
              <w:t>Kč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B53269" w:rsidRPr="00C760DF" w:rsidRDefault="00B53269" w:rsidP="00757494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B53269" w:rsidRPr="001012F5" w:rsidRDefault="00B53269" w:rsidP="00757494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B53269" w:rsidRPr="001C6E90" w:rsidRDefault="00B53269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Na předplatné 5 větrných růžic se vztahuje sleva</w:t>
            </w:r>
            <w:r w:rsidR="006F246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xxx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%.</w:t>
            </w:r>
          </w:p>
          <w:p w:rsidR="00B53269" w:rsidRDefault="00B53269" w:rsidP="00EB0F83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1012F5">
              <w:rPr>
                <w:rFonts w:ascii="Calibri" w:hAnsi="Calibri" w:cs="Calibri"/>
                <w:sz w:val="22"/>
                <w:szCs w:val="22"/>
              </w:rPr>
              <w:t xml:space="preserve">Souhrnná cena </w:t>
            </w:r>
            <w:r>
              <w:rPr>
                <w:rFonts w:ascii="Calibri" w:hAnsi="Calibri" w:cs="Calibri"/>
                <w:sz w:val="22"/>
                <w:szCs w:val="22"/>
              </w:rPr>
              <w:t>Dat a Produktů a Služeb poskytovaných touto smlouvou činí po slevě 24 </w:t>
            </w:r>
            <w:r w:rsidRPr="007127A4">
              <w:rPr>
                <w:rFonts w:ascii="Calibri" w:hAnsi="Calibri" w:cs="Calibri"/>
                <w:sz w:val="22"/>
                <w:szCs w:val="22"/>
              </w:rPr>
              <w:t>800 Kč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B53269" w:rsidRPr="0088597D" w:rsidRDefault="00B53269" w:rsidP="0024213A">
      <w:pPr>
        <w:rPr>
          <w:rFonts w:ascii="Calibri" w:hAnsi="Calibri" w:cs="Calibri"/>
          <w:sz w:val="22"/>
          <w:szCs w:val="22"/>
        </w:rPr>
      </w:pPr>
    </w:p>
    <w:sectPr w:rsidR="00B53269" w:rsidRPr="0088597D" w:rsidSect="00AD3C78">
      <w:headerReference w:type="default" r:id="rId7"/>
      <w:footerReference w:type="default" r:id="rId8"/>
      <w:headerReference w:type="first" r:id="rId9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5E" w:rsidRDefault="00465D5E">
      <w:r>
        <w:separator/>
      </w:r>
    </w:p>
  </w:endnote>
  <w:endnote w:type="continuationSeparator" w:id="0">
    <w:p w:rsidR="00465D5E" w:rsidRDefault="0046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67" w:rsidRPr="00441870" w:rsidRDefault="006F2467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bCs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color w:val="A6A6A6"/>
        <w:sz w:val="16"/>
        <w:szCs w:val="16"/>
      </w:rPr>
      <w:t>4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bCs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color w:val="A6A6A6"/>
        <w:sz w:val="16"/>
        <w:szCs w:val="16"/>
      </w:rPr>
      <w:t>4</w:t>
    </w:r>
    <w:r w:rsidRPr="00441870">
      <w:rPr>
        <w:rFonts w:ascii="Arial" w:hAnsi="Arial" w:cs="Arial"/>
        <w:b/>
        <w:bCs/>
        <w:color w:val="A6A6A6"/>
        <w:sz w:val="16"/>
        <w:szCs w:val="16"/>
      </w:rPr>
      <w:fldChar w:fldCharType="end"/>
    </w:r>
  </w:p>
  <w:p w:rsidR="006F2467" w:rsidRPr="00600031" w:rsidRDefault="006F2467" w:rsidP="006000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5E" w:rsidRDefault="00465D5E">
      <w:r>
        <w:separator/>
      </w:r>
    </w:p>
  </w:footnote>
  <w:footnote w:type="continuationSeparator" w:id="0">
    <w:p w:rsidR="00465D5E" w:rsidRDefault="00465D5E">
      <w:r>
        <w:continuationSeparator/>
      </w:r>
    </w:p>
  </w:footnote>
  <w:footnote w:id="1">
    <w:p w:rsidR="006F2467" w:rsidRDefault="006F2467">
      <w:pPr>
        <w:pStyle w:val="Textpoznpodarou"/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i/>
          <w:iCs/>
          <w:sz w:val="16"/>
          <w:szCs w:val="16"/>
        </w:rPr>
        <w:t>pořizovatel databáze</w:t>
      </w:r>
      <w:r w:rsidRPr="00BB65F5">
        <w:rPr>
          <w:sz w:val="16"/>
          <w:szCs w:val="16"/>
        </w:rPr>
        <w:t>“ na základě ustanovení § 89 zákona č. 121/2000 Sb., autorský zákon a  současně i jako „</w:t>
      </w:r>
      <w:r w:rsidRPr="00BB65F5">
        <w:rPr>
          <w:i/>
          <w:iCs/>
          <w:sz w:val="16"/>
          <w:szCs w:val="16"/>
        </w:rPr>
        <w:t>autor</w:t>
      </w:r>
      <w:r w:rsidRPr="00BB65F5">
        <w:rPr>
          <w:sz w:val="16"/>
          <w:szCs w:val="16"/>
        </w:rPr>
        <w:t>“ v souvislosti s úpravou licenční smlouvy ve smyslu § 5 a násl. cit. autorského zákona ve spojení s ustanovením  § 2 358 a násl. zákona č. 89/2012 Sb., občanský zákoník.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67" w:rsidRPr="00C945F5" w:rsidRDefault="006F2467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67" w:rsidRDefault="000631E7" w:rsidP="00C41A0A">
    <w:pPr>
      <w:pStyle w:val="Header1"/>
      <w:tabs>
        <w:tab w:val="clear" w:pos="9072"/>
        <w:tab w:val="right" w:pos="8885"/>
      </w:tabs>
      <w:ind w:left="4668" w:firstLine="1286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19050" t="0" r="2540" b="0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2467">
      <w:rPr>
        <w:rFonts w:ascii="Calibri" w:hAnsi="Calibri" w:cs="Calibri"/>
        <w:color w:val="auto"/>
        <w:sz w:val="24"/>
        <w:szCs w:val="24"/>
      </w:rPr>
      <w:t>Číslo smlouvy:</w:t>
    </w:r>
  </w:p>
  <w:p w:rsidR="006F2467" w:rsidRPr="00D70416" w:rsidRDefault="006F2467" w:rsidP="00C41A0A">
    <w:pPr>
      <w:pStyle w:val="Header1"/>
      <w:tabs>
        <w:tab w:val="clear" w:pos="9072"/>
        <w:tab w:val="right" w:pos="8885"/>
      </w:tabs>
      <w:ind w:left="4668" w:firstLine="1286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>Číslo smlouvy ČHMÚ: 4000/62/2017</w:t>
    </w:r>
  </w:p>
  <w:p w:rsidR="006F2467" w:rsidRDefault="000631E7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19050" t="0" r="0" b="0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bCs/>
        <w:i/>
        <w:iCs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  <w:b w:val="0"/>
        <w:bCs w:val="0"/>
        <w:i/>
        <w:iCs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172" w:hanging="360"/>
      </w:pPr>
    </w:lvl>
    <w:lvl w:ilvl="2" w:tplc="0405001B">
      <w:start w:val="1"/>
      <w:numFmt w:val="lowerRoman"/>
      <w:lvlText w:val="%3."/>
      <w:lvlJc w:val="right"/>
      <w:pPr>
        <w:ind w:left="2892" w:hanging="180"/>
      </w:pPr>
    </w:lvl>
    <w:lvl w:ilvl="3" w:tplc="0405000F">
      <w:start w:val="1"/>
      <w:numFmt w:val="decimal"/>
      <w:lvlText w:val="%4."/>
      <w:lvlJc w:val="left"/>
      <w:pPr>
        <w:ind w:left="3612" w:hanging="360"/>
      </w:pPr>
    </w:lvl>
    <w:lvl w:ilvl="4" w:tplc="04050019">
      <w:start w:val="1"/>
      <w:numFmt w:val="lowerLetter"/>
      <w:lvlText w:val="%5."/>
      <w:lvlJc w:val="left"/>
      <w:pPr>
        <w:ind w:left="4332" w:hanging="360"/>
      </w:pPr>
    </w:lvl>
    <w:lvl w:ilvl="5" w:tplc="0405001B">
      <w:start w:val="1"/>
      <w:numFmt w:val="lowerRoman"/>
      <w:lvlText w:val="%6."/>
      <w:lvlJc w:val="right"/>
      <w:pPr>
        <w:ind w:left="5052" w:hanging="180"/>
      </w:pPr>
    </w:lvl>
    <w:lvl w:ilvl="6" w:tplc="0405000F">
      <w:start w:val="1"/>
      <w:numFmt w:val="decimal"/>
      <w:lvlText w:val="%7."/>
      <w:lvlJc w:val="left"/>
      <w:pPr>
        <w:ind w:left="5772" w:hanging="360"/>
      </w:pPr>
    </w:lvl>
    <w:lvl w:ilvl="7" w:tplc="04050019">
      <w:start w:val="1"/>
      <w:numFmt w:val="lowerLetter"/>
      <w:lvlText w:val="%8."/>
      <w:lvlJc w:val="left"/>
      <w:pPr>
        <w:ind w:left="6492" w:hanging="360"/>
      </w:pPr>
    </w:lvl>
    <w:lvl w:ilvl="8" w:tplc="0405001B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74A3F"/>
    <w:rsid w:val="00010C7C"/>
    <w:rsid w:val="00012793"/>
    <w:rsid w:val="000424DA"/>
    <w:rsid w:val="00050CDB"/>
    <w:rsid w:val="000519FC"/>
    <w:rsid w:val="000552DE"/>
    <w:rsid w:val="000620C0"/>
    <w:rsid w:val="000631E7"/>
    <w:rsid w:val="00070FAF"/>
    <w:rsid w:val="001012F5"/>
    <w:rsid w:val="0011666F"/>
    <w:rsid w:val="00136ECF"/>
    <w:rsid w:val="001678EE"/>
    <w:rsid w:val="00183855"/>
    <w:rsid w:val="00196F33"/>
    <w:rsid w:val="001A35B3"/>
    <w:rsid w:val="001A4605"/>
    <w:rsid w:val="001C58A4"/>
    <w:rsid w:val="001C6E90"/>
    <w:rsid w:val="001E1391"/>
    <w:rsid w:val="00211C23"/>
    <w:rsid w:val="00213661"/>
    <w:rsid w:val="002358D2"/>
    <w:rsid w:val="0024213A"/>
    <w:rsid w:val="002453FE"/>
    <w:rsid w:val="00266FB3"/>
    <w:rsid w:val="00267D58"/>
    <w:rsid w:val="00291920"/>
    <w:rsid w:val="002A1DF2"/>
    <w:rsid w:val="002C09BA"/>
    <w:rsid w:val="002D106B"/>
    <w:rsid w:val="002E2E34"/>
    <w:rsid w:val="0030150D"/>
    <w:rsid w:val="00326491"/>
    <w:rsid w:val="0035359F"/>
    <w:rsid w:val="00355139"/>
    <w:rsid w:val="00365F70"/>
    <w:rsid w:val="003731C2"/>
    <w:rsid w:val="003733AD"/>
    <w:rsid w:val="00381F02"/>
    <w:rsid w:val="0038388E"/>
    <w:rsid w:val="003D0950"/>
    <w:rsid w:val="003D73EA"/>
    <w:rsid w:val="00410B6A"/>
    <w:rsid w:val="0041791E"/>
    <w:rsid w:val="00440B45"/>
    <w:rsid w:val="00441870"/>
    <w:rsid w:val="00465D5E"/>
    <w:rsid w:val="00480537"/>
    <w:rsid w:val="00487F45"/>
    <w:rsid w:val="00497065"/>
    <w:rsid w:val="004D1CDA"/>
    <w:rsid w:val="004E433E"/>
    <w:rsid w:val="004E6E1D"/>
    <w:rsid w:val="004F58C9"/>
    <w:rsid w:val="004F6D54"/>
    <w:rsid w:val="0050190E"/>
    <w:rsid w:val="005102FD"/>
    <w:rsid w:val="00520BB6"/>
    <w:rsid w:val="00536618"/>
    <w:rsid w:val="0053750B"/>
    <w:rsid w:val="00537735"/>
    <w:rsid w:val="005810F0"/>
    <w:rsid w:val="005B4DF7"/>
    <w:rsid w:val="00600031"/>
    <w:rsid w:val="00606E64"/>
    <w:rsid w:val="0061158F"/>
    <w:rsid w:val="0061263A"/>
    <w:rsid w:val="0064745D"/>
    <w:rsid w:val="006579CF"/>
    <w:rsid w:val="00691CF1"/>
    <w:rsid w:val="00692FC8"/>
    <w:rsid w:val="00695EFE"/>
    <w:rsid w:val="006A48EB"/>
    <w:rsid w:val="006C1603"/>
    <w:rsid w:val="006C199D"/>
    <w:rsid w:val="006D2169"/>
    <w:rsid w:val="006F214E"/>
    <w:rsid w:val="006F2467"/>
    <w:rsid w:val="007127A4"/>
    <w:rsid w:val="00731173"/>
    <w:rsid w:val="00737D64"/>
    <w:rsid w:val="00744831"/>
    <w:rsid w:val="00757494"/>
    <w:rsid w:val="0076774E"/>
    <w:rsid w:val="007C0566"/>
    <w:rsid w:val="007C4DBE"/>
    <w:rsid w:val="007D3A0E"/>
    <w:rsid w:val="007E723F"/>
    <w:rsid w:val="007F0EBF"/>
    <w:rsid w:val="007F3404"/>
    <w:rsid w:val="00802366"/>
    <w:rsid w:val="008047CF"/>
    <w:rsid w:val="00812DF9"/>
    <w:rsid w:val="008165AE"/>
    <w:rsid w:val="0083263F"/>
    <w:rsid w:val="0083468E"/>
    <w:rsid w:val="008614B4"/>
    <w:rsid w:val="00873681"/>
    <w:rsid w:val="0088597D"/>
    <w:rsid w:val="00893020"/>
    <w:rsid w:val="00894133"/>
    <w:rsid w:val="008B1105"/>
    <w:rsid w:val="008D323B"/>
    <w:rsid w:val="00914A9E"/>
    <w:rsid w:val="009272C6"/>
    <w:rsid w:val="0093009B"/>
    <w:rsid w:val="009423E0"/>
    <w:rsid w:val="0098027A"/>
    <w:rsid w:val="009974D4"/>
    <w:rsid w:val="009B2B89"/>
    <w:rsid w:val="009B6D48"/>
    <w:rsid w:val="009B7B7A"/>
    <w:rsid w:val="009F5131"/>
    <w:rsid w:val="009F547F"/>
    <w:rsid w:val="009F63F5"/>
    <w:rsid w:val="00A03F02"/>
    <w:rsid w:val="00A23627"/>
    <w:rsid w:val="00A240C1"/>
    <w:rsid w:val="00A2706C"/>
    <w:rsid w:val="00A36151"/>
    <w:rsid w:val="00A43465"/>
    <w:rsid w:val="00A460AC"/>
    <w:rsid w:val="00A5033D"/>
    <w:rsid w:val="00A60484"/>
    <w:rsid w:val="00A616FD"/>
    <w:rsid w:val="00A97C4A"/>
    <w:rsid w:val="00AA2350"/>
    <w:rsid w:val="00AA313B"/>
    <w:rsid w:val="00AA6C18"/>
    <w:rsid w:val="00AA7A1D"/>
    <w:rsid w:val="00AC2BCA"/>
    <w:rsid w:val="00AD3C78"/>
    <w:rsid w:val="00B21A74"/>
    <w:rsid w:val="00B45212"/>
    <w:rsid w:val="00B53269"/>
    <w:rsid w:val="00B54F40"/>
    <w:rsid w:val="00B562AB"/>
    <w:rsid w:val="00B70A7B"/>
    <w:rsid w:val="00B7153F"/>
    <w:rsid w:val="00B73B20"/>
    <w:rsid w:val="00B75877"/>
    <w:rsid w:val="00B7593F"/>
    <w:rsid w:val="00BA191B"/>
    <w:rsid w:val="00BB65F5"/>
    <w:rsid w:val="00BE371D"/>
    <w:rsid w:val="00BE6AC8"/>
    <w:rsid w:val="00C078BC"/>
    <w:rsid w:val="00C13633"/>
    <w:rsid w:val="00C35B30"/>
    <w:rsid w:val="00C40907"/>
    <w:rsid w:val="00C41A0A"/>
    <w:rsid w:val="00C516BB"/>
    <w:rsid w:val="00C75307"/>
    <w:rsid w:val="00C760DF"/>
    <w:rsid w:val="00C82F2A"/>
    <w:rsid w:val="00C945F5"/>
    <w:rsid w:val="00CA4FB9"/>
    <w:rsid w:val="00CF6C1D"/>
    <w:rsid w:val="00D00103"/>
    <w:rsid w:val="00D300C7"/>
    <w:rsid w:val="00D444EF"/>
    <w:rsid w:val="00D45D0D"/>
    <w:rsid w:val="00D56479"/>
    <w:rsid w:val="00D603CD"/>
    <w:rsid w:val="00D64344"/>
    <w:rsid w:val="00D70416"/>
    <w:rsid w:val="00D74A3F"/>
    <w:rsid w:val="00D771AD"/>
    <w:rsid w:val="00D97787"/>
    <w:rsid w:val="00DA5707"/>
    <w:rsid w:val="00DB7AA4"/>
    <w:rsid w:val="00DC16E3"/>
    <w:rsid w:val="00DE2081"/>
    <w:rsid w:val="00DE234D"/>
    <w:rsid w:val="00DE6A23"/>
    <w:rsid w:val="00E00FA6"/>
    <w:rsid w:val="00E14C85"/>
    <w:rsid w:val="00E275E6"/>
    <w:rsid w:val="00E371BC"/>
    <w:rsid w:val="00E47BC1"/>
    <w:rsid w:val="00E7213F"/>
    <w:rsid w:val="00E76649"/>
    <w:rsid w:val="00E853FA"/>
    <w:rsid w:val="00E8700F"/>
    <w:rsid w:val="00EA28C7"/>
    <w:rsid w:val="00EB0F83"/>
    <w:rsid w:val="00EC1606"/>
    <w:rsid w:val="00EE0634"/>
    <w:rsid w:val="00EE562D"/>
    <w:rsid w:val="00EF7A70"/>
    <w:rsid w:val="00F80FBB"/>
    <w:rsid w:val="00F849D5"/>
    <w:rsid w:val="00F94F50"/>
    <w:rsid w:val="00F97A18"/>
    <w:rsid w:val="00FA4D15"/>
    <w:rsid w:val="00FB23C2"/>
    <w:rsid w:val="00FF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75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275E6"/>
    <w:pPr>
      <w:keepNext/>
      <w:numPr>
        <w:numId w:val="2"/>
      </w:numPr>
      <w:jc w:val="both"/>
      <w:outlineLvl w:val="0"/>
    </w:pPr>
    <w:rPr>
      <w:b/>
      <w:bCs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7213F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0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10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10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10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10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1016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101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101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1016"/>
    <w:rPr>
      <w:rFonts w:asciiTheme="majorHAnsi" w:eastAsiaTheme="majorEastAsia" w:hAnsiTheme="majorHAnsi" w:cstheme="majorBidi"/>
    </w:rPr>
  </w:style>
  <w:style w:type="table" w:styleId="Mkatabulky">
    <w:name w:val="Table Grid"/>
    <w:basedOn w:val="Normlntabulka"/>
    <w:uiPriority w:val="99"/>
    <w:rsid w:val="00440B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uiPriority w:val="99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i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D3C78"/>
    <w:rPr>
      <w:i/>
      <w:iCs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i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600031"/>
    <w:rPr>
      <w:i/>
      <w:iCs/>
    </w:rPr>
  </w:style>
  <w:style w:type="character" w:styleId="slostrnky">
    <w:name w:val="page number"/>
    <w:basedOn w:val="Standardnpsmoodstavce"/>
    <w:uiPriority w:val="99"/>
    <w:rsid w:val="00E275E6"/>
    <w:rPr>
      <w:rFonts w:ascii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914A9E"/>
  </w:style>
  <w:style w:type="paragraph" w:styleId="Obsah2">
    <w:name w:val="toc 2"/>
    <w:basedOn w:val="Normln"/>
    <w:next w:val="Normln"/>
    <w:autoRedefine/>
    <w:uiPriority w:val="99"/>
    <w:semiHidden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99"/>
    <w:semiHidden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600031"/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bCs/>
      <w:color w:val="000000"/>
      <w:sz w:val="36"/>
      <w:szCs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424DA"/>
    <w:pPr>
      <w:jc w:val="both"/>
    </w:pPr>
    <w:rPr>
      <w:color w:val="00000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0424DA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0424DA"/>
    <w:pPr>
      <w:spacing w:after="120" w:line="280" w:lineRule="atLeast"/>
      <w:jc w:val="both"/>
    </w:pPr>
    <w:rPr>
      <w:color w:val="00000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  <w:szCs w:val="16"/>
    </w:rPr>
  </w:style>
  <w:style w:type="paragraph" w:customStyle="1" w:styleId="FreeForm">
    <w:name w:val="Free Form"/>
    <w:uiPriority w:val="99"/>
    <w:rsid w:val="00757494"/>
    <w:rPr>
      <w:color w:val="000000"/>
      <w:sz w:val="20"/>
      <w:szCs w:val="2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bCs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213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13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6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6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213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ČHMÚ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</dc:creator>
  <cp:lastModifiedBy>tibitanzlova</cp:lastModifiedBy>
  <cp:revision>2</cp:revision>
  <cp:lastPrinted>2017-07-28T05:46:00Z</cp:lastPrinted>
  <dcterms:created xsi:type="dcterms:W3CDTF">2017-07-28T10:16:00Z</dcterms:created>
  <dcterms:modified xsi:type="dcterms:W3CDTF">2017-07-28T10:16:00Z</dcterms:modified>
</cp:coreProperties>
</file>