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1210400540</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spacing w:before="1"/>
        <w:ind w:left="102"/>
        <w:jc w:val="left"/>
      </w:pPr>
      <w:r>
        <w:rPr/>
        <w:t>Obec</w:t>
      </w:r>
      <w:r>
        <w:rPr>
          <w:spacing w:val="-5"/>
        </w:rPr>
        <w:t> </w:t>
      </w:r>
      <w:r>
        <w:rPr>
          <w:spacing w:val="-2"/>
        </w:rPr>
        <w:t>Drevníky</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50,</w:t>
      </w:r>
      <w:r>
        <w:rPr>
          <w:spacing w:val="-4"/>
        </w:rPr>
        <w:t> </w:t>
      </w:r>
      <w:r>
        <w:rPr/>
        <w:t>263</w:t>
      </w:r>
      <w:r>
        <w:rPr>
          <w:spacing w:val="-2"/>
        </w:rPr>
        <w:t> </w:t>
      </w:r>
      <w:r>
        <w:rPr/>
        <w:t>01</w:t>
      </w:r>
      <w:r>
        <w:rPr>
          <w:spacing w:val="-2"/>
        </w:rPr>
        <w:t> Drevníky</w:t>
      </w:r>
    </w:p>
    <w:p>
      <w:pPr>
        <w:pStyle w:val="BodyText"/>
        <w:tabs>
          <w:tab w:pos="2982" w:val="left" w:leader="none"/>
        </w:tabs>
        <w:spacing w:line="265" w:lineRule="exact"/>
        <w:ind w:left="102"/>
      </w:pPr>
      <w:r>
        <w:rPr>
          <w:spacing w:val="-4"/>
        </w:rPr>
        <w:t>IČO:</w:t>
      </w:r>
      <w:r>
        <w:rPr/>
        <w:tab/>
      </w:r>
      <w:r>
        <w:rPr>
          <w:spacing w:val="-2"/>
        </w:rPr>
        <w:t>00242152</w:t>
      </w:r>
    </w:p>
    <w:p>
      <w:pPr>
        <w:pStyle w:val="BodyText"/>
        <w:tabs>
          <w:tab w:pos="2982" w:val="left" w:leader="none"/>
        </w:tabs>
        <w:spacing w:before="1"/>
        <w:ind w:left="102"/>
      </w:pPr>
      <w:r>
        <w:rPr>
          <w:spacing w:val="-2"/>
        </w:rPr>
        <w:t>zastoupená:</w:t>
      </w:r>
      <w:r>
        <w:rPr/>
        <w:tab/>
        <w:t>Radkem</w:t>
      </w:r>
      <w:r>
        <w:rPr>
          <w:spacing w:val="-9"/>
        </w:rPr>
        <w:t> </w:t>
      </w:r>
      <w:r>
        <w:rPr/>
        <w:t>Skalickým,</w:t>
      </w:r>
      <w:r>
        <w:rPr>
          <w:spacing w:val="-10"/>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11615211/0710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spacing w:before="1"/>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1210400540 o poskytnutí finančních prostředků ze Státního fondu životního prostředí ČR ze dne 11.</w:t>
      </w:r>
      <w:r>
        <w:rPr>
          <w:spacing w:val="-1"/>
        </w:rPr>
        <w:t> </w:t>
      </w:r>
      <w:r>
        <w:rPr/>
        <w:t>8.</w:t>
      </w:r>
      <w:r>
        <w:rPr>
          <w:spacing w:val="-2"/>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0" w:right="2341"/>
        <w:jc w:val="right"/>
      </w:pPr>
      <w:r>
        <w:rPr/>
        <w:t>„Výsadba</w:t>
      </w:r>
      <w:r>
        <w:rPr>
          <w:spacing w:val="-7"/>
        </w:rPr>
        <w:t> </w:t>
      </w:r>
      <w:r>
        <w:rPr/>
        <w:t>stromů</w:t>
      </w:r>
      <w:r>
        <w:rPr>
          <w:spacing w:val="-7"/>
        </w:rPr>
        <w:t> </w:t>
      </w:r>
      <w:r>
        <w:rPr/>
        <w:t>v</w:t>
      </w:r>
      <w:r>
        <w:rPr>
          <w:spacing w:val="-7"/>
        </w:rPr>
        <w:t> </w:t>
      </w:r>
      <w:r>
        <w:rPr/>
        <w:t>obci</w:t>
      </w:r>
      <w:r>
        <w:rPr>
          <w:spacing w:val="-5"/>
        </w:rPr>
        <w:t> </w:t>
      </w:r>
      <w:r>
        <w:rPr/>
        <w:t>Drevníky</w:t>
      </w:r>
      <w:r>
        <w:rPr>
          <w:spacing w:val="-3"/>
        </w:rPr>
        <w:t> </w:t>
      </w:r>
      <w:r>
        <w:rPr/>
        <w:t>-</w:t>
      </w:r>
      <w:r>
        <w:rPr>
          <w:spacing w:val="-6"/>
        </w:rPr>
        <w:t> </w:t>
      </w:r>
      <w:r>
        <w:rPr/>
        <w:t>Slovanská</w:t>
      </w:r>
      <w:r>
        <w:rPr>
          <w:spacing w:val="-6"/>
        </w:rPr>
        <w:t> </w:t>
      </w:r>
      <w:r>
        <w:rPr>
          <w:spacing w:val="-2"/>
        </w:rPr>
        <w:t>Lhota“</w:t>
      </w:r>
    </w:p>
    <w:p>
      <w:pPr>
        <w:pStyle w:val="BodyText"/>
        <w:spacing w:before="121"/>
        <w:ind w:left="0" w:right="2360"/>
        <w:jc w:val="right"/>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spacing w:before="1"/>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248</w:t>
      </w:r>
      <w:r>
        <w:rPr>
          <w:b/>
          <w:spacing w:val="-4"/>
          <w:sz w:val="20"/>
        </w:rPr>
        <w:t> </w:t>
      </w:r>
      <w:r>
        <w:rPr>
          <w:b/>
          <w:sz w:val="20"/>
        </w:rPr>
        <w:t>772,00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248 772,00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spacing w:before="1"/>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10"/>
          <w:sz w:val="20"/>
        </w:rPr>
        <w:t> </w:t>
      </w:r>
      <w:r>
        <w:rPr>
          <w:sz w:val="20"/>
        </w:rPr>
        <w:t>podle</w:t>
      </w:r>
      <w:r>
        <w:rPr>
          <w:spacing w:val="10"/>
          <w:sz w:val="20"/>
        </w:rPr>
        <w:t> </w:t>
      </w:r>
      <w:r>
        <w:rPr>
          <w:sz w:val="20"/>
        </w:rPr>
        <w:t>Fondem</w:t>
      </w:r>
      <w:r>
        <w:rPr>
          <w:spacing w:val="10"/>
          <w:sz w:val="20"/>
        </w:rPr>
        <w:t> </w:t>
      </w:r>
      <w:r>
        <w:rPr>
          <w:sz w:val="20"/>
        </w:rPr>
        <w:t>odsouhlasené</w:t>
      </w:r>
      <w:r>
        <w:rPr>
          <w:spacing w:val="8"/>
          <w:sz w:val="20"/>
        </w:rPr>
        <w:t> </w:t>
      </w:r>
      <w:r>
        <w:rPr>
          <w:sz w:val="20"/>
        </w:rPr>
        <w:t>žádosti</w:t>
      </w:r>
      <w:r>
        <w:rPr>
          <w:spacing w:val="10"/>
          <w:sz w:val="20"/>
        </w:rPr>
        <w:t> </w:t>
      </w:r>
      <w:r>
        <w:rPr>
          <w:sz w:val="20"/>
        </w:rPr>
        <w:t>o</w:t>
      </w:r>
      <w:r>
        <w:rPr>
          <w:spacing w:val="15"/>
          <w:sz w:val="20"/>
        </w:rPr>
        <w:t> </w:t>
      </w:r>
      <w:r>
        <w:rPr>
          <w:sz w:val="20"/>
        </w:rPr>
        <w:t>podporu</w:t>
      </w:r>
      <w:r>
        <w:rPr>
          <w:spacing w:val="7"/>
          <w:sz w:val="20"/>
        </w:rPr>
        <w:t> </w:t>
      </w:r>
      <w:r>
        <w:rPr>
          <w:sz w:val="20"/>
        </w:rPr>
        <w:t>ze</w:t>
      </w:r>
      <w:r>
        <w:rPr>
          <w:spacing w:val="8"/>
          <w:sz w:val="20"/>
        </w:rPr>
        <w:t> </w:t>
      </w:r>
      <w:r>
        <w:rPr>
          <w:sz w:val="20"/>
        </w:rPr>
        <w:t>dne</w:t>
      </w:r>
      <w:r>
        <w:rPr>
          <w:spacing w:val="11"/>
          <w:sz w:val="20"/>
        </w:rPr>
        <w:t> </w:t>
      </w:r>
      <w:r>
        <w:rPr>
          <w:sz w:val="20"/>
        </w:rPr>
        <w:t>3.</w:t>
      </w:r>
      <w:r>
        <w:rPr>
          <w:spacing w:val="7"/>
          <w:sz w:val="20"/>
        </w:rPr>
        <w:t> </w:t>
      </w:r>
      <w:r>
        <w:rPr>
          <w:sz w:val="20"/>
        </w:rPr>
        <w:t>5.</w:t>
      </w:r>
      <w:r>
        <w:rPr>
          <w:spacing w:val="9"/>
          <w:sz w:val="20"/>
        </w:rPr>
        <w:t> </w:t>
      </w:r>
      <w:r>
        <w:rPr>
          <w:sz w:val="20"/>
        </w:rPr>
        <w:t>2022</w:t>
      </w:r>
      <w:r>
        <w:rPr>
          <w:spacing w:val="11"/>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jc w:val="both"/>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2" w:val="left" w:leader="none"/>
        </w:tabs>
        <w:spacing w:line="240" w:lineRule="auto" w:before="120" w:after="0"/>
        <w:ind w:left="461" w:right="109" w:hanging="360"/>
        <w:jc w:val="both"/>
        <w:rPr>
          <w:sz w:val="20"/>
        </w:rPr>
      </w:pPr>
      <w:r>
        <w:rPr>
          <w:sz w:val="20"/>
        </w:rPr>
        <w:t>vysadil 5 ks stromů v kategorii „Listnatý/ovocný strom s obvodem kmínku v 1 metru 8-10 cm, prostokořenný, odrostek (121-250 cm); 50 ks stromů v kategorii „Listnatý/ovocný strom s obvodem kmínku v 1 metru 10-12 cm“,</w:t>
      </w:r>
    </w:p>
    <w:p>
      <w:pPr>
        <w:pStyle w:val="ListParagraph"/>
        <w:numPr>
          <w:ilvl w:val="0"/>
          <w:numId w:val="5"/>
        </w:numPr>
        <w:tabs>
          <w:tab w:pos="462" w:val="left" w:leader="none"/>
        </w:tabs>
        <w:spacing w:line="240" w:lineRule="auto" w:before="122" w:after="0"/>
        <w:ind w:left="462" w:right="0" w:hanging="360"/>
        <w:jc w:val="both"/>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2" w:val="left" w:leader="none"/>
        </w:tabs>
        <w:spacing w:line="240" w:lineRule="auto" w:before="120" w:after="0"/>
        <w:ind w:left="462" w:right="0" w:hanging="360"/>
        <w:jc w:val="both"/>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2" w:val="left" w:leader="none"/>
        </w:tabs>
        <w:spacing w:line="240" w:lineRule="auto" w:before="120" w:after="0"/>
        <w:ind w:left="462" w:right="0" w:hanging="360"/>
        <w:jc w:val="both"/>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18"/>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2"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18"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2" w:after="0"/>
        <w:ind w:left="461" w:right="116" w:hanging="360"/>
        <w:jc w:val="both"/>
        <w:rPr>
          <w:sz w:val="20"/>
        </w:rPr>
      </w:pPr>
      <w:r>
        <w:rPr>
          <w:sz w:val="20"/>
        </w:rPr>
        <w:t>zabezpečí,</w:t>
      </w:r>
      <w:r>
        <w:rPr>
          <w:spacing w:val="-4"/>
          <w:sz w:val="20"/>
        </w:rPr>
        <w:t> </w:t>
      </w:r>
      <w:r>
        <w:rPr>
          <w:sz w:val="20"/>
        </w:rPr>
        <w:t>že</w:t>
      </w:r>
      <w:r>
        <w:rPr>
          <w:spacing w:val="-4"/>
          <w:sz w:val="20"/>
        </w:rPr>
        <w:t> </w:t>
      </w:r>
      <w:r>
        <w:rPr>
          <w:sz w:val="20"/>
        </w:rPr>
        <w:t>účel,</w:t>
      </w:r>
      <w:r>
        <w:rPr>
          <w:spacing w:val="-4"/>
          <w:sz w:val="20"/>
        </w:rPr>
        <w:t> </w:t>
      </w:r>
      <w:r>
        <w:rPr>
          <w:sz w:val="20"/>
        </w:rPr>
        <w:t>pro</w:t>
      </w:r>
      <w:r>
        <w:rPr>
          <w:spacing w:val="-2"/>
          <w:sz w:val="20"/>
        </w:rPr>
        <w:t> </w:t>
      </w:r>
      <w:r>
        <w:rPr>
          <w:sz w:val="20"/>
        </w:rPr>
        <w:t>který</w:t>
      </w:r>
      <w:r>
        <w:rPr>
          <w:spacing w:val="-4"/>
          <w:sz w:val="20"/>
        </w:rPr>
        <w:t> </w:t>
      </w:r>
      <w:r>
        <w:rPr>
          <w:sz w:val="20"/>
        </w:rPr>
        <w:t>je</w:t>
      </w:r>
      <w:r>
        <w:rPr>
          <w:spacing w:val="-4"/>
          <w:sz w:val="20"/>
        </w:rPr>
        <w:t> </w:t>
      </w:r>
      <w:r>
        <w:rPr>
          <w:sz w:val="20"/>
        </w:rPr>
        <w:t>poskytnuta</w:t>
      </w:r>
      <w:r>
        <w:rPr>
          <w:spacing w:val="-4"/>
          <w:sz w:val="20"/>
        </w:rPr>
        <w:t> </w:t>
      </w:r>
      <w:r>
        <w:rPr>
          <w:sz w:val="20"/>
        </w:rPr>
        <w:t>podpora</w:t>
      </w:r>
      <w:r>
        <w:rPr>
          <w:spacing w:val="-4"/>
          <w:sz w:val="20"/>
        </w:rPr>
        <w:t> </w:t>
      </w:r>
      <w:r>
        <w:rPr>
          <w:sz w:val="20"/>
        </w:rPr>
        <w:t>podle</w:t>
      </w:r>
      <w:r>
        <w:rPr>
          <w:spacing w:val="-4"/>
          <w:sz w:val="20"/>
        </w:rPr>
        <w:t> </w:t>
      </w:r>
      <w:r>
        <w:rPr>
          <w:sz w:val="20"/>
        </w:rPr>
        <w:t>této</w:t>
      </w:r>
      <w:r>
        <w:rPr>
          <w:spacing w:val="-3"/>
          <w:sz w:val="20"/>
        </w:rPr>
        <w:t> </w:t>
      </w:r>
      <w:r>
        <w:rPr>
          <w:sz w:val="20"/>
        </w:rPr>
        <w:t>Smlouvy,</w:t>
      </w:r>
      <w:r>
        <w:rPr>
          <w:spacing w:val="-4"/>
          <w:sz w:val="20"/>
        </w:rPr>
        <w:t> </w:t>
      </w:r>
      <w:r>
        <w:rPr>
          <w:sz w:val="20"/>
        </w:rPr>
        <w:t>bude</w:t>
      </w:r>
      <w:r>
        <w:rPr>
          <w:spacing w:val="-4"/>
          <w:sz w:val="20"/>
        </w:rPr>
        <w:t> </w:t>
      </w:r>
      <w:r>
        <w:rPr>
          <w:sz w:val="20"/>
        </w:rPr>
        <w:t>řádně</w:t>
      </w:r>
      <w:r>
        <w:rPr>
          <w:spacing w:val="-4"/>
          <w:sz w:val="20"/>
        </w:rPr>
        <w:t> </w:t>
      </w:r>
      <w:r>
        <w:rPr>
          <w:sz w:val="20"/>
        </w:rPr>
        <w:t>plněn</w:t>
      </w:r>
      <w:r>
        <w:rPr>
          <w:spacing w:val="-3"/>
          <w:sz w:val="20"/>
        </w:rPr>
        <w:t> </w:t>
      </w:r>
      <w:r>
        <w:rPr>
          <w:sz w:val="20"/>
        </w:rPr>
        <w:t>po</w:t>
      </w:r>
      <w:r>
        <w:rPr>
          <w:spacing w:val="-2"/>
          <w:sz w:val="20"/>
        </w:rPr>
        <w:t> </w:t>
      </w:r>
      <w:r>
        <w:rPr>
          <w:sz w:val="20"/>
        </w:rPr>
        <w:t>dobu</w:t>
      </w:r>
      <w:r>
        <w:rPr>
          <w:spacing w:val="-3"/>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3" w:after="0"/>
        <w:ind w:left="821" w:right="116"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spacing w:after="0" w:line="240" w:lineRule="auto"/>
        <w:jc w:val="both"/>
        <w:rPr>
          <w:sz w:val="20"/>
        </w:rPr>
        <w:sectPr>
          <w:pgSz w:w="12240" w:h="15840"/>
          <w:pgMar w:header="0" w:footer="1460" w:top="1060" w:bottom="1660" w:left="1600" w:right="1020"/>
        </w:sectPr>
      </w:pPr>
    </w:p>
    <w:p>
      <w:pPr>
        <w:pStyle w:val="ListParagraph"/>
        <w:numPr>
          <w:ilvl w:val="1"/>
          <w:numId w:val="4"/>
        </w:numPr>
        <w:tabs>
          <w:tab w:pos="822" w:val="left" w:leader="none"/>
        </w:tabs>
        <w:spacing w:line="240" w:lineRule="auto" w:before="73" w:after="0"/>
        <w:ind w:left="821" w:right="118"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spacing w:before="1"/>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0"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8"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0" w:hanging="284"/>
        <w:jc w:val="both"/>
        <w:rPr>
          <w:sz w:val="20"/>
        </w:rPr>
      </w:pPr>
      <w:r>
        <w:rPr>
          <w:sz w:val="20"/>
        </w:rPr>
        <w:t>Tato</w:t>
      </w:r>
      <w:r>
        <w:rPr>
          <w:spacing w:val="39"/>
          <w:sz w:val="20"/>
        </w:rPr>
        <w:t>  </w:t>
      </w:r>
      <w:r>
        <w:rPr>
          <w:sz w:val="20"/>
        </w:rPr>
        <w:t>Smlouva</w:t>
      </w:r>
      <w:r>
        <w:rPr>
          <w:spacing w:val="39"/>
          <w:sz w:val="20"/>
        </w:rPr>
        <w:t>  </w:t>
      </w:r>
      <w:r>
        <w:rPr>
          <w:sz w:val="20"/>
        </w:rPr>
        <w:t>je</w:t>
      </w:r>
      <w:r>
        <w:rPr>
          <w:spacing w:val="39"/>
          <w:sz w:val="20"/>
        </w:rPr>
        <w:t>  </w:t>
      </w:r>
      <w:r>
        <w:rPr>
          <w:sz w:val="20"/>
        </w:rPr>
        <w:t>vyhotovena</w:t>
      </w:r>
      <w:r>
        <w:rPr>
          <w:spacing w:val="39"/>
          <w:sz w:val="20"/>
        </w:rPr>
        <w:t>  </w:t>
      </w:r>
      <w:r>
        <w:rPr>
          <w:sz w:val="20"/>
        </w:rPr>
        <w:t>v jednom</w:t>
      </w:r>
      <w:r>
        <w:rPr>
          <w:spacing w:val="39"/>
          <w:sz w:val="20"/>
        </w:rPr>
        <w:t>  </w:t>
      </w:r>
      <w:r>
        <w:rPr>
          <w:sz w:val="20"/>
        </w:rPr>
        <w:t>elektronickém</w:t>
      </w:r>
      <w:r>
        <w:rPr>
          <w:spacing w:val="40"/>
          <w:sz w:val="20"/>
        </w:rPr>
        <w:t>  </w:t>
      </w:r>
      <w:r>
        <w:rPr>
          <w:sz w:val="20"/>
        </w:rPr>
        <w:t>vyhotovení,</w:t>
      </w:r>
      <w:r>
        <w:rPr>
          <w:spacing w:val="39"/>
          <w:sz w:val="20"/>
        </w:rPr>
        <w:t>  </w:t>
      </w:r>
      <w:r>
        <w:rPr>
          <w:sz w:val="20"/>
        </w:rPr>
        <w:t>podepsaném</w:t>
      </w:r>
      <w:r>
        <w:rPr>
          <w:spacing w:val="39"/>
          <w:sz w:val="20"/>
        </w:rPr>
        <w:t>  </w:t>
      </w:r>
      <w:r>
        <w:rPr>
          <w:spacing w:val="-2"/>
          <w:sz w:val="20"/>
        </w:rPr>
        <w:t>zaručenými</w:t>
      </w:r>
    </w:p>
    <w:p>
      <w:pPr>
        <w:spacing w:after="0" w:line="240" w:lineRule="auto"/>
        <w:jc w:val="both"/>
        <w:rPr>
          <w:sz w:val="20"/>
        </w:rPr>
        <w:sectPr>
          <w:pgSz w:w="12240" w:h="15840"/>
          <w:pgMar w:header="0" w:footer="1460" w:top="1060" w:bottom="1660" w:left="1600" w:right="1020"/>
        </w:sectPr>
      </w:pPr>
    </w:p>
    <w:p>
      <w:pPr>
        <w:pStyle w:val="BodyText"/>
        <w:spacing w:before="73"/>
        <w:ind w:right="117"/>
        <w:jc w:val="both"/>
      </w:pPr>
      <w:r>
        <w:rPr/>
        <w:t>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144"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2024-11-25T08:35:22Z</dcterms:created>
  <dcterms:modified xsi:type="dcterms:W3CDTF">2024-11-25T08:35:22Z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Microsoft® Word pro Microsoft 365</vt:lpwstr>
  </property>
  <property fmtid="{D5CDD505-2E9C-101B-9397-08002B2CF9AE}" pid="4" name="LastSaved">
    <vt:filetime>2024-11-25T00:00:00Z</vt:filetime>
  </property>
</Properties>
</file>