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9FA830E" w14:textId="77777777" w:rsidR="0074536F" w:rsidRDefault="00B343E0">
      <w:pPr>
        <w:jc w:val="start"/>
      </w:pPr>
      <w:r>
        <w:rPr>
          <w:b/>
          <w:bCs/>
        </w:rPr>
        <w:t>Československá obchodní banka, a. s.</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74536F" w14:paraId="79FA8312" w14:textId="77777777">
        <w:trPr>
          <w:cantSplit/>
          <w:tblCellSpacing w:w="-2.25pt" w:type="dxa"/>
        </w:trPr>
        <w:tc>
          <w:tcPr>
            <w:tcW w:w="3.0%" w:type="pct"/>
            <w:tcMar>
              <w:top w:w="0.75pt" w:type="dxa"/>
              <w:start w:w="0.75pt" w:type="dxa"/>
              <w:bottom w:w="0.75pt" w:type="dxa"/>
              <w:end w:w="0.75pt" w:type="dxa"/>
            </w:tcMar>
            <w:vAlign w:val="center"/>
            <w:hideMark/>
          </w:tcPr>
          <w:p w14:paraId="79FA830F" w14:textId="77777777" w:rsidR="0074536F" w:rsidRDefault="0074536F">
            <w:pPr>
              <w:jc w:val="start"/>
            </w:pPr>
          </w:p>
        </w:tc>
        <w:tc>
          <w:tcPr>
            <w:tcW w:w="25.0%" w:type="pct"/>
            <w:tcMar>
              <w:top w:w="0.75pt" w:type="dxa"/>
              <w:start w:w="0.75pt" w:type="dxa"/>
              <w:bottom w:w="0.75pt" w:type="dxa"/>
              <w:end w:w="0.75pt" w:type="dxa"/>
            </w:tcMar>
            <w:hideMark/>
          </w:tcPr>
          <w:p w14:paraId="79FA8310" w14:textId="77777777" w:rsidR="0074536F" w:rsidRDefault="00B343E0">
            <w:pPr>
              <w:jc w:val="start"/>
            </w:pPr>
            <w:r>
              <w:t>se sídlem:</w:t>
            </w:r>
          </w:p>
        </w:tc>
        <w:tc>
          <w:tcPr>
            <w:tcW w:w="74.0%" w:type="pct"/>
            <w:tcMar>
              <w:top w:w="0.75pt" w:type="dxa"/>
              <w:start w:w="0.75pt" w:type="dxa"/>
              <w:bottom w:w="0.75pt" w:type="dxa"/>
              <w:end w:w="0.75pt" w:type="dxa"/>
            </w:tcMar>
            <w:vAlign w:val="center"/>
            <w:hideMark/>
          </w:tcPr>
          <w:p w14:paraId="79FA8311" w14:textId="77777777" w:rsidR="0074536F" w:rsidRDefault="00B343E0">
            <w:pPr>
              <w:jc w:val="start"/>
            </w:pPr>
            <w:r>
              <w:t>Radlická 333/150, 150 57 Praha 5</w:t>
            </w:r>
          </w:p>
        </w:tc>
      </w:tr>
      <w:tr w:rsidR="0074536F" w14:paraId="79FA8316" w14:textId="77777777">
        <w:trPr>
          <w:cantSplit/>
          <w:tblCellSpacing w:w="-2.25pt" w:type="dxa"/>
        </w:trPr>
        <w:tc>
          <w:tcPr>
            <w:tcW w:w="3.0%" w:type="pct"/>
            <w:tcMar>
              <w:top w:w="0.75pt" w:type="dxa"/>
              <w:start w:w="0.75pt" w:type="dxa"/>
              <w:bottom w:w="0.75pt" w:type="dxa"/>
              <w:end w:w="0.75pt" w:type="dxa"/>
            </w:tcMar>
            <w:vAlign w:val="center"/>
            <w:hideMark/>
          </w:tcPr>
          <w:p w14:paraId="79FA8313" w14:textId="77777777" w:rsidR="0074536F" w:rsidRDefault="0074536F">
            <w:pPr>
              <w:jc w:val="start"/>
            </w:pPr>
          </w:p>
        </w:tc>
        <w:tc>
          <w:tcPr>
            <w:tcW w:w="25.0%" w:type="pct"/>
            <w:tcMar>
              <w:top w:w="0.75pt" w:type="dxa"/>
              <w:start w:w="0.75pt" w:type="dxa"/>
              <w:bottom w:w="0.75pt" w:type="dxa"/>
              <w:end w:w="0.75pt" w:type="dxa"/>
            </w:tcMar>
            <w:hideMark/>
          </w:tcPr>
          <w:p w14:paraId="79FA8314" w14:textId="77777777" w:rsidR="0074536F" w:rsidRDefault="00B343E0">
            <w:pPr>
              <w:jc w:val="start"/>
            </w:pPr>
            <w:r>
              <w:t>IČO:</w:t>
            </w:r>
          </w:p>
        </w:tc>
        <w:tc>
          <w:tcPr>
            <w:tcW w:w="74.0%" w:type="pct"/>
            <w:tcMar>
              <w:top w:w="0.75pt" w:type="dxa"/>
              <w:start w:w="0.75pt" w:type="dxa"/>
              <w:bottom w:w="0.75pt" w:type="dxa"/>
              <w:end w:w="0.75pt" w:type="dxa"/>
            </w:tcMar>
            <w:vAlign w:val="center"/>
            <w:hideMark/>
          </w:tcPr>
          <w:p w14:paraId="79FA8315" w14:textId="77777777" w:rsidR="0074536F" w:rsidRDefault="00B343E0">
            <w:pPr>
              <w:jc w:val="start"/>
            </w:pPr>
            <w:r>
              <w:t>00001350</w:t>
            </w:r>
          </w:p>
        </w:tc>
      </w:tr>
      <w:tr w:rsidR="0074536F" w14:paraId="79FA8319" w14:textId="77777777">
        <w:trPr>
          <w:cantSplit/>
          <w:tblCellSpacing w:w="-2.25pt" w:type="dxa"/>
        </w:trPr>
        <w:tc>
          <w:tcPr>
            <w:tcW w:w="3.0%" w:type="pct"/>
            <w:tcMar>
              <w:top w:w="0.75pt" w:type="dxa"/>
              <w:start w:w="0.75pt" w:type="dxa"/>
              <w:bottom w:w="0.75pt" w:type="dxa"/>
              <w:end w:w="0.75pt" w:type="dxa"/>
            </w:tcMar>
            <w:vAlign w:val="center"/>
            <w:hideMark/>
          </w:tcPr>
          <w:p w14:paraId="79FA8317" w14:textId="77777777" w:rsidR="0074536F" w:rsidRDefault="0074536F">
            <w:pPr>
              <w:jc w:val="start"/>
            </w:pPr>
          </w:p>
        </w:tc>
        <w:tc>
          <w:tcPr>
            <w:tcW w:w="25.0%" w:type="pct"/>
            <w:gridSpan w:val="2"/>
            <w:tcMar>
              <w:top w:w="0.75pt" w:type="dxa"/>
              <w:start w:w="0.75pt" w:type="dxa"/>
              <w:bottom w:w="0.75pt" w:type="dxa"/>
              <w:end w:w="0.75pt" w:type="dxa"/>
            </w:tcMar>
            <w:vAlign w:val="center"/>
            <w:hideMark/>
          </w:tcPr>
          <w:p w14:paraId="79FA8318" w14:textId="77777777" w:rsidR="0074536F" w:rsidRDefault="00B343E0">
            <w:pPr>
              <w:jc w:val="start"/>
            </w:pPr>
            <w:r>
              <w:t>zapsaná v obchodním rejstříku vedeném Městským soudem v Praze, spis. zn. BXXXVI 46</w:t>
            </w:r>
          </w:p>
        </w:tc>
      </w:tr>
    </w:tbl>
    <w:p w14:paraId="79FA831A" w14:textId="77777777" w:rsidR="0074536F" w:rsidRDefault="00B343E0">
      <w:pPr>
        <w:jc w:val="start"/>
      </w:pPr>
      <w:r>
        <w:t>(„</w:t>
      </w:r>
      <w:r>
        <w:rPr>
          <w:b/>
          <w:bCs/>
        </w:rPr>
        <w:t>Banka</w:t>
      </w:r>
      <w:r>
        <w:t>“)</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74536F" w14:paraId="79FA831E" w14:textId="77777777">
        <w:trPr>
          <w:cantSplit/>
          <w:tblCellSpacing w:w="-2.25pt" w:type="dxa"/>
        </w:trPr>
        <w:tc>
          <w:tcPr>
            <w:tcW w:w="3.0%" w:type="pct"/>
            <w:tcMar>
              <w:top w:w="0.75pt" w:type="dxa"/>
              <w:start w:w="0.75pt" w:type="dxa"/>
              <w:bottom w:w="0.75pt" w:type="dxa"/>
              <w:end w:w="0.75pt" w:type="dxa"/>
            </w:tcMar>
            <w:vAlign w:val="center"/>
            <w:hideMark/>
          </w:tcPr>
          <w:p w14:paraId="79FA831B" w14:textId="77777777" w:rsidR="0074536F" w:rsidRDefault="0074536F">
            <w:pPr>
              <w:jc w:val="start"/>
            </w:pPr>
          </w:p>
        </w:tc>
        <w:tc>
          <w:tcPr>
            <w:tcW w:w="25.0%" w:type="pct"/>
            <w:tcMar>
              <w:top w:w="0.75pt" w:type="dxa"/>
              <w:start w:w="0.75pt" w:type="dxa"/>
              <w:bottom w:w="0.75pt" w:type="dxa"/>
              <w:end w:w="0.75pt" w:type="dxa"/>
            </w:tcMar>
            <w:hideMark/>
          </w:tcPr>
          <w:p w14:paraId="79FA831C" w14:textId="77777777" w:rsidR="0074536F" w:rsidRDefault="00B343E0">
            <w:pPr>
              <w:jc w:val="start"/>
            </w:pPr>
            <w:r>
              <w:t>za Banku:</w:t>
            </w:r>
          </w:p>
        </w:tc>
        <w:tc>
          <w:tcPr>
            <w:tcW w:w="74.0%" w:type="pct"/>
            <w:tcMar>
              <w:top w:w="0.75pt" w:type="dxa"/>
              <w:start w:w="0.75pt" w:type="dxa"/>
              <w:bottom w:w="0.75pt" w:type="dxa"/>
              <w:end w:w="0.75pt" w:type="dxa"/>
            </w:tcMar>
            <w:vAlign w:val="center"/>
            <w:hideMark/>
          </w:tcPr>
          <w:p w14:paraId="79FA831D" w14:textId="43EDE135" w:rsidR="0074536F" w:rsidRDefault="007D2E06">
            <w:pPr>
              <w:jc w:val="start"/>
            </w:pPr>
            <w:proofErr w:type="spellStart"/>
            <w:r>
              <w:t>xxxxx</w:t>
            </w:r>
            <w:proofErr w:type="spellEnd"/>
          </w:p>
        </w:tc>
      </w:tr>
      <w:tr w:rsidR="0074536F" w14:paraId="79FA8322" w14:textId="77777777">
        <w:trPr>
          <w:cantSplit/>
          <w:tblCellSpacing w:w="-2.25pt" w:type="dxa"/>
        </w:trPr>
        <w:tc>
          <w:tcPr>
            <w:tcW w:w="3.0%" w:type="pct"/>
            <w:tcMar>
              <w:top w:w="0.75pt" w:type="dxa"/>
              <w:start w:w="0.75pt" w:type="dxa"/>
              <w:bottom w:w="0.75pt" w:type="dxa"/>
              <w:end w:w="0.75pt" w:type="dxa"/>
            </w:tcMar>
            <w:vAlign w:val="center"/>
            <w:hideMark/>
          </w:tcPr>
          <w:p w14:paraId="79FA831F" w14:textId="77777777" w:rsidR="0074536F" w:rsidRDefault="0074536F">
            <w:pPr>
              <w:jc w:val="start"/>
            </w:pPr>
          </w:p>
        </w:tc>
        <w:tc>
          <w:tcPr>
            <w:tcW w:w="25.0%" w:type="pct"/>
            <w:tcMar>
              <w:top w:w="0.75pt" w:type="dxa"/>
              <w:start w:w="0.75pt" w:type="dxa"/>
              <w:bottom w:w="0.75pt" w:type="dxa"/>
              <w:end w:w="0.75pt" w:type="dxa"/>
            </w:tcMar>
            <w:hideMark/>
          </w:tcPr>
          <w:p w14:paraId="79FA8320" w14:textId="77777777" w:rsidR="0074536F" w:rsidRDefault="0074536F">
            <w:pPr>
              <w:jc w:val="start"/>
            </w:pPr>
          </w:p>
        </w:tc>
        <w:tc>
          <w:tcPr>
            <w:tcW w:w="74.0%" w:type="pct"/>
            <w:tcMar>
              <w:top w:w="0.75pt" w:type="dxa"/>
              <w:start w:w="0.75pt" w:type="dxa"/>
              <w:bottom w:w="0.75pt" w:type="dxa"/>
              <w:end w:w="0.75pt" w:type="dxa"/>
            </w:tcMar>
            <w:vAlign w:val="center"/>
            <w:hideMark/>
          </w:tcPr>
          <w:p w14:paraId="79FA8321" w14:textId="08B7B342" w:rsidR="0074536F" w:rsidRDefault="007D2E06">
            <w:pPr>
              <w:jc w:val="start"/>
            </w:pPr>
            <w:proofErr w:type="spellStart"/>
            <w:r>
              <w:t>xxxxx</w:t>
            </w:r>
            <w:proofErr w:type="spellEnd"/>
          </w:p>
        </w:tc>
      </w:tr>
    </w:tbl>
    <w:p w14:paraId="79FA8323" w14:textId="77777777" w:rsidR="0074536F" w:rsidRDefault="0074536F">
      <w:pPr>
        <w:rPr>
          <w:vanish/>
        </w:rPr>
      </w:pP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74536F" w14:paraId="79FA8327" w14:textId="77777777">
        <w:trPr>
          <w:cantSplit/>
          <w:tblCellSpacing w:w="-2.25pt" w:type="dxa"/>
        </w:trPr>
        <w:tc>
          <w:tcPr>
            <w:tcW w:w="3.0%" w:type="pct"/>
            <w:tcMar>
              <w:top w:w="0.75pt" w:type="dxa"/>
              <w:start w:w="0.75pt" w:type="dxa"/>
              <w:bottom w:w="0.75pt" w:type="dxa"/>
              <w:end w:w="0.75pt" w:type="dxa"/>
            </w:tcMar>
            <w:vAlign w:val="center"/>
            <w:hideMark/>
          </w:tcPr>
          <w:p w14:paraId="79FA8324" w14:textId="77777777" w:rsidR="0074536F" w:rsidRDefault="0074536F">
            <w:pPr>
              <w:jc w:val="start"/>
            </w:pPr>
          </w:p>
        </w:tc>
        <w:tc>
          <w:tcPr>
            <w:tcW w:w="25.0%" w:type="pct"/>
            <w:tcMar>
              <w:top w:w="0.75pt" w:type="dxa"/>
              <w:start w:w="0.75pt" w:type="dxa"/>
              <w:bottom w:w="0.75pt" w:type="dxa"/>
              <w:end w:w="0.75pt" w:type="dxa"/>
            </w:tcMar>
            <w:hideMark/>
          </w:tcPr>
          <w:p w14:paraId="79FA8325" w14:textId="77777777" w:rsidR="0074536F" w:rsidRDefault="00B343E0">
            <w:pPr>
              <w:jc w:val="start"/>
            </w:pPr>
            <w:r>
              <w:t>Pobočka:</w:t>
            </w:r>
          </w:p>
        </w:tc>
        <w:tc>
          <w:tcPr>
            <w:tcW w:w="74.0%" w:type="pct"/>
            <w:tcMar>
              <w:top w:w="0.75pt" w:type="dxa"/>
              <w:start w:w="0.75pt" w:type="dxa"/>
              <w:bottom w:w="0.75pt" w:type="dxa"/>
              <w:end w:w="0.75pt" w:type="dxa"/>
            </w:tcMar>
            <w:vAlign w:val="center"/>
            <w:hideMark/>
          </w:tcPr>
          <w:p w14:paraId="79FA8326" w14:textId="77777777" w:rsidR="0074536F" w:rsidRDefault="00B343E0">
            <w:pPr>
              <w:jc w:val="start"/>
            </w:pPr>
            <w:r>
              <w:t xml:space="preserve">Pobočka pro korporátní </w:t>
            </w:r>
            <w:proofErr w:type="gramStart"/>
            <w:r>
              <w:t>klientelu - Praha</w:t>
            </w:r>
            <w:proofErr w:type="gramEnd"/>
            <w:r>
              <w:t xml:space="preserve"> II, Radlická 333/150, 150 57, Praha 5</w:t>
            </w:r>
          </w:p>
        </w:tc>
      </w:tr>
    </w:tbl>
    <w:p w14:paraId="79FA8328" w14:textId="77777777" w:rsidR="0074536F" w:rsidRDefault="00B343E0">
      <w:pPr>
        <w:jc w:val="start"/>
      </w:pPr>
      <w:r>
        <w:t>a</w:t>
      </w:r>
    </w:p>
    <w:p w14:paraId="79FA8329" w14:textId="77777777" w:rsidR="0074536F" w:rsidRDefault="00B343E0">
      <w:pPr>
        <w:jc w:val="start"/>
      </w:pPr>
      <w:r>
        <w:rPr>
          <w:b/>
          <w:bCs/>
        </w:rPr>
        <w:t>Technologie hlavního města Prahy, a.s.</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74536F" w14:paraId="79FA832D" w14:textId="77777777">
        <w:trPr>
          <w:cantSplit/>
          <w:tblCellSpacing w:w="-2.25pt" w:type="dxa"/>
        </w:trPr>
        <w:tc>
          <w:tcPr>
            <w:tcW w:w="3.0%" w:type="pct"/>
            <w:tcMar>
              <w:top w:w="0.75pt" w:type="dxa"/>
              <w:start w:w="0.75pt" w:type="dxa"/>
              <w:bottom w:w="0.75pt" w:type="dxa"/>
              <w:end w:w="0.75pt" w:type="dxa"/>
            </w:tcMar>
            <w:vAlign w:val="center"/>
            <w:hideMark/>
          </w:tcPr>
          <w:p w14:paraId="79FA832A" w14:textId="77777777" w:rsidR="0074536F" w:rsidRDefault="0074536F">
            <w:pPr>
              <w:jc w:val="start"/>
            </w:pPr>
          </w:p>
        </w:tc>
        <w:tc>
          <w:tcPr>
            <w:tcW w:w="25.0%" w:type="pct"/>
            <w:tcMar>
              <w:top w:w="0.75pt" w:type="dxa"/>
              <w:start w:w="0.75pt" w:type="dxa"/>
              <w:bottom w:w="0.75pt" w:type="dxa"/>
              <w:end w:w="0.75pt" w:type="dxa"/>
            </w:tcMar>
            <w:hideMark/>
          </w:tcPr>
          <w:p w14:paraId="79FA832B" w14:textId="77777777" w:rsidR="0074536F" w:rsidRDefault="00B343E0">
            <w:pPr>
              <w:jc w:val="start"/>
            </w:pPr>
            <w:r>
              <w:t>se sídlem:</w:t>
            </w:r>
          </w:p>
        </w:tc>
        <w:tc>
          <w:tcPr>
            <w:tcW w:w="74.0%" w:type="pct"/>
            <w:tcMar>
              <w:top w:w="0.75pt" w:type="dxa"/>
              <w:start w:w="0.75pt" w:type="dxa"/>
              <w:bottom w:w="0.75pt" w:type="dxa"/>
              <w:end w:w="0.75pt" w:type="dxa"/>
            </w:tcMar>
            <w:vAlign w:val="center"/>
            <w:hideMark/>
          </w:tcPr>
          <w:p w14:paraId="79FA832C" w14:textId="77777777" w:rsidR="0074536F" w:rsidRDefault="00B343E0">
            <w:pPr>
              <w:jc w:val="start"/>
            </w:pPr>
            <w:r>
              <w:t>Dělnická 213/12, 17000 Praha 7 - Holešovice, Česká republika</w:t>
            </w:r>
          </w:p>
        </w:tc>
      </w:tr>
      <w:tr w:rsidR="0074536F" w14:paraId="79FA8331" w14:textId="77777777">
        <w:trPr>
          <w:cantSplit/>
          <w:tblCellSpacing w:w="-2.25pt" w:type="dxa"/>
        </w:trPr>
        <w:tc>
          <w:tcPr>
            <w:tcW w:w="3.0%" w:type="pct"/>
            <w:tcMar>
              <w:top w:w="0.75pt" w:type="dxa"/>
              <w:start w:w="0.75pt" w:type="dxa"/>
              <w:bottom w:w="0.75pt" w:type="dxa"/>
              <w:end w:w="0.75pt" w:type="dxa"/>
            </w:tcMar>
            <w:vAlign w:val="center"/>
            <w:hideMark/>
          </w:tcPr>
          <w:p w14:paraId="79FA832E" w14:textId="77777777" w:rsidR="0074536F" w:rsidRDefault="0074536F">
            <w:pPr>
              <w:jc w:val="start"/>
            </w:pPr>
          </w:p>
        </w:tc>
        <w:tc>
          <w:tcPr>
            <w:tcW w:w="25.0%" w:type="pct"/>
            <w:tcMar>
              <w:top w:w="0.75pt" w:type="dxa"/>
              <w:start w:w="0.75pt" w:type="dxa"/>
              <w:bottom w:w="0.75pt" w:type="dxa"/>
              <w:end w:w="0.75pt" w:type="dxa"/>
            </w:tcMar>
            <w:hideMark/>
          </w:tcPr>
          <w:p w14:paraId="79FA832F" w14:textId="77777777" w:rsidR="0074536F" w:rsidRDefault="00B343E0">
            <w:pPr>
              <w:jc w:val="start"/>
            </w:pPr>
            <w:r>
              <w:t>IČO:</w:t>
            </w:r>
          </w:p>
        </w:tc>
        <w:tc>
          <w:tcPr>
            <w:tcW w:w="74.0%" w:type="pct"/>
            <w:tcMar>
              <w:top w:w="0.75pt" w:type="dxa"/>
              <w:start w:w="0.75pt" w:type="dxa"/>
              <w:bottom w:w="0.75pt" w:type="dxa"/>
              <w:end w:w="0.75pt" w:type="dxa"/>
            </w:tcMar>
            <w:vAlign w:val="center"/>
            <w:hideMark/>
          </w:tcPr>
          <w:p w14:paraId="79FA8330" w14:textId="77777777" w:rsidR="0074536F" w:rsidRDefault="00B343E0">
            <w:pPr>
              <w:jc w:val="start"/>
            </w:pPr>
            <w:r>
              <w:t>25672541</w:t>
            </w:r>
          </w:p>
        </w:tc>
      </w:tr>
      <w:tr w:rsidR="0074536F" w14:paraId="79FA8334" w14:textId="77777777">
        <w:trPr>
          <w:cantSplit/>
          <w:tblCellSpacing w:w="-2.25pt" w:type="dxa"/>
        </w:trPr>
        <w:tc>
          <w:tcPr>
            <w:tcW w:w="3.0%" w:type="pct"/>
            <w:tcMar>
              <w:top w:w="0.75pt" w:type="dxa"/>
              <w:start w:w="0.75pt" w:type="dxa"/>
              <w:bottom w:w="0.75pt" w:type="dxa"/>
              <w:end w:w="0.75pt" w:type="dxa"/>
            </w:tcMar>
            <w:vAlign w:val="center"/>
            <w:hideMark/>
          </w:tcPr>
          <w:p w14:paraId="79FA8332" w14:textId="77777777" w:rsidR="0074536F" w:rsidRDefault="0074536F">
            <w:pPr>
              <w:jc w:val="start"/>
            </w:pPr>
          </w:p>
        </w:tc>
        <w:tc>
          <w:tcPr>
            <w:tcW w:w="25.0%" w:type="pct"/>
            <w:gridSpan w:val="2"/>
            <w:tcMar>
              <w:top w:w="0.75pt" w:type="dxa"/>
              <w:start w:w="0.75pt" w:type="dxa"/>
              <w:bottom w:w="0.75pt" w:type="dxa"/>
              <w:end w:w="0.75pt" w:type="dxa"/>
            </w:tcMar>
            <w:vAlign w:val="center"/>
            <w:hideMark/>
          </w:tcPr>
          <w:p w14:paraId="79FA8333" w14:textId="77777777" w:rsidR="0074536F" w:rsidRDefault="00B343E0">
            <w:pPr>
              <w:jc w:val="start"/>
            </w:pPr>
            <w:r>
              <w:t>zapsaná v obchodním rejstříku vedeném Městským soudem v Praze, spisová značka B 5402</w:t>
            </w:r>
          </w:p>
        </w:tc>
      </w:tr>
    </w:tbl>
    <w:p w14:paraId="79FA8335" w14:textId="77777777" w:rsidR="0074536F" w:rsidRDefault="00B343E0">
      <w:pPr>
        <w:jc w:val="start"/>
      </w:pPr>
      <w:r>
        <w:t>(„</w:t>
      </w:r>
      <w:r>
        <w:rPr>
          <w:b/>
          <w:bCs/>
        </w:rPr>
        <w:t>Klient</w:t>
      </w:r>
      <w:r>
        <w:t>“)</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149"/>
        <w:gridCol w:w="2277"/>
        <w:gridCol w:w="6681"/>
      </w:tblGrid>
      <w:tr w:rsidR="0074536F" w14:paraId="79FA8339" w14:textId="77777777">
        <w:trPr>
          <w:cantSplit/>
          <w:tblCellSpacing w:w="-2.25pt" w:type="dxa"/>
        </w:trPr>
        <w:tc>
          <w:tcPr>
            <w:tcW w:w="3.0%" w:type="pct"/>
            <w:tcMar>
              <w:top w:w="0.75pt" w:type="dxa"/>
              <w:start w:w="0.75pt" w:type="dxa"/>
              <w:bottom w:w="0.75pt" w:type="dxa"/>
              <w:end w:w="0.75pt" w:type="dxa"/>
            </w:tcMar>
            <w:vAlign w:val="center"/>
            <w:hideMark/>
          </w:tcPr>
          <w:p w14:paraId="79FA8336" w14:textId="77777777" w:rsidR="0074536F" w:rsidRDefault="0074536F">
            <w:pPr>
              <w:jc w:val="start"/>
            </w:pPr>
          </w:p>
        </w:tc>
        <w:tc>
          <w:tcPr>
            <w:tcW w:w="25.0%" w:type="pct"/>
            <w:tcMar>
              <w:top w:w="0.75pt" w:type="dxa"/>
              <w:start w:w="0.75pt" w:type="dxa"/>
              <w:bottom w:w="0.75pt" w:type="dxa"/>
              <w:end w:w="0.75pt" w:type="dxa"/>
            </w:tcMar>
            <w:hideMark/>
          </w:tcPr>
          <w:p w14:paraId="79FA8337" w14:textId="77777777" w:rsidR="0074536F" w:rsidRDefault="00B343E0">
            <w:pPr>
              <w:jc w:val="start"/>
            </w:pPr>
            <w:r>
              <w:t>za Klienta:</w:t>
            </w:r>
          </w:p>
        </w:tc>
        <w:tc>
          <w:tcPr>
            <w:tcW w:w="74.0%" w:type="pct"/>
            <w:tcMar>
              <w:top w:w="0.75pt" w:type="dxa"/>
              <w:start w:w="0.75pt" w:type="dxa"/>
              <w:bottom w:w="0.75pt" w:type="dxa"/>
              <w:end w:w="0.75pt" w:type="dxa"/>
            </w:tcMar>
            <w:vAlign w:val="center"/>
            <w:hideMark/>
          </w:tcPr>
          <w:p w14:paraId="79FA8338" w14:textId="774180EC" w:rsidR="0074536F" w:rsidRDefault="007D2E06">
            <w:pPr>
              <w:jc w:val="start"/>
            </w:pPr>
            <w:proofErr w:type="spellStart"/>
            <w:r>
              <w:t>xxxxx</w:t>
            </w:r>
            <w:proofErr w:type="spellEnd"/>
          </w:p>
        </w:tc>
      </w:tr>
      <w:tr w:rsidR="0074536F" w14:paraId="79FA833D" w14:textId="77777777">
        <w:trPr>
          <w:cantSplit/>
          <w:tblCellSpacing w:w="-2.25pt" w:type="dxa"/>
        </w:trPr>
        <w:tc>
          <w:tcPr>
            <w:tcW w:w="3.0%" w:type="pct"/>
            <w:tcMar>
              <w:top w:w="0.75pt" w:type="dxa"/>
              <w:start w:w="0.75pt" w:type="dxa"/>
              <w:bottom w:w="0.75pt" w:type="dxa"/>
              <w:end w:w="0.75pt" w:type="dxa"/>
            </w:tcMar>
            <w:vAlign w:val="center"/>
            <w:hideMark/>
          </w:tcPr>
          <w:p w14:paraId="79FA833A" w14:textId="77777777" w:rsidR="0074536F" w:rsidRDefault="0074536F">
            <w:pPr>
              <w:jc w:val="start"/>
            </w:pPr>
          </w:p>
        </w:tc>
        <w:tc>
          <w:tcPr>
            <w:tcW w:w="25.0%" w:type="pct"/>
            <w:tcMar>
              <w:top w:w="0.75pt" w:type="dxa"/>
              <w:start w:w="0.75pt" w:type="dxa"/>
              <w:bottom w:w="0.75pt" w:type="dxa"/>
              <w:end w:w="0.75pt" w:type="dxa"/>
            </w:tcMar>
            <w:hideMark/>
          </w:tcPr>
          <w:p w14:paraId="79FA833B" w14:textId="77777777" w:rsidR="0074536F" w:rsidRDefault="0074536F">
            <w:pPr>
              <w:jc w:val="start"/>
            </w:pPr>
          </w:p>
        </w:tc>
        <w:tc>
          <w:tcPr>
            <w:tcW w:w="74.0%" w:type="pct"/>
            <w:tcMar>
              <w:top w:w="0.75pt" w:type="dxa"/>
              <w:start w:w="0.75pt" w:type="dxa"/>
              <w:bottom w:w="0.75pt" w:type="dxa"/>
              <w:end w:w="0.75pt" w:type="dxa"/>
            </w:tcMar>
            <w:vAlign w:val="center"/>
            <w:hideMark/>
          </w:tcPr>
          <w:p w14:paraId="79FA833C" w14:textId="39A16074" w:rsidR="0074536F" w:rsidRDefault="007D2E06">
            <w:pPr>
              <w:jc w:val="start"/>
            </w:pPr>
            <w:proofErr w:type="spellStart"/>
            <w:r>
              <w:t>xxxxx</w:t>
            </w:r>
            <w:proofErr w:type="spellEnd"/>
          </w:p>
        </w:tc>
      </w:tr>
    </w:tbl>
    <w:p w14:paraId="79FA833E" w14:textId="77777777" w:rsidR="0074536F" w:rsidRDefault="00B343E0">
      <w:pPr>
        <w:jc w:val="center"/>
      </w:pPr>
      <w:r>
        <w:t> </w:t>
      </w:r>
    </w:p>
    <w:p w14:paraId="79FA833F" w14:textId="77777777" w:rsidR="0074536F" w:rsidRDefault="00B343E0">
      <w:pPr>
        <w:jc w:val="center"/>
      </w:pPr>
      <w:r>
        <w:t>(Banka a Klient společně též „</w:t>
      </w:r>
      <w:r>
        <w:rPr>
          <w:b/>
          <w:bCs/>
        </w:rPr>
        <w:t>Smluvní strany</w:t>
      </w:r>
      <w:r>
        <w:t>“) uzavírají</w:t>
      </w:r>
      <w:r>
        <w:br/>
        <w:t>podle zákona č. 89/2012 Sb., občanský zákoník, v platném znění („</w:t>
      </w:r>
      <w:r>
        <w:rPr>
          <w:b/>
          <w:bCs/>
        </w:rPr>
        <w:t>Občanský zákoník</w:t>
      </w:r>
      <w:r>
        <w:t>“), tuto</w:t>
      </w:r>
    </w:p>
    <w:p w14:paraId="79FA8340" w14:textId="77777777" w:rsidR="0074536F" w:rsidRDefault="00B343E0">
      <w:pPr>
        <w:jc w:val="center"/>
      </w:pPr>
      <w:r>
        <w:t> </w:t>
      </w:r>
    </w:p>
    <w:p w14:paraId="79FA8341" w14:textId="77777777" w:rsidR="0074536F" w:rsidRDefault="00B343E0">
      <w:pPr>
        <w:pStyle w:val="Nadpis1"/>
        <w:spacing w:before="0pt" w:after="0pt"/>
      </w:pPr>
      <w:r>
        <w:rPr>
          <w:sz w:val="26"/>
          <w:szCs w:val="26"/>
        </w:rPr>
        <w:t>Smlouvu o úvěru č. 2024007507</w:t>
      </w:r>
    </w:p>
    <w:p w14:paraId="79FA8342" w14:textId="77777777" w:rsidR="0074536F" w:rsidRDefault="00B343E0">
      <w:pPr>
        <w:jc w:val="center"/>
      </w:pPr>
      <w:r>
        <w:t>(„</w:t>
      </w:r>
      <w:r>
        <w:rPr>
          <w:b/>
          <w:bCs/>
        </w:rPr>
        <w:t>Smlouva</w:t>
      </w:r>
      <w:r>
        <w:t>“).</w:t>
      </w:r>
    </w:p>
    <w:p w14:paraId="79FA8343" w14:textId="77777777" w:rsidR="0074536F" w:rsidRDefault="00B343E0">
      <w:r>
        <w:t> </w:t>
      </w:r>
    </w:p>
    <w:p w14:paraId="79FA8344" w14:textId="77777777" w:rsidR="0074536F" w:rsidRDefault="00B343E0">
      <w:r>
        <w:t>Smluvní strany berou na vědomí, že součástí Smlouvy jsou veškeré přílohy, na které se odkazuje ve Smlouvě. Definice používané ve Smlouvě jsou specifikovány přímo v textu Smlouvy nebo jsou uvedené v Příloze č. 1 Smlouvy.</w:t>
      </w:r>
    </w:p>
    <w:p w14:paraId="79FA8345" w14:textId="77777777" w:rsidR="0074536F" w:rsidRDefault="00B343E0">
      <w:r>
        <w:t> </w:t>
      </w:r>
    </w:p>
    <w:p w14:paraId="79FA8346" w14:textId="77777777" w:rsidR="0074536F" w:rsidRDefault="00B343E0">
      <w:pPr>
        <w:jc w:val="center"/>
      </w:pPr>
      <w:r>
        <w:rPr>
          <w:u w:val="single" w:color="000000"/>
        </w:rPr>
        <w:t>Informativní přehled základních parametrů Úvěru:</w:t>
      </w:r>
    </w:p>
    <w:tbl>
      <w:tblPr>
        <w:tblStyle w:val="table"/>
        <w:tblW w:w="455.35pt" w:type="dxa"/>
        <w:tblCellSpacing w:w="-5pt" w:type="dxa"/>
        <w:tblInd w:w="0.25pt" w:type="dxa"/>
        <w:tblCellMar>
          <w:top w:w="0.75pt" w:type="dxa"/>
          <w:start w:w="0.75pt" w:type="dxa"/>
          <w:bottom w:w="0.75pt" w:type="dxa"/>
          <w:end w:w="0.75pt" w:type="dxa"/>
        </w:tblCellMar>
        <w:tblLook w:firstRow="1" w:lastRow="1" w:firstColumn="1" w:lastColumn="1" w:noHBand="0" w:noVBand="1"/>
      </w:tblPr>
      <w:tblGrid>
        <w:gridCol w:w="2612"/>
        <w:gridCol w:w="6495"/>
      </w:tblGrid>
      <w:tr w:rsidR="0074536F" w14:paraId="79FA8349" w14:textId="77777777">
        <w:trPr>
          <w:cantSplit/>
          <w:trHeight w:val="165"/>
          <w:tblCellSpacing w:w="-5pt" w:type="dxa"/>
        </w:trPr>
        <w:tc>
          <w:tcPr>
            <w:tcW w:w="30.0%" w:type="pct"/>
            <w:tcMar>
              <w:top w:w="0.75pt" w:type="dxa"/>
              <w:start w:w="0.75pt" w:type="dxa"/>
              <w:bottom w:w="0.75pt" w:type="dxa"/>
              <w:end w:w="0.75pt" w:type="dxa"/>
            </w:tcMar>
            <w:vAlign w:val="center"/>
            <w:hideMark/>
          </w:tcPr>
          <w:p w14:paraId="79FA8347" w14:textId="77777777" w:rsidR="0074536F" w:rsidRDefault="00B343E0">
            <w:r>
              <w:rPr>
                <w:b/>
                <w:bCs/>
              </w:rPr>
              <w:t>Výše a měna:</w:t>
            </w:r>
          </w:p>
        </w:tc>
        <w:tc>
          <w:tcPr>
            <w:tcW w:w="70.0%" w:type="pct"/>
            <w:tcMar>
              <w:top w:w="0.75pt" w:type="dxa"/>
              <w:start w:w="0.75pt" w:type="dxa"/>
              <w:bottom w:w="0.75pt" w:type="dxa"/>
              <w:end w:w="0.75pt" w:type="dxa"/>
            </w:tcMar>
            <w:vAlign w:val="center"/>
            <w:hideMark/>
          </w:tcPr>
          <w:p w14:paraId="79FA8348" w14:textId="77777777" w:rsidR="0074536F" w:rsidRDefault="00B343E0">
            <w:r>
              <w:t>94 900 000 Kč</w:t>
            </w:r>
          </w:p>
        </w:tc>
      </w:tr>
      <w:tr w:rsidR="0074536F" w14:paraId="79FA834C" w14:textId="77777777">
        <w:trPr>
          <w:cantSplit/>
          <w:trHeight w:val="165"/>
          <w:tblCellSpacing w:w="-5pt" w:type="dxa"/>
        </w:trPr>
        <w:tc>
          <w:tcPr>
            <w:tcW w:w="30.0%" w:type="pct"/>
            <w:tcMar>
              <w:top w:w="0.75pt" w:type="dxa"/>
              <w:start w:w="0.75pt" w:type="dxa"/>
              <w:bottom w:w="0.75pt" w:type="dxa"/>
              <w:end w:w="0.75pt" w:type="dxa"/>
            </w:tcMar>
            <w:vAlign w:val="center"/>
            <w:hideMark/>
          </w:tcPr>
          <w:p w14:paraId="79FA834A" w14:textId="77777777" w:rsidR="0074536F" w:rsidRDefault="00B343E0">
            <w:r>
              <w:rPr>
                <w:b/>
                <w:bCs/>
              </w:rPr>
              <w:t>Účel:</w:t>
            </w:r>
          </w:p>
        </w:tc>
        <w:tc>
          <w:tcPr>
            <w:tcW w:w="70.0%" w:type="pct"/>
            <w:tcMar>
              <w:top w:w="0.75pt" w:type="dxa"/>
              <w:start w:w="0.75pt" w:type="dxa"/>
              <w:bottom w:w="0.75pt" w:type="dxa"/>
              <w:end w:w="0.75pt" w:type="dxa"/>
            </w:tcMar>
            <w:vAlign w:val="center"/>
            <w:hideMark/>
          </w:tcPr>
          <w:p w14:paraId="79FA834B" w14:textId="77777777" w:rsidR="0074536F" w:rsidRDefault="00B343E0">
            <w:r>
              <w:t>na všeobecné korporátní potřeby</w:t>
            </w:r>
          </w:p>
        </w:tc>
      </w:tr>
    </w:tbl>
    <w:p w14:paraId="79FA834D" w14:textId="77777777" w:rsidR="0074536F" w:rsidRDefault="0074536F">
      <w:pPr>
        <w:rPr>
          <w:vanish/>
        </w:rPr>
      </w:pPr>
    </w:p>
    <w:tbl>
      <w:tblPr>
        <w:tblStyle w:val="table"/>
        <w:tblW w:w="455.35pt" w:type="dxa"/>
        <w:tblCellSpacing w:w="-5pt" w:type="dxa"/>
        <w:tblInd w:w="0.25pt" w:type="dxa"/>
        <w:tblCellMar>
          <w:top w:w="0.75pt" w:type="dxa"/>
          <w:start w:w="0.75pt" w:type="dxa"/>
          <w:bottom w:w="0.75pt" w:type="dxa"/>
          <w:end w:w="0.75pt" w:type="dxa"/>
        </w:tblCellMar>
        <w:tblLook w:firstRow="1" w:lastRow="1" w:firstColumn="1" w:lastColumn="1" w:noHBand="0" w:noVBand="1"/>
      </w:tblPr>
      <w:tblGrid>
        <w:gridCol w:w="2612"/>
        <w:gridCol w:w="6495"/>
      </w:tblGrid>
      <w:tr w:rsidR="0074536F" w14:paraId="79FA8350" w14:textId="77777777">
        <w:trPr>
          <w:cantSplit/>
          <w:tblCellSpacing w:w="-5pt" w:type="dxa"/>
        </w:trPr>
        <w:tc>
          <w:tcPr>
            <w:tcW w:w="30.0%" w:type="pct"/>
            <w:tcMar>
              <w:top w:w="0.75pt" w:type="dxa"/>
              <w:start w:w="0.75pt" w:type="dxa"/>
              <w:bottom w:w="0.75pt" w:type="dxa"/>
              <w:end w:w="0.75pt" w:type="dxa"/>
            </w:tcMar>
            <w:vAlign w:val="center"/>
            <w:hideMark/>
          </w:tcPr>
          <w:p w14:paraId="79FA834E" w14:textId="77777777" w:rsidR="0074536F" w:rsidRDefault="00B343E0">
            <w:r>
              <w:rPr>
                <w:b/>
                <w:bCs/>
              </w:rPr>
              <w:t>Typ Úvěru:</w:t>
            </w:r>
          </w:p>
        </w:tc>
        <w:tc>
          <w:tcPr>
            <w:tcW w:w="70.0%" w:type="pct"/>
            <w:tcMar>
              <w:top w:w="0.75pt" w:type="dxa"/>
              <w:start w:w="0.75pt" w:type="dxa"/>
              <w:bottom w:w="0.75pt" w:type="dxa"/>
              <w:end w:w="0.75pt" w:type="dxa"/>
            </w:tcMar>
            <w:vAlign w:val="center"/>
            <w:hideMark/>
          </w:tcPr>
          <w:p w14:paraId="79FA834F" w14:textId="77777777" w:rsidR="0074536F" w:rsidRDefault="00B343E0">
            <w:r>
              <w:t>Účelový úvěr závazný</w:t>
            </w:r>
          </w:p>
        </w:tc>
      </w:tr>
    </w:tbl>
    <w:p w14:paraId="79FA8351" w14:textId="77777777" w:rsidR="0074536F" w:rsidRDefault="0074536F">
      <w:pPr>
        <w:rPr>
          <w:vanish/>
        </w:rPr>
      </w:pPr>
    </w:p>
    <w:tbl>
      <w:tblPr>
        <w:tblStyle w:val="table"/>
        <w:tblW w:w="455.35pt" w:type="dxa"/>
        <w:tblCellSpacing w:w="-5pt" w:type="dxa"/>
        <w:tblInd w:w="0.25pt" w:type="dxa"/>
        <w:tblCellMar>
          <w:top w:w="0.75pt" w:type="dxa"/>
          <w:start w:w="0.75pt" w:type="dxa"/>
          <w:bottom w:w="0.75pt" w:type="dxa"/>
          <w:end w:w="0.75pt" w:type="dxa"/>
        </w:tblCellMar>
        <w:tblLook w:firstRow="1" w:lastRow="1" w:firstColumn="1" w:lastColumn="1" w:noHBand="0" w:noVBand="1"/>
      </w:tblPr>
      <w:tblGrid>
        <w:gridCol w:w="2612"/>
        <w:gridCol w:w="6495"/>
      </w:tblGrid>
      <w:tr w:rsidR="0074536F" w14:paraId="79FA8354" w14:textId="77777777">
        <w:trPr>
          <w:cantSplit/>
          <w:tblCellSpacing w:w="-5pt" w:type="dxa"/>
        </w:trPr>
        <w:tc>
          <w:tcPr>
            <w:tcW w:w="30.0%" w:type="pct"/>
            <w:tcMar>
              <w:top w:w="0.75pt" w:type="dxa"/>
              <w:start w:w="0.75pt" w:type="dxa"/>
              <w:bottom w:w="0.75pt" w:type="dxa"/>
              <w:end w:w="0.75pt" w:type="dxa"/>
            </w:tcMar>
            <w:hideMark/>
          </w:tcPr>
          <w:p w14:paraId="79FA8352" w14:textId="77777777" w:rsidR="0074536F" w:rsidRDefault="00B343E0">
            <w:r>
              <w:rPr>
                <w:b/>
                <w:bCs/>
              </w:rPr>
              <w:t>Úroková sazba:</w:t>
            </w:r>
          </w:p>
        </w:tc>
        <w:tc>
          <w:tcPr>
            <w:tcW w:w="70.0%" w:type="pct"/>
            <w:tcMar>
              <w:top w:w="0.75pt" w:type="dxa"/>
              <w:start w:w="0.75pt" w:type="dxa"/>
              <w:bottom w:w="0.75pt" w:type="dxa"/>
              <w:end w:w="0.75pt" w:type="dxa"/>
            </w:tcMar>
            <w:vAlign w:val="center"/>
            <w:hideMark/>
          </w:tcPr>
          <w:p w14:paraId="79FA8353" w14:textId="77777777" w:rsidR="0074536F" w:rsidRDefault="00B343E0">
            <w:r>
              <w:t xml:space="preserve">fixní úroková sazba ve výši 3,88 % </w:t>
            </w:r>
            <w:proofErr w:type="spellStart"/>
            <w:r>
              <w:t>p.a</w:t>
            </w:r>
            <w:proofErr w:type="spellEnd"/>
            <w:r>
              <w:t>.</w:t>
            </w:r>
          </w:p>
        </w:tc>
      </w:tr>
    </w:tbl>
    <w:p w14:paraId="79FA8355" w14:textId="77777777" w:rsidR="0074536F" w:rsidRDefault="0074536F">
      <w:pPr>
        <w:rPr>
          <w:vanish/>
        </w:rPr>
      </w:pPr>
    </w:p>
    <w:tbl>
      <w:tblPr>
        <w:tblStyle w:val="table"/>
        <w:tblW w:w="455.35pt" w:type="dxa"/>
        <w:tblCellSpacing w:w="-5pt" w:type="dxa"/>
        <w:tblInd w:w="0.25pt" w:type="dxa"/>
        <w:tblCellMar>
          <w:top w:w="0.75pt" w:type="dxa"/>
          <w:start w:w="0.75pt" w:type="dxa"/>
          <w:bottom w:w="0.75pt" w:type="dxa"/>
          <w:end w:w="0.75pt" w:type="dxa"/>
        </w:tblCellMar>
        <w:tblLook w:firstRow="1" w:lastRow="1" w:firstColumn="1" w:lastColumn="1" w:noHBand="0" w:noVBand="1"/>
      </w:tblPr>
      <w:tblGrid>
        <w:gridCol w:w="2612"/>
        <w:gridCol w:w="6495"/>
      </w:tblGrid>
      <w:tr w:rsidR="0074536F" w14:paraId="79FA8358" w14:textId="77777777">
        <w:trPr>
          <w:cantSplit/>
          <w:trHeight w:val="165"/>
          <w:tblCellSpacing w:w="-5pt" w:type="dxa"/>
        </w:trPr>
        <w:tc>
          <w:tcPr>
            <w:tcW w:w="30.0%" w:type="pct"/>
            <w:tcMar>
              <w:top w:w="0.75pt" w:type="dxa"/>
              <w:start w:w="0.75pt" w:type="dxa"/>
              <w:bottom w:w="0.75pt" w:type="dxa"/>
              <w:end w:w="0.75pt" w:type="dxa"/>
            </w:tcMar>
            <w:vAlign w:val="center"/>
            <w:hideMark/>
          </w:tcPr>
          <w:p w14:paraId="79FA8356" w14:textId="77777777" w:rsidR="0074536F" w:rsidRDefault="00B343E0">
            <w:r>
              <w:rPr>
                <w:b/>
                <w:bCs/>
              </w:rPr>
              <w:t>Období čerpání:</w:t>
            </w:r>
          </w:p>
        </w:tc>
        <w:tc>
          <w:tcPr>
            <w:tcW w:w="70.0%" w:type="pct"/>
            <w:tcMar>
              <w:top w:w="0.75pt" w:type="dxa"/>
              <w:start w:w="0.75pt" w:type="dxa"/>
              <w:bottom w:w="0.75pt" w:type="dxa"/>
              <w:end w:w="0.75pt" w:type="dxa"/>
            </w:tcMar>
            <w:vAlign w:val="center"/>
            <w:hideMark/>
          </w:tcPr>
          <w:p w14:paraId="79FA8357" w14:textId="77777777" w:rsidR="0074536F" w:rsidRDefault="00B343E0">
            <w:r>
              <w:t>do dne 27.2.2025</w:t>
            </w:r>
          </w:p>
        </w:tc>
      </w:tr>
      <w:tr w:rsidR="0074536F" w14:paraId="79FA835B" w14:textId="77777777">
        <w:trPr>
          <w:cantSplit/>
          <w:trHeight w:val="165"/>
          <w:tblCellSpacing w:w="-5pt" w:type="dxa"/>
        </w:trPr>
        <w:tc>
          <w:tcPr>
            <w:tcW w:w="30.0%" w:type="pct"/>
            <w:tcMar>
              <w:top w:w="0.75pt" w:type="dxa"/>
              <w:start w:w="0.75pt" w:type="dxa"/>
              <w:bottom w:w="0.75pt" w:type="dxa"/>
              <w:end w:w="0.75pt" w:type="dxa"/>
            </w:tcMar>
            <w:vAlign w:val="center"/>
            <w:hideMark/>
          </w:tcPr>
          <w:p w14:paraId="79FA8359" w14:textId="77777777" w:rsidR="0074536F" w:rsidRDefault="00B343E0">
            <w:r>
              <w:rPr>
                <w:b/>
                <w:bCs/>
              </w:rPr>
              <w:t>Splatnost:</w:t>
            </w:r>
          </w:p>
        </w:tc>
        <w:tc>
          <w:tcPr>
            <w:tcW w:w="70.0%" w:type="pct"/>
            <w:tcMar>
              <w:top w:w="0.75pt" w:type="dxa"/>
              <w:start w:w="0.75pt" w:type="dxa"/>
              <w:bottom w:w="0.75pt" w:type="dxa"/>
              <w:end w:w="0.75pt" w:type="dxa"/>
            </w:tcMar>
            <w:vAlign w:val="center"/>
            <w:hideMark/>
          </w:tcPr>
          <w:p w14:paraId="79FA835A" w14:textId="77777777" w:rsidR="0074536F" w:rsidRDefault="00B343E0">
            <w:r>
              <w:t>do dne 29.11.2029</w:t>
            </w:r>
          </w:p>
        </w:tc>
      </w:tr>
    </w:tbl>
    <w:p w14:paraId="79FA835C" w14:textId="77777777" w:rsidR="0074536F" w:rsidRDefault="0074536F"/>
    <w:p w14:paraId="79FA835D" w14:textId="77777777" w:rsidR="0074536F" w:rsidRDefault="00B343E0">
      <w:pPr>
        <w:pStyle w:val="Nadpis1"/>
        <w:spacing w:before="0pt" w:after="0pt"/>
      </w:pPr>
      <w:r>
        <w:t>Článek I.</w:t>
      </w:r>
    </w:p>
    <w:p w14:paraId="79FA835E" w14:textId="77777777" w:rsidR="0074536F" w:rsidRDefault="00B343E0">
      <w:pPr>
        <w:keepNext/>
        <w:jc w:val="center"/>
      </w:pPr>
      <w:r>
        <w:rPr>
          <w:b/>
          <w:bCs/>
          <w:u w:val="single" w:color="000000"/>
        </w:rPr>
        <w:t>Úvěr a čerpání</w:t>
      </w:r>
    </w:p>
    <w:p w14:paraId="79FA835F" w14:textId="77777777" w:rsidR="0074536F" w:rsidRDefault="00B343E0">
      <w:pPr>
        <w:numPr>
          <w:ilvl w:val="0"/>
          <w:numId w:val="1"/>
        </w:numPr>
        <w:ind w:start="28.30pt" w:hanging="28.30pt"/>
      </w:pPr>
      <w:r>
        <w:t>Banka se zavazuje poskytovat Klientovi peněžní prostředky do výše 94 900 000 Kč („</w:t>
      </w:r>
      <w:r>
        <w:rPr>
          <w:b/>
          <w:bCs/>
        </w:rPr>
        <w:t>Úvěrový limit</w:t>
      </w:r>
      <w:r>
        <w:t xml:space="preserve">“) na </w:t>
      </w:r>
      <w:r>
        <w:rPr>
          <w:rStyle w:val="cg3-block-content-condition"/>
        </w:rPr>
        <w:t>všeobecné korporátní potřeby</w:t>
      </w:r>
      <w:r>
        <w:t xml:space="preserve"> </w:t>
      </w:r>
      <w:r>
        <w:rPr>
          <w:rStyle w:val="cg3-block-content-condition"/>
        </w:rPr>
        <w:t>bez DPH</w:t>
      </w:r>
      <w:r>
        <w:t> („</w:t>
      </w:r>
      <w:r>
        <w:rPr>
          <w:b/>
          <w:bCs/>
        </w:rPr>
        <w:t>Účel</w:t>
      </w:r>
      <w:r>
        <w:t>“).</w:t>
      </w:r>
    </w:p>
    <w:p w14:paraId="79FA8360" w14:textId="77777777" w:rsidR="0074536F" w:rsidRDefault="00B343E0">
      <w:pPr>
        <w:numPr>
          <w:ilvl w:val="0"/>
          <w:numId w:val="1"/>
        </w:numPr>
        <w:ind w:start="28.30pt" w:hanging="28.30pt"/>
      </w:pPr>
      <w:r>
        <w:t>Klient se zavazuje poskytnuté peněžní prostředky vrátit a zaplatit z nich úroky.</w:t>
      </w:r>
    </w:p>
    <w:p w14:paraId="79FA8361" w14:textId="77777777" w:rsidR="0074536F" w:rsidRDefault="00B343E0">
      <w:pPr>
        <w:numPr>
          <w:ilvl w:val="0"/>
          <w:numId w:val="1"/>
        </w:numPr>
        <w:ind w:start="28.30pt" w:hanging="28.30pt"/>
      </w:pPr>
      <w:r>
        <w:t>Banka poskytne Klientovi peněžní prostředky z úvěru podle Smlouvy („</w:t>
      </w:r>
      <w:r>
        <w:rPr>
          <w:b/>
          <w:bCs/>
        </w:rPr>
        <w:t>Úvěr</w:t>
      </w:r>
      <w:r>
        <w:t>“) v období ode dne uzavření Smlouvy (včetně) do dne 27.2.2025 (včetně) („</w:t>
      </w:r>
      <w:r>
        <w:rPr>
          <w:b/>
          <w:bCs/>
        </w:rPr>
        <w:t>Období čerpání</w:t>
      </w:r>
      <w:r>
        <w:t>“), pokud:</w:t>
      </w:r>
    </w:p>
    <w:p w14:paraId="79FA8362" w14:textId="77777777" w:rsidR="0074536F" w:rsidRDefault="00B343E0">
      <w:pPr>
        <w:numPr>
          <w:ilvl w:val="1"/>
          <w:numId w:val="1"/>
        </w:numPr>
        <w:ind w:start="56.60pt" w:hanging="28.30pt"/>
      </w:pPr>
      <w:r>
        <w:t>Banka obdržela nejpozději 2 pracovní dny před požadovaným dnem čerpání žádost o čerpání s tím, že v případě prvního čerpání Úvěru může být žádost o čerpání předložena i později,</w:t>
      </w:r>
    </w:p>
    <w:p w14:paraId="79FA8363" w14:textId="77777777" w:rsidR="0074536F" w:rsidRDefault="00B343E0">
      <w:pPr>
        <w:numPr>
          <w:ilvl w:val="1"/>
          <w:numId w:val="1"/>
        </w:numPr>
        <w:ind w:start="56.60pt" w:hanging="28.30pt"/>
      </w:pPr>
      <w:r>
        <w:t>Banka obdržela všechny smluvně dohodnuté podklady a dokumenty a byly zaplaceny veškeré Smlouvou stanovené poplatky v dohodnutých dnech splatnosti,</w:t>
      </w:r>
    </w:p>
    <w:p w14:paraId="79FA8364" w14:textId="77777777" w:rsidR="0074536F" w:rsidRDefault="00B343E0">
      <w:pPr>
        <w:numPr>
          <w:ilvl w:val="1"/>
          <w:numId w:val="1"/>
        </w:numPr>
        <w:ind w:start="56.60pt" w:hanging="28.30pt"/>
      </w:pPr>
      <w:r>
        <w:lastRenderedPageBreak/>
        <w:t>Klient plní vůči Bance řádně a včas své povinnosti převzaté Smlouvou a/nebo v souvislosti se Smlouvou,</w:t>
      </w:r>
    </w:p>
    <w:p w14:paraId="79FA8365" w14:textId="77777777" w:rsidR="0074536F" w:rsidRDefault="00B343E0">
      <w:pPr>
        <w:numPr>
          <w:ilvl w:val="1"/>
          <w:numId w:val="1"/>
        </w:numPr>
        <w:ind w:start="56.60pt" w:hanging="28.30pt"/>
      </w:pPr>
      <w:r>
        <w:t>nedošlo k Případu porušení.</w:t>
      </w:r>
    </w:p>
    <w:p w14:paraId="79FA8366" w14:textId="7C9B8181" w:rsidR="0074536F" w:rsidRDefault="00B343E0">
      <w:pPr>
        <w:numPr>
          <w:ilvl w:val="0"/>
          <w:numId w:val="1"/>
        </w:numPr>
        <w:ind w:start="28.30pt" w:hanging="28.30pt"/>
      </w:pPr>
      <w:r>
        <w:t>Banka pro Klienta vede účet č. </w:t>
      </w:r>
      <w:proofErr w:type="spellStart"/>
      <w:r w:rsidR="007D2E06">
        <w:t>xxxxx</w:t>
      </w:r>
      <w:proofErr w:type="spellEnd"/>
      <w:r>
        <w:t xml:space="preserve"> v Kč („</w:t>
      </w:r>
      <w:r>
        <w:rPr>
          <w:b/>
          <w:bCs/>
        </w:rPr>
        <w:t>Účet</w:t>
      </w:r>
      <w:r>
        <w:t>“).</w:t>
      </w:r>
    </w:p>
    <w:p w14:paraId="79FA8367" w14:textId="77777777" w:rsidR="0074536F" w:rsidRDefault="00B343E0">
      <w:pPr>
        <w:numPr>
          <w:ilvl w:val="0"/>
          <w:numId w:val="1"/>
        </w:numPr>
        <w:ind w:start="28.30pt" w:hanging="28.30pt"/>
      </w:pPr>
      <w:r>
        <w:t>Banka Klientovi poskytne Úvěr převody příslušných částek z úvěrového účtu na Účet.</w:t>
      </w:r>
    </w:p>
    <w:p w14:paraId="79FA8368" w14:textId="77777777" w:rsidR="0074536F" w:rsidRDefault="00B343E0">
      <w:pPr>
        <w:numPr>
          <w:ilvl w:val="0"/>
          <w:numId w:val="1"/>
        </w:numPr>
        <w:ind w:start="28.30pt" w:hanging="28.30pt"/>
      </w:pPr>
      <w:r>
        <w:t>Banka bude vystavovat výpisy z úvěrového účtu a zasílat je Klientovi.</w:t>
      </w:r>
    </w:p>
    <w:p w14:paraId="79FA8369" w14:textId="77777777" w:rsidR="0074536F" w:rsidRDefault="00B343E0">
      <w:pPr>
        <w:numPr>
          <w:ilvl w:val="0"/>
          <w:numId w:val="1"/>
        </w:numPr>
        <w:ind w:start="28.30pt" w:hanging="28.30pt"/>
      </w:pPr>
      <w:r>
        <w:t>Nejsou-li splněny veškeré podmínky tohoto Článku Smlouvy, Banka nemusí čerpání Úvěru umožnit.</w:t>
      </w:r>
    </w:p>
    <w:p w14:paraId="79FA836A" w14:textId="77777777" w:rsidR="0074536F" w:rsidRDefault="00B343E0">
      <w:pPr>
        <w:numPr>
          <w:ilvl w:val="0"/>
          <w:numId w:val="1"/>
        </w:numPr>
        <w:ind w:start="28.30pt" w:hanging="28.30pt"/>
      </w:pPr>
      <w:r>
        <w:t>Klient je oprávněn doručovat Bance žádosti o čerpání též způsobem sjednaným ve Smlouvě č. 42869872-1 o využívání služby ČSOB CEB uzavřené mezi Bankou a Klientem dne 14.3.2024, tj. prostřednictvím Virtuální pobočky CEB.</w:t>
      </w:r>
    </w:p>
    <w:p w14:paraId="79FA836B" w14:textId="77777777" w:rsidR="0074536F" w:rsidRDefault="0074536F"/>
    <w:p w14:paraId="79FA836C" w14:textId="77777777" w:rsidR="0074536F" w:rsidRDefault="00B343E0">
      <w:pPr>
        <w:pStyle w:val="Nadpis1"/>
        <w:spacing w:before="0pt" w:after="0pt"/>
      </w:pPr>
      <w:r>
        <w:t>Článek II.</w:t>
      </w:r>
    </w:p>
    <w:p w14:paraId="79FA836D" w14:textId="77777777" w:rsidR="0074536F" w:rsidRDefault="00B343E0">
      <w:pPr>
        <w:keepNext/>
        <w:jc w:val="center"/>
      </w:pPr>
      <w:r>
        <w:rPr>
          <w:b/>
          <w:bCs/>
          <w:u w:val="single" w:color="000000"/>
        </w:rPr>
        <w:t>Úroky a poplatky</w:t>
      </w:r>
    </w:p>
    <w:p w14:paraId="79FA836E" w14:textId="77777777" w:rsidR="0074536F" w:rsidRDefault="00B343E0">
      <w:pPr>
        <w:numPr>
          <w:ilvl w:val="0"/>
          <w:numId w:val="2"/>
        </w:numPr>
        <w:ind w:start="28.30pt" w:hanging="28.30pt"/>
      </w:pPr>
      <w:r>
        <w:t xml:space="preserve">Úvěr je úročen fixní úrokovou sazbou ve výši 3,88 % </w:t>
      </w:r>
      <w:proofErr w:type="spellStart"/>
      <w:r>
        <w:t>p.a</w:t>
      </w:r>
      <w:proofErr w:type="spellEnd"/>
      <w:r>
        <w:t>.</w:t>
      </w:r>
    </w:p>
    <w:p w14:paraId="79FA836F" w14:textId="77777777" w:rsidR="0074536F" w:rsidRDefault="00B343E0">
      <w:pPr>
        <w:numPr>
          <w:ilvl w:val="0"/>
          <w:numId w:val="2"/>
        </w:numPr>
        <w:ind w:start="28.30pt" w:hanging="28.30pt"/>
      </w:pPr>
      <w:r>
        <w:t>Úrok z Úvěru je splatný (i) vždy v poslední pracovní den každého kalendářního čtvrtletí a (</w:t>
      </w:r>
      <w:proofErr w:type="spellStart"/>
      <w:r>
        <w:t>ii</w:t>
      </w:r>
      <w:proofErr w:type="spellEnd"/>
      <w:r>
        <w:t>) v den, kdy má být Úvěr podle Smlouvy plně splacen.</w:t>
      </w:r>
    </w:p>
    <w:p w14:paraId="79FA8370" w14:textId="77777777" w:rsidR="0074536F" w:rsidRDefault="00B343E0">
      <w:pPr>
        <w:numPr>
          <w:ilvl w:val="0"/>
          <w:numId w:val="2"/>
        </w:numPr>
        <w:ind w:start="28.30pt" w:hanging="28.30pt"/>
      </w:pPr>
      <w:r>
        <w:t>Výpočet veškerých úroků podle Smlouvy (včetně úroku z prodlení) provádí Banka na základě roku o 360 dnech a měsících o skutečném počtu kalendářních dnů.</w:t>
      </w:r>
    </w:p>
    <w:p w14:paraId="79FA8371" w14:textId="77777777" w:rsidR="0074536F" w:rsidRDefault="00B343E0">
      <w:pPr>
        <w:numPr>
          <w:ilvl w:val="0"/>
          <w:numId w:val="2"/>
        </w:numPr>
        <w:ind w:start="28.30pt" w:hanging="28.30pt"/>
      </w:pPr>
      <w:r>
        <w:t xml:space="preserve">Klient se zavazuje od prvního pracovního dne následujícího po dni uzavření Smlouvy do konce Období čerpání platit Bance za rezervaci zdrojů poplatek ve výši 0,05 % </w:t>
      </w:r>
      <w:proofErr w:type="spellStart"/>
      <w:r>
        <w:t>p.a</w:t>
      </w:r>
      <w:proofErr w:type="spellEnd"/>
      <w:r>
        <w:t>. z nečerpané části Úvěrového limitu. Tento poplatek je splatný vždy v poslední den kalendářního měsíce a v poslední den Období čerpání.</w:t>
      </w:r>
    </w:p>
    <w:p w14:paraId="79FA8372" w14:textId="77777777" w:rsidR="0074536F" w:rsidRDefault="00B343E0">
      <w:pPr>
        <w:numPr>
          <w:ilvl w:val="0"/>
          <w:numId w:val="2"/>
        </w:numPr>
        <w:ind w:start="28.30pt" w:hanging="28.30pt"/>
      </w:pPr>
      <w:r>
        <w:t xml:space="preserve">Klient se zavazuje zaplatit Bance za nečerpání Úvěru v plné výši Úvěrového limitu jednorázový poplatek ve výši škody a nákladů vypočítaných Bankou </w:t>
      </w:r>
      <w:proofErr w:type="gramStart"/>
      <w:r>
        <w:t>vzniklých nečerpáním Úvěru</w:t>
      </w:r>
      <w:proofErr w:type="gramEnd"/>
      <w:r>
        <w:t xml:space="preserve"> v plné výši Úvěrového limitu. Tento poplatek zahrnuje také ztráty a náklady vzniklé ukončením nebo likvidací zajištění specifické úrokové sazby či odpovídající obchodní pozice Banky. Tento poplatek je splatný v den, kterým </w:t>
      </w:r>
      <w:proofErr w:type="gramStart"/>
      <w:r>
        <w:t>končí</w:t>
      </w:r>
      <w:proofErr w:type="gramEnd"/>
      <w:r>
        <w:t xml:space="preserve"> Období čerpání.</w:t>
      </w:r>
    </w:p>
    <w:p w14:paraId="79FA8373" w14:textId="77777777" w:rsidR="0074536F" w:rsidRDefault="00B343E0">
      <w:pPr>
        <w:numPr>
          <w:ilvl w:val="0"/>
          <w:numId w:val="2"/>
        </w:numPr>
        <w:ind w:start="28.30pt" w:hanging="28.30pt"/>
      </w:pPr>
      <w:r>
        <w:t xml:space="preserve">Z každé splatné a nezaplacené částky podle Smlouvy (kromě úroku) se Klient zavazuje (namísto úrokové sazby sjednané výše v tomto Článku Smlouvy) zaplatit Bance úrok z prodlení ve výši </w:t>
      </w:r>
      <w:r>
        <w:rPr>
          <w:rStyle w:val="cg3-block-content-condition"/>
        </w:rPr>
        <w:t xml:space="preserve">15 % </w:t>
      </w:r>
      <w:proofErr w:type="spellStart"/>
      <w:r>
        <w:rPr>
          <w:rStyle w:val="cg3-block-content-condition"/>
        </w:rPr>
        <w:t>p.a</w:t>
      </w:r>
      <w:proofErr w:type="spellEnd"/>
      <w:r>
        <w:rPr>
          <w:rStyle w:val="cg3-block-content-condition"/>
        </w:rPr>
        <w:t>.</w:t>
      </w:r>
      <w:r>
        <w:t xml:space="preserve"> Úrok z prodlení je splatný ihned.</w:t>
      </w:r>
    </w:p>
    <w:p w14:paraId="79FA8374" w14:textId="77777777" w:rsidR="0074536F" w:rsidRDefault="0074536F"/>
    <w:p w14:paraId="79FA8375" w14:textId="77777777" w:rsidR="0074536F" w:rsidRDefault="00B343E0">
      <w:pPr>
        <w:pStyle w:val="Nadpis1"/>
        <w:spacing w:before="0pt" w:after="0pt"/>
      </w:pPr>
      <w:r>
        <w:t>Článek III.</w:t>
      </w:r>
    </w:p>
    <w:p w14:paraId="79FA8376" w14:textId="77777777" w:rsidR="0074536F" w:rsidRDefault="00B343E0">
      <w:pPr>
        <w:keepNext/>
        <w:jc w:val="center"/>
      </w:pPr>
      <w:r>
        <w:rPr>
          <w:b/>
          <w:bCs/>
          <w:u w:val="single" w:color="000000"/>
        </w:rPr>
        <w:t>Splácení</w:t>
      </w:r>
    </w:p>
    <w:p w14:paraId="79FA8377" w14:textId="77777777" w:rsidR="0074536F" w:rsidRDefault="00B343E0">
      <w:pPr>
        <w:numPr>
          <w:ilvl w:val="0"/>
          <w:numId w:val="3"/>
        </w:numPr>
        <w:ind w:start="28.30pt" w:hanging="28.30pt"/>
      </w:pPr>
      <w:r>
        <w:t>Klient je povinen splatit Úvěr v pravidelných splátkách ve výši 4 745 000 Kč splatných vždy v poslední pracovní den 2. měsíce každého kalendářního čtvrtletí. První splátka ve výši 4 745 000 Kč je splatná dne 28.2.2025 a poslední splátka ve výši 4 745 000 Kč je splatná dne 29.11.2029.</w:t>
      </w:r>
    </w:p>
    <w:p w14:paraId="79FA8378" w14:textId="77777777" w:rsidR="0074536F" w:rsidRDefault="00B343E0">
      <w:pPr>
        <w:numPr>
          <w:ilvl w:val="0"/>
          <w:numId w:val="3"/>
        </w:numPr>
        <w:ind w:start="28.30pt" w:hanging="28.30pt"/>
      </w:pPr>
      <w:r>
        <w:t>Klient je oprávněn předčasně splatit Úvěr i s úroky pouze (i) po předchozí písemné dohodě s Bankou, která bude uzavřena na základě závazného písemného požadavku Klienta předloženého Bance nejpozději 10 pracovních dní před požadovaným termínem mimořádné splátky s uvedením výše a data mimořádné splátky a (</w:t>
      </w:r>
      <w:proofErr w:type="spellStart"/>
      <w:r>
        <w:t>ii</w:t>
      </w:r>
      <w:proofErr w:type="spellEnd"/>
      <w:r>
        <w:t>) k datu splatnosti úroků z Úvěru.</w:t>
      </w:r>
    </w:p>
    <w:p w14:paraId="79FA8379" w14:textId="77777777" w:rsidR="0074536F" w:rsidRDefault="00B343E0">
      <w:pPr>
        <w:numPr>
          <w:ilvl w:val="0"/>
          <w:numId w:val="3"/>
        </w:numPr>
        <w:ind w:start="28.30pt" w:hanging="28.30pt"/>
      </w:pPr>
      <w:r>
        <w:t>Klient se zavazuje za předčasné splacení Úvěru zaplatit poplatek sjednaný v dohodě o mimořádné splátce. Tento poplatek bude zahrnovat ztrátu a náklady vzniklé ukončením nebo likvidací zajištění specifické úrokové sazby nebo obchodní pozice Banky odpovídající objemu předčasně splacené části Úvěru.</w:t>
      </w:r>
    </w:p>
    <w:p w14:paraId="79FA837A" w14:textId="77777777" w:rsidR="0074536F" w:rsidRDefault="00B343E0">
      <w:pPr>
        <w:numPr>
          <w:ilvl w:val="0"/>
          <w:numId w:val="3"/>
        </w:numPr>
        <w:ind w:start="28.30pt" w:hanging="28.30pt"/>
      </w:pPr>
      <w:r>
        <w:t>Jakékoli předčasně splacené peněžní prostředky z Úvěru nemohou být znovu čerpány.</w:t>
      </w:r>
    </w:p>
    <w:p w14:paraId="79FA837B" w14:textId="77777777" w:rsidR="0074536F" w:rsidRDefault="00B343E0">
      <w:pPr>
        <w:numPr>
          <w:ilvl w:val="0"/>
          <w:numId w:val="3"/>
        </w:numPr>
        <w:ind w:start="28.30pt" w:hanging="28.30pt"/>
      </w:pPr>
      <w:r>
        <w:t>Jakoukoli peněžitou pohledávku Banky ze Smlouvy či se Smlouvou související je Banka oprávněna ode dne její splatnosti inkasovat z Účtu. Klient je povinen zajistit, aby byl na Účtu dostatek peněžních prostředků k tomuto inkasu. Nepostačuje-li zůstatek na Účtu k tomuto inkasu, je Banka oprávněna inkasovat dlužnou částku z jakéhokoli jiného účtu Klienta, vedeného u Banky.</w:t>
      </w:r>
    </w:p>
    <w:p w14:paraId="79FA837C" w14:textId="77777777" w:rsidR="0074536F" w:rsidRDefault="00B343E0">
      <w:pPr>
        <w:numPr>
          <w:ilvl w:val="0"/>
          <w:numId w:val="3"/>
        </w:numPr>
        <w:ind w:start="28.30pt" w:hanging="28.30pt"/>
      </w:pPr>
      <w:r>
        <w:t>Připadne-li den splatnosti úroků z prodlení a poplatků na sobotu, neděli nebo svátek, inkasuje Banka takové dlužné částky v příslušný (nepracovní) den.</w:t>
      </w:r>
    </w:p>
    <w:p w14:paraId="79FA837D" w14:textId="77777777" w:rsidR="0074536F" w:rsidRDefault="00B343E0">
      <w:pPr>
        <w:numPr>
          <w:ilvl w:val="0"/>
          <w:numId w:val="3"/>
        </w:numPr>
        <w:ind w:start="28.30pt" w:hanging="28.30pt"/>
      </w:pPr>
      <w:r>
        <w:lastRenderedPageBreak/>
        <w:t xml:space="preserve">Inkasuje-li (nebo obdrží-li jinak) Banka v souvislosti se Smlouvou jakoukoli platbu, která nepostačuje k plné úhradě dlužné částky podle Smlouvy, Banka stanoví, na </w:t>
      </w:r>
      <w:proofErr w:type="gramStart"/>
      <w:r>
        <w:t>úhradu</w:t>
      </w:r>
      <w:proofErr w:type="gramEnd"/>
      <w:r>
        <w:t xml:space="preserve"> jaké dlužné částky podle Smlouvy či její části se tato platba použije.</w:t>
      </w:r>
    </w:p>
    <w:p w14:paraId="79FA837E" w14:textId="77777777" w:rsidR="0074536F" w:rsidRDefault="00B343E0">
      <w:pPr>
        <w:numPr>
          <w:ilvl w:val="0"/>
          <w:numId w:val="3"/>
        </w:numPr>
        <w:ind w:start="28.30pt" w:hanging="28.30pt"/>
      </w:pPr>
      <w:r>
        <w:t>Přepočet jedné měny do jiné měny provádí Banka kurzem podle kurzovního lístku Banky platného v okamžik provedení příslušného přepočtu měn, s výjimkou Přepočtu čerpání.</w:t>
      </w:r>
    </w:p>
    <w:p w14:paraId="79FA837F" w14:textId="77777777" w:rsidR="0074536F" w:rsidRDefault="0074536F"/>
    <w:p w14:paraId="79FA8380" w14:textId="77777777" w:rsidR="0074536F" w:rsidRDefault="00B343E0">
      <w:pPr>
        <w:pStyle w:val="Nadpis1"/>
        <w:spacing w:before="0pt" w:after="0pt"/>
      </w:pPr>
      <w:r>
        <w:t>Článek IV.</w:t>
      </w:r>
    </w:p>
    <w:p w14:paraId="79FA8381" w14:textId="77777777" w:rsidR="0074536F" w:rsidRDefault="00B343E0">
      <w:pPr>
        <w:keepNext/>
        <w:jc w:val="center"/>
      </w:pPr>
      <w:r>
        <w:rPr>
          <w:b/>
          <w:bCs/>
          <w:u w:val="single" w:color="000000"/>
        </w:rPr>
        <w:t>Zajištění</w:t>
      </w:r>
    </w:p>
    <w:p w14:paraId="79FA8382" w14:textId="77777777" w:rsidR="0074536F" w:rsidRDefault="00B343E0">
      <w:pPr>
        <w:numPr>
          <w:ilvl w:val="0"/>
          <w:numId w:val="4"/>
        </w:numPr>
        <w:ind w:start="28.30pt" w:hanging="28.30pt"/>
      </w:pPr>
      <w:r>
        <w:t>Dluhy ze Smlouvy či se Smlouvou související nebudou zajištěny.</w:t>
      </w:r>
    </w:p>
    <w:p w14:paraId="79FA8383" w14:textId="77777777" w:rsidR="0074536F" w:rsidRDefault="0074536F"/>
    <w:p w14:paraId="79FA8384" w14:textId="77777777" w:rsidR="0074536F" w:rsidRDefault="00B343E0">
      <w:pPr>
        <w:pStyle w:val="Nadpis1"/>
        <w:spacing w:before="0pt" w:after="0pt"/>
      </w:pPr>
      <w:r>
        <w:t>Článek V.</w:t>
      </w:r>
    </w:p>
    <w:p w14:paraId="79FA8385" w14:textId="77777777" w:rsidR="0074536F" w:rsidRDefault="00B343E0">
      <w:pPr>
        <w:keepNext/>
        <w:jc w:val="center"/>
      </w:pPr>
      <w:r>
        <w:rPr>
          <w:b/>
          <w:bCs/>
          <w:u w:val="single" w:color="000000"/>
        </w:rPr>
        <w:t>Prohlášení</w:t>
      </w:r>
    </w:p>
    <w:p w14:paraId="79FA8386" w14:textId="77777777" w:rsidR="0074536F" w:rsidRDefault="00B343E0">
      <w:pPr>
        <w:numPr>
          <w:ilvl w:val="0"/>
          <w:numId w:val="5"/>
        </w:numPr>
        <w:ind w:start="28.30pt" w:hanging="28.30pt"/>
      </w:pPr>
      <w:r>
        <w:t>Klient Bance prohlašuje ke dni uzavření Smlouvy, že:</w:t>
      </w:r>
    </w:p>
    <w:p w14:paraId="79FA8387" w14:textId="77777777" w:rsidR="0074536F" w:rsidRDefault="00B343E0">
      <w:pPr>
        <w:numPr>
          <w:ilvl w:val="1"/>
          <w:numId w:val="5"/>
        </w:numPr>
        <w:ind w:start="56.60pt" w:hanging="28.30pt"/>
      </w:pPr>
      <w:r>
        <w:t>je právnickou osobou existující podle českého práva, řádně zapsanou ve veřejném rejstříku a řádně Bance doložil veškeré skutečnosti, dosud nezapsané ve veřejném rejstříku,</w:t>
      </w:r>
    </w:p>
    <w:p w14:paraId="79FA8388" w14:textId="77777777" w:rsidR="0074536F" w:rsidRDefault="00B343E0">
      <w:pPr>
        <w:numPr>
          <w:ilvl w:val="1"/>
          <w:numId w:val="5"/>
        </w:numPr>
        <w:ind w:start="56.60pt" w:hanging="28.30pt"/>
      </w:pPr>
      <w:r>
        <w:t>je plně oprávněn provozovat tu podnikatelskou činnost, kterou provozuje, a není si vědom existence či hrozby započetí jakéhokoli řízení, které by mohlo vést k omezení či znemožnění provozování této podnikatelské činnosti,</w:t>
      </w:r>
    </w:p>
    <w:p w14:paraId="79FA8389" w14:textId="77777777" w:rsidR="0074536F" w:rsidRDefault="00B343E0">
      <w:pPr>
        <w:numPr>
          <w:ilvl w:val="1"/>
          <w:numId w:val="5"/>
        </w:numPr>
        <w:ind w:start="56.60pt" w:hanging="28.30pt"/>
      </w:pPr>
      <w:r>
        <w:t>řádně uzavřel Smlouvu, je plně oprávněn plnit veškeré své závazky ze Smlouvy a transakce zamýšlené Smlouvou a obdržel veškerá povolení, souhlasy, vyjádření, registrace vnitřní či vnější povahy, které jsou k tomu nezbytné,</w:t>
      </w:r>
    </w:p>
    <w:p w14:paraId="79FA838A" w14:textId="77777777" w:rsidR="0074536F" w:rsidRDefault="00B343E0">
      <w:pPr>
        <w:numPr>
          <w:ilvl w:val="1"/>
          <w:numId w:val="5"/>
        </w:numPr>
        <w:ind w:start="56.60pt" w:hanging="28.30pt"/>
      </w:pPr>
      <w:r>
        <w:t xml:space="preserve">uzavření Smlouvy a plnění jeho závazků z ní není v rozporu s (i) jakoukoliv smlouvou či jinou právní skutečností, na </w:t>
      </w:r>
      <w:proofErr w:type="gramStart"/>
      <w:r>
        <w:t>základě</w:t>
      </w:r>
      <w:proofErr w:type="gramEnd"/>
      <w:r>
        <w:t xml:space="preserve"> níž má Klient jakékoli povinnosti, (</w:t>
      </w:r>
      <w:proofErr w:type="spellStart"/>
      <w:r>
        <w:t>ii</w:t>
      </w:r>
      <w:proofErr w:type="spellEnd"/>
      <w:r>
        <w:t>) jeho zakladatelským právním jednáním, statutem nebo jiným organizačním dokumentem (je-li Klient právnickou osobou), nebo (</w:t>
      </w:r>
      <w:proofErr w:type="spellStart"/>
      <w:r>
        <w:t>iii</w:t>
      </w:r>
      <w:proofErr w:type="spellEnd"/>
      <w:r>
        <w:t>) právním předpisem či soudním, rozhodčím či správním rozhodnutím týkajícím se Klienta nebo jakéhokoli jeho majetku,</w:t>
      </w:r>
    </w:p>
    <w:p w14:paraId="79FA838B" w14:textId="77777777" w:rsidR="0074536F" w:rsidRDefault="00B343E0">
      <w:pPr>
        <w:numPr>
          <w:ilvl w:val="1"/>
          <w:numId w:val="5"/>
        </w:numPr>
        <w:ind w:start="56.60pt" w:hanging="28.30pt"/>
      </w:pPr>
      <w:r>
        <w:t>nemá žádné řádně neuhrazené dluhy, které by mohly mít nepříznivý vliv na jeho finanční a majetkovou situaci nebo na jeho schopnost řádně dostát platebním závazkům ze Smlouvy (s výjimkou dluhů, které jsou uvedeny v Příloze č. 2 Smlouvy),</w:t>
      </w:r>
    </w:p>
    <w:p w14:paraId="79FA838C" w14:textId="77777777" w:rsidR="0074536F" w:rsidRDefault="00B343E0">
      <w:pPr>
        <w:numPr>
          <w:ilvl w:val="1"/>
          <w:numId w:val="5"/>
        </w:numPr>
        <w:ind w:start="56.60pt" w:hanging="28.30pt"/>
      </w:pPr>
      <w:r>
        <w:t>mu není známo, že by proti němu bylo vedeno (nebo mu formou předžalobní upomínky oznámeno) soudní, rozhodčí či jiné řízení, jehož výsledek by mohl nepříznivě ovlivnit jeho finanční a/nebo majetkovou situaci či mohl mít nepříznivý vliv na jeho schopnost řádně dostát jeho platebním závazkům ze Smlouvy, a není mu známo, že by takovéto řízení bylo vedeno (či formou předžalobní upomínky oznámeno) vůči třetím osobám, které jakkoli zajistily dluhy Klienta vůči Bance, nebo vůči třetím osobám, jejichž dluhy Klient jakkoli zajistil (s výjimkou soudních, rozhodčích či jiných řízení, která jsou uvedena v Příloze č. 2 Smlouvy),</w:t>
      </w:r>
    </w:p>
    <w:p w14:paraId="79FA838D" w14:textId="77777777" w:rsidR="0074536F" w:rsidRDefault="00B343E0">
      <w:pPr>
        <w:numPr>
          <w:ilvl w:val="1"/>
          <w:numId w:val="5"/>
        </w:numPr>
        <w:ind w:start="56.60pt" w:hanging="28.30pt"/>
      </w:pPr>
      <w:r>
        <w:t>Smlouva souvisí s jeho vlastním podnikáním nebo s jeho jinými ekonomickými aktivitami, má sám nebo prostřednictvím svých poradců dostatečné znalosti a zkušenosti posoudit a pochopit obsah Smlouvy a před jejím uzavřením obsah Smlouvy posoudil a plně pochopil a zvážil veškeré okolnosti a důsledky související s jejím uzavřením,</w:t>
      </w:r>
    </w:p>
    <w:p w14:paraId="79FA838E" w14:textId="77777777" w:rsidR="0074536F" w:rsidRDefault="00B343E0">
      <w:pPr>
        <w:numPr>
          <w:ilvl w:val="1"/>
          <w:numId w:val="5"/>
        </w:numPr>
        <w:ind w:start="56.60pt" w:hanging="28.30pt"/>
      </w:pPr>
      <w:r>
        <w:t>při jednání o uzavření Smlouvy mu byly sděleny všechny skutkové a právní okolnosti tak, aby se Klient mohl přesvědčit o možnosti uzavřít platnou Smlouvu a aby byl Klientovi zřejmý zájem Banky Smlouvu uzavřít,</w:t>
      </w:r>
    </w:p>
    <w:p w14:paraId="79FA838F" w14:textId="77777777" w:rsidR="0074536F" w:rsidRDefault="00B343E0">
      <w:pPr>
        <w:numPr>
          <w:ilvl w:val="1"/>
          <w:numId w:val="5"/>
        </w:numPr>
        <w:ind w:start="56.60pt" w:hanging="28.30pt"/>
      </w:pPr>
      <w:proofErr w:type="gramStart"/>
      <w:r>
        <w:t>netvoří</w:t>
      </w:r>
      <w:proofErr w:type="gramEnd"/>
      <w:r>
        <w:t xml:space="preserve"> s jinými osobami koncern ve smyslu § 79 zákona č. 90/2012 Sb., zákon o obchodních korporacích, s výjimkou osob uvedených v Příloze č. 2 Smlouvy,</w:t>
      </w:r>
    </w:p>
    <w:p w14:paraId="79FA8390" w14:textId="77777777" w:rsidR="0074536F" w:rsidRDefault="00B343E0">
      <w:pPr>
        <w:numPr>
          <w:ilvl w:val="1"/>
          <w:numId w:val="5"/>
        </w:numPr>
        <w:ind w:start="56.60pt" w:hanging="28.30pt"/>
      </w:pPr>
      <w:r>
        <w:t>účel financování dle Smlouvy, Klient, jakákoli osoba ovládající Klienta, jakákoli osoba ovládaná Klientem nebo jakákoli osoba ovládaná osobou ovládající Klienta („</w:t>
      </w:r>
      <w:r>
        <w:rPr>
          <w:b/>
          <w:bCs/>
        </w:rPr>
        <w:t>Člen skupiny Klienta</w:t>
      </w:r>
      <w:r>
        <w:t>“) nepodléhá mezinárodním sankcím stanoveným na základě jakéhokoli právního předpisu, rozhodnutí, regulace nebo jakékoli dohody závazné v České republice („</w:t>
      </w:r>
      <w:r>
        <w:rPr>
          <w:b/>
          <w:bCs/>
        </w:rPr>
        <w:t>Mezinárodní sankce</w:t>
      </w:r>
      <w:r>
        <w:t>“),</w:t>
      </w:r>
    </w:p>
    <w:p w14:paraId="79FA8391" w14:textId="77777777" w:rsidR="0074536F" w:rsidRDefault="00B343E0">
      <w:pPr>
        <w:numPr>
          <w:ilvl w:val="1"/>
          <w:numId w:val="5"/>
        </w:numPr>
        <w:ind w:start="56.60pt" w:hanging="28.30pt"/>
      </w:pPr>
      <w:r>
        <w:t>Klient, statutární orgány Klienta i osoby, které Klient ovládá, vykonávají svou činnost v souladu s právními předpisy na ochranu proti úplatkářství, korupci, legalizaci výnosů z trestné činnosti a financování terorismu</w:t>
      </w:r>
      <w:r>
        <w:rPr>
          <w:rStyle w:val="cg3-block-content-condition"/>
        </w:rPr>
        <w:t xml:space="preserve"> a Klient má zpracovány a dodržuje vnitřní pravidla a postupy, </w:t>
      </w:r>
      <w:proofErr w:type="gramStart"/>
      <w:r>
        <w:rPr>
          <w:rStyle w:val="cg3-block-content-condition"/>
        </w:rPr>
        <w:t>zajišťující</w:t>
      </w:r>
      <w:proofErr w:type="gramEnd"/>
      <w:r>
        <w:rPr>
          <w:rStyle w:val="cg3-block-content-condition"/>
        </w:rPr>
        <w:t xml:space="preserve"> aby tyto právní předpisy nebyly porušovány</w:t>
      </w:r>
      <w:r>
        <w:t>,</w:t>
      </w:r>
    </w:p>
    <w:p w14:paraId="79FA8392" w14:textId="77777777" w:rsidR="0074536F" w:rsidRDefault="00B343E0">
      <w:pPr>
        <w:numPr>
          <w:ilvl w:val="1"/>
          <w:numId w:val="5"/>
        </w:numPr>
        <w:ind w:start="56.60pt" w:hanging="28.30pt"/>
      </w:pPr>
      <w:r>
        <w:rPr>
          <w:rStyle w:val="cg3-block-content-condition"/>
        </w:rPr>
        <w:lastRenderedPageBreak/>
        <w:t>je</w:t>
      </w:r>
      <w:r>
        <w:t xml:space="preserve"> daňovým rezidentem v České republice,</w:t>
      </w:r>
    </w:p>
    <w:p w14:paraId="79FA8393" w14:textId="77777777" w:rsidR="0074536F" w:rsidRDefault="00B343E0">
      <w:pPr>
        <w:numPr>
          <w:ilvl w:val="1"/>
          <w:numId w:val="5"/>
        </w:numPr>
        <w:ind w:start="56.60pt" w:hanging="28.30pt"/>
      </w:pPr>
      <w:r>
        <w:t>je právnickou osobou uvedenou v § 2 odst. 1 zákona č. 340/2015 Sb., o zvláštních podmínkách účinnosti některých smluv, uveřejňování těchto smluv a o registru smluv, v platném znění („</w:t>
      </w:r>
      <w:r>
        <w:rPr>
          <w:b/>
          <w:bCs/>
        </w:rPr>
        <w:t>Zákon o registru smluv</w:t>
      </w:r>
      <w:r>
        <w:t>“) a že na Smlouvu se vztahuje povinnost uveřejnění prostřednictvím registru smluv.</w:t>
      </w:r>
    </w:p>
    <w:p w14:paraId="79FA8394" w14:textId="77777777" w:rsidR="0074536F" w:rsidRDefault="0074536F"/>
    <w:p w14:paraId="79FA8395" w14:textId="77777777" w:rsidR="0074536F" w:rsidRDefault="00B343E0">
      <w:pPr>
        <w:pStyle w:val="Nadpis1"/>
        <w:spacing w:before="0pt" w:after="0pt"/>
      </w:pPr>
      <w:r>
        <w:t>Článek VI.</w:t>
      </w:r>
    </w:p>
    <w:p w14:paraId="79FA8396" w14:textId="77777777" w:rsidR="0074536F" w:rsidRDefault="00B343E0">
      <w:pPr>
        <w:keepNext/>
        <w:jc w:val="center"/>
      </w:pPr>
      <w:r>
        <w:rPr>
          <w:b/>
          <w:bCs/>
          <w:u w:val="single" w:color="000000"/>
        </w:rPr>
        <w:t>Závazky</w:t>
      </w:r>
    </w:p>
    <w:p w14:paraId="79FA8397" w14:textId="77777777" w:rsidR="0074536F" w:rsidRDefault="00B343E0">
      <w:pPr>
        <w:numPr>
          <w:ilvl w:val="0"/>
          <w:numId w:val="6"/>
        </w:numPr>
        <w:ind w:start="28.30pt" w:hanging="28.30pt"/>
      </w:pPr>
      <w:r>
        <w:t>Klient se zavazuje, že od uzavření Smlouvy do zániku veškerých existujících, budoucích či podmíněných dluhů ze Smlouvy:</w:t>
      </w:r>
    </w:p>
    <w:p w14:paraId="79FA8398" w14:textId="77777777" w:rsidR="0074536F" w:rsidRDefault="00B343E0">
      <w:pPr>
        <w:numPr>
          <w:ilvl w:val="1"/>
          <w:numId w:val="6"/>
        </w:numPr>
        <w:ind w:start="56.60pt" w:hanging="28.30pt"/>
      </w:pPr>
      <w:r>
        <w:t xml:space="preserve">zajistí rovné a spravedlivé postavení Banky vůči ostatním svým věřitelům, </w:t>
      </w:r>
      <w:proofErr w:type="spellStart"/>
      <w:r>
        <w:t>neupřednostněným</w:t>
      </w:r>
      <w:proofErr w:type="spellEnd"/>
      <w:r>
        <w:t xml:space="preserve"> ze zákona, zejména neupřednostní platby ve prospěch ostatních svých věřitelů před placením dluhů Bance a neposkytne žádnému z věřitelů výhodnější práva (včetně zajištění), než byla poskytnuta Bance podle Smlouvy,</w:t>
      </w:r>
    </w:p>
    <w:p w14:paraId="79FA8399" w14:textId="77777777" w:rsidR="0074536F" w:rsidRDefault="00B343E0">
      <w:pPr>
        <w:numPr>
          <w:ilvl w:val="1"/>
          <w:numId w:val="6"/>
        </w:numPr>
        <w:ind w:start="56.60pt" w:hanging="28.30pt"/>
      </w:pPr>
      <w:r>
        <w:t>nepoužije čerpané peněžní prostředky – financování k jinému než ve Smlouvě sjednanému účelu,</w:t>
      </w:r>
    </w:p>
    <w:p w14:paraId="79FA839A" w14:textId="77777777" w:rsidR="0074536F" w:rsidRDefault="00B343E0">
      <w:pPr>
        <w:numPr>
          <w:ilvl w:val="1"/>
          <w:numId w:val="6"/>
        </w:numPr>
        <w:ind w:start="56.60pt" w:hanging="28.30pt"/>
      </w:pPr>
      <w:r>
        <w:t>bude předkládat Bance dokumenty a výkazy v rozsahu a ve lhůtách specifikovaných v Příloze č. 2 Smlouvy,</w:t>
      </w:r>
    </w:p>
    <w:p w14:paraId="79FA839B" w14:textId="77777777" w:rsidR="0074536F" w:rsidRDefault="00B343E0">
      <w:pPr>
        <w:numPr>
          <w:ilvl w:val="1"/>
          <w:numId w:val="6"/>
        </w:numPr>
        <w:ind w:start="56.60pt" w:hanging="28.30pt"/>
      </w:pPr>
      <w:r>
        <w:t>změní-li se jakkoli právní předpisy (včetně vydání nového právního předpisu), v důsledku čehož (i) Bance vznikly dodatečné nebo zvýšené náklady, (</w:t>
      </w:r>
      <w:proofErr w:type="spellStart"/>
      <w:r>
        <w:t>ii</w:t>
      </w:r>
      <w:proofErr w:type="spellEnd"/>
      <w:r>
        <w:t>) došlo ke snížení míry návratnosti peněžních prostředků poskytnutých podle Smlouvy nebo (</w:t>
      </w:r>
      <w:proofErr w:type="spellStart"/>
      <w:r>
        <w:t>iii</w:t>
      </w:r>
      <w:proofErr w:type="spellEnd"/>
      <w:r>
        <w:t>) došlo ke snížení jakékoliv částky dlužné a splatné podle Smlouvy oproti stavu ke dni uzavření Smlouvy, zaplatí Bance odpovídající částku do 60 dnů od dne doručení písemné výzvy Banky, specifikující tyto částky, nebo, v případě Úvěru, v téže lhůtě předčasně splatí veškeré dluhy ze Smlouvy a se Smlouvou související,</w:t>
      </w:r>
    </w:p>
    <w:p w14:paraId="79FA839C" w14:textId="77777777" w:rsidR="0074536F" w:rsidRDefault="00B343E0">
      <w:pPr>
        <w:numPr>
          <w:ilvl w:val="1"/>
          <w:numId w:val="6"/>
        </w:numPr>
        <w:ind w:start="56.60pt" w:hanging="28.30pt"/>
      </w:pPr>
      <w:r>
        <w:t>bude Banku neprodleně informovat písemnou formou o skutečnostech ohrožujících plnění smluvních závazků Klienta, zejména o soudních, rozhodčích či jiných řízeních, jejichž výsledky mají nebo by mohly mít podstatný nepříznivý vliv na jeho finanční a majetkovou situaci nebo na jeho schopnost řádně dostát platebním závazkům ze Smlouvy,</w:t>
      </w:r>
    </w:p>
    <w:p w14:paraId="79FA839D" w14:textId="77777777" w:rsidR="0074536F" w:rsidRDefault="00B343E0">
      <w:pPr>
        <w:numPr>
          <w:ilvl w:val="1"/>
          <w:numId w:val="6"/>
        </w:numPr>
        <w:ind w:start="56.60pt" w:hanging="28.30pt"/>
      </w:pPr>
      <w:r>
        <w:t>bude udržovat svůj majetek řádně pojištěn,</w:t>
      </w:r>
    </w:p>
    <w:p w14:paraId="79FA839E" w14:textId="77777777" w:rsidR="0074536F" w:rsidRDefault="00B343E0">
      <w:pPr>
        <w:numPr>
          <w:ilvl w:val="1"/>
          <w:numId w:val="6"/>
        </w:numPr>
        <w:ind w:start="56.60pt" w:hanging="28.30pt"/>
      </w:pPr>
      <w:r>
        <w:t>zajistí, aby Klient, žádný Člen skupiny Klienta ani účel financování nepodléhal Mezinárodním sankcím; v případě, že by taková skutečnost nastala, bude o tom Banku informovat ihned poté, co se o takové skutečnosti dozví,</w:t>
      </w:r>
    </w:p>
    <w:p w14:paraId="79FA839F" w14:textId="77777777" w:rsidR="0074536F" w:rsidRDefault="00B343E0">
      <w:pPr>
        <w:numPr>
          <w:ilvl w:val="1"/>
          <w:numId w:val="6"/>
        </w:numPr>
        <w:ind w:start="56.60pt" w:hanging="28.30pt"/>
      </w:pPr>
      <w:r>
        <w:t>zajistí, aby Klient, statutární orgány Klienta ani osoby, které Klient ovládá, nevyužívaly financování poskytované na základě Smlouvy k účelům, porušujícím právní předpisy proti úplatkářství, korupci a legalizaci výnosů z trestné činnosti a financování terorismu,</w:t>
      </w:r>
    </w:p>
    <w:p w14:paraId="79FA83A0" w14:textId="77777777" w:rsidR="0074536F" w:rsidRDefault="00B343E0">
      <w:pPr>
        <w:numPr>
          <w:ilvl w:val="1"/>
          <w:numId w:val="6"/>
        </w:numPr>
        <w:ind w:start="56.60pt" w:hanging="28.30pt"/>
      </w:pPr>
      <w:r>
        <w:t>uveřejní prostřednictvím registru smluv Smlouvu bez zbytečného odkladu po uzavření Smlouvy v rozsahu nezbytném pro splnění povinnosti stanovené Zákonem o registru smluv. Klient přitom znečitelní veškeré osobní údaje (včetně kontaktních údajů, podpisů či podpisových vzorů) osob zastupujících Banku a čísla bankovních účtů, jakož i jakékoli jiné informace, o jejichž znečitelnění Banka požádá Klienta, pokud to Zákon o registru smluv u takových informací umožňuje.</w:t>
      </w:r>
    </w:p>
    <w:p w14:paraId="79FA83A1" w14:textId="77777777" w:rsidR="0074536F" w:rsidRDefault="0074536F"/>
    <w:p w14:paraId="79FA83A2" w14:textId="77777777" w:rsidR="0074536F" w:rsidRDefault="00B343E0">
      <w:pPr>
        <w:pStyle w:val="Nadpis1"/>
        <w:spacing w:before="0pt" w:after="0pt"/>
      </w:pPr>
      <w:r>
        <w:t>Článek VII.</w:t>
      </w:r>
    </w:p>
    <w:p w14:paraId="79FA83A3" w14:textId="77777777" w:rsidR="0074536F" w:rsidRDefault="00B343E0">
      <w:pPr>
        <w:keepNext/>
        <w:jc w:val="center"/>
      </w:pPr>
      <w:r>
        <w:rPr>
          <w:b/>
          <w:bCs/>
          <w:u w:val="single" w:color="000000"/>
        </w:rPr>
        <w:t>Případy porušení</w:t>
      </w:r>
    </w:p>
    <w:p w14:paraId="79FA83A4" w14:textId="77777777" w:rsidR="0074536F" w:rsidRDefault="00B343E0">
      <w:pPr>
        <w:numPr>
          <w:ilvl w:val="0"/>
          <w:numId w:val="7"/>
        </w:numPr>
        <w:ind w:start="28.30pt" w:hanging="28.30pt"/>
      </w:pPr>
      <w:r>
        <w:t>Případem porušení je:</w:t>
      </w:r>
    </w:p>
    <w:p w14:paraId="79FA83A5" w14:textId="77777777" w:rsidR="0074536F" w:rsidRDefault="00B343E0">
      <w:pPr>
        <w:numPr>
          <w:ilvl w:val="1"/>
          <w:numId w:val="7"/>
        </w:numPr>
        <w:ind w:start="56.60pt" w:hanging="28.30pt"/>
      </w:pPr>
      <w:r>
        <w:t>porušení či nedodržení podmínek čerpání podle Smlouvy,</w:t>
      </w:r>
    </w:p>
    <w:p w14:paraId="79FA83A6" w14:textId="77777777" w:rsidR="0074536F" w:rsidRDefault="00B343E0">
      <w:pPr>
        <w:numPr>
          <w:ilvl w:val="1"/>
          <w:numId w:val="7"/>
        </w:numPr>
        <w:ind w:start="56.60pt" w:hanging="28.30pt"/>
      </w:pPr>
      <w:r>
        <w:t>prodlení Klienta se splacením jakéhokoli dluhu vůči Bance (ze Smlouvy či jiného právního jednání) trvající déle než 5 pracovních dnů ode dne zaslání písemné výzvy Banky k úhradě tohoto dluhu, ledaže by toto prodlení bylo způsobeno technickou poruchou na straně Banky,</w:t>
      </w:r>
    </w:p>
    <w:p w14:paraId="79FA83A7" w14:textId="77777777" w:rsidR="0074536F" w:rsidRDefault="00B343E0">
      <w:pPr>
        <w:numPr>
          <w:ilvl w:val="1"/>
          <w:numId w:val="7"/>
        </w:numPr>
        <w:ind w:start="56.60pt" w:hanging="28.30pt"/>
      </w:pPr>
      <w:r>
        <w:t>nepravdivost, neúplnost nebo nepřesnost jakéhokoli prohlášení učiněného Klientem ve Smlouvě či jiném právním jednání nebo dokumentu, souvisejícím se Smlouvou,</w:t>
      </w:r>
    </w:p>
    <w:p w14:paraId="79FA83A8" w14:textId="77777777" w:rsidR="0074536F" w:rsidRDefault="00B343E0">
      <w:pPr>
        <w:numPr>
          <w:ilvl w:val="1"/>
          <w:numId w:val="7"/>
        </w:numPr>
        <w:ind w:start="56.60pt" w:hanging="28.30pt"/>
      </w:pPr>
      <w:r>
        <w:t xml:space="preserve">porušení jakéhokoli závazku vyplývajícího ze Smlouvy nebo ze smlouvy zajišťující dluhy ze Smlouvy; v případě závazku předkládat Bance dokumenty a výkazy pouze opakované </w:t>
      </w:r>
      <w:r>
        <w:lastRenderedPageBreak/>
        <w:t>porušení nebo porušení trvající déle než 20 dnů ode dne zaslání písemné výzvy Banky ke splnění tohoto závazku,</w:t>
      </w:r>
    </w:p>
    <w:p w14:paraId="79FA83A9" w14:textId="77777777" w:rsidR="0074536F" w:rsidRDefault="00B343E0">
      <w:pPr>
        <w:numPr>
          <w:ilvl w:val="1"/>
          <w:numId w:val="7"/>
        </w:numPr>
        <w:ind w:start="56.60pt" w:hanging="28.30pt"/>
      </w:pPr>
      <w:r>
        <w:t>vznik skutečnosti či souhrnu skutečností, představujících podstatnou změnu podmínek, za nichž byla Smlouva uzavřena a které dle odůvodněného stanoviska Banky mohou mít podstatný nepříznivý dopad na finanční a majetkovou situaci Klienta a jeho schopnost plnit závazky ze Smlouvy,</w:t>
      </w:r>
    </w:p>
    <w:p w14:paraId="79FA83AA" w14:textId="77777777" w:rsidR="0074536F" w:rsidRDefault="00B343E0">
      <w:pPr>
        <w:numPr>
          <w:ilvl w:val="1"/>
          <w:numId w:val="7"/>
        </w:numPr>
        <w:ind w:start="56.60pt" w:hanging="28.30pt"/>
      </w:pPr>
      <w:r>
        <w:t>zahájení exekuce, výkonu rozhodnutí či výkonu jakéhokoli zajištění vůči jakémukoli majetku Klienta, pokud by tato skutečnost mohla mít podstatný nepříznivý dopad na finanční a majetkovou situaci Klienta nebo jeho schopnost plnit závazky ze Smlouvy, a/nebo vyvlastnění předmětu financování či předmětu zástavy podle příslušných právních předpisů o vyvlastnění,</w:t>
      </w:r>
    </w:p>
    <w:p w14:paraId="79FA83AB" w14:textId="77777777" w:rsidR="0074536F" w:rsidRDefault="00B343E0">
      <w:pPr>
        <w:numPr>
          <w:ilvl w:val="1"/>
          <w:numId w:val="7"/>
        </w:numPr>
        <w:ind w:start="56.60pt" w:hanging="28.30pt"/>
      </w:pPr>
      <w:r>
        <w:t>Klient, ovládající osoba Klienta či ovládaná osoba Klienta, nebo osoba, jejíž dluhy Klient zajišťuje, se nachází ve stavu úpadku ve smyslu zák. č. 182/2006 Sb. (insolvenční zákon) a/nebo obecně zastaví své platby a/nebo začne jednat se svými věřiteli za účelem dosažení restrukturalizace své zadluženosti z důvodu finančních obtíží,</w:t>
      </w:r>
    </w:p>
    <w:p w14:paraId="79FA83AC" w14:textId="77777777" w:rsidR="0074536F" w:rsidRDefault="00B343E0">
      <w:pPr>
        <w:numPr>
          <w:ilvl w:val="1"/>
          <w:numId w:val="7"/>
        </w:numPr>
        <w:ind w:start="56.60pt" w:hanging="28.30pt"/>
      </w:pPr>
      <w:r>
        <w:t>zahájení insolvenčního řízení, či jiného řízení z důvodu platební nevůle, platební neschopnosti či předlužení, nebo rozhodnutí o likvidaci, a to vůči Klientovi, ovládající osobě Klienta či ovládané osobě Klienta, nebo osobě, jejíž dluhy Klient zajišťuje,</w:t>
      </w:r>
    </w:p>
    <w:p w14:paraId="79FA83AD" w14:textId="77777777" w:rsidR="0074536F" w:rsidRDefault="00B343E0">
      <w:pPr>
        <w:numPr>
          <w:ilvl w:val="1"/>
          <w:numId w:val="7"/>
        </w:numPr>
        <w:ind w:start="56.60pt" w:hanging="28.30pt"/>
      </w:pPr>
      <w:r>
        <w:t>umožnění vzniku jakéhokoli věcného a/nebo závazkového práva k majetku Klienta ve prospěch třetí osoby (včetně vzniku závazků, které by mohly ke vzniku těchto práv vést) bez předchozího písemného souhlasu Banky,</w:t>
      </w:r>
    </w:p>
    <w:p w14:paraId="79FA83AE" w14:textId="77777777" w:rsidR="0074536F" w:rsidRDefault="00B343E0">
      <w:pPr>
        <w:numPr>
          <w:ilvl w:val="1"/>
          <w:numId w:val="7"/>
        </w:numPr>
        <w:ind w:start="56.60pt" w:hanging="28.30pt"/>
      </w:pPr>
      <w:r>
        <w:t>prodlení Klienta s plněním zákonných či smluvních závazků vůči státu nebo zdravotní pojišťovně,</w:t>
      </w:r>
    </w:p>
    <w:p w14:paraId="79FA83AF" w14:textId="77777777" w:rsidR="0074536F" w:rsidRDefault="00B343E0">
      <w:pPr>
        <w:numPr>
          <w:ilvl w:val="1"/>
          <w:numId w:val="7"/>
        </w:numPr>
        <w:ind w:start="56.60pt" w:hanging="28.30pt"/>
      </w:pPr>
      <w:r>
        <w:t>prodlení Klienta či ovládající osoby Klienta nebo ovládané osoby Klienta s plněním závazku vůči jakémukoli věřiteli, s výjimkou závazků z obchodního styku,</w:t>
      </w:r>
    </w:p>
    <w:p w14:paraId="79FA83B0" w14:textId="77777777" w:rsidR="0074536F" w:rsidRDefault="00B343E0">
      <w:pPr>
        <w:numPr>
          <w:ilvl w:val="1"/>
          <w:numId w:val="7"/>
        </w:numPr>
        <w:ind w:start="56.60pt" w:hanging="28.30pt"/>
      </w:pPr>
      <w:r>
        <w:t>vznik Změny, která může mít podstatný nepříznivý dopad na finanční a majetkovou situaci Klienta nebo na jeho schopnost řádně dostát závazkům vyplývajícím ze Smlouvy, bez předchozího písemného souhlasu Banky,</w:t>
      </w:r>
    </w:p>
    <w:p w14:paraId="79FA83B1" w14:textId="77777777" w:rsidR="0074536F" w:rsidRDefault="00B343E0">
      <w:pPr>
        <w:numPr>
          <w:ilvl w:val="1"/>
          <w:numId w:val="7"/>
        </w:numPr>
        <w:ind w:start="56.60pt" w:hanging="28.30pt"/>
      </w:pPr>
      <w:r>
        <w:t>jakýkoli převod (včetně vyčlenění do svěřenského fondu) podstatné části majetku Klienta na třetí osobu (nejde-li o oběžná aktiva, převedená za podmínek obvyklých v obchodním styku),</w:t>
      </w:r>
    </w:p>
    <w:p w14:paraId="79FA83B2" w14:textId="77777777" w:rsidR="0074536F" w:rsidRDefault="00B343E0">
      <w:pPr>
        <w:numPr>
          <w:ilvl w:val="1"/>
          <w:numId w:val="7"/>
        </w:numPr>
        <w:ind w:start="56.60pt" w:hanging="28.30pt"/>
      </w:pPr>
      <w:r>
        <w:t>přímý či nepřímý podíl Hlavního města Prahy, se sídlem: Mariánské náměstí 2/2, Staré Město, 110 00 Praha 1, IČO: 00064581 na základním kapitálu Klienta nebo hlasovacích právech poklesl bez předchozího písemného souhlasu Banky pod 100 %,</w:t>
      </w:r>
    </w:p>
    <w:p w14:paraId="79FA83B3" w14:textId="77777777" w:rsidR="0074536F" w:rsidRDefault="00B343E0">
      <w:pPr>
        <w:numPr>
          <w:ilvl w:val="1"/>
          <w:numId w:val="7"/>
        </w:numPr>
        <w:ind w:start="56.60pt" w:hanging="28.30pt"/>
      </w:pPr>
      <w:r>
        <w:t>Klient bez předchozího písemného souhlasu Banky poskytl třetí osobě úvěr (včetně finančního či zbožového úvěru) nebo zápůjčku (nejde-li o krátkodobý obchodní úvěr vyplývající z běžných dodávek zboží nebo služeb v rámci předmětu podnikání Klienta v obvyklém rozsahu a lhůtě splatnosti),</w:t>
      </w:r>
    </w:p>
    <w:p w14:paraId="79FA83B4" w14:textId="77777777" w:rsidR="0074536F" w:rsidRDefault="00B343E0">
      <w:pPr>
        <w:numPr>
          <w:ilvl w:val="1"/>
          <w:numId w:val="7"/>
        </w:numPr>
        <w:ind w:start="56.60pt" w:hanging="28.30pt"/>
      </w:pPr>
      <w:r>
        <w:t>Klient poskytl zajištění dluhu třetí osoby bez předchozího písemného souhlasu Banky.</w:t>
      </w:r>
    </w:p>
    <w:p w14:paraId="79FA83B5" w14:textId="77777777" w:rsidR="0074536F" w:rsidRDefault="00B343E0">
      <w:pPr>
        <w:numPr>
          <w:ilvl w:val="0"/>
          <w:numId w:val="7"/>
        </w:numPr>
        <w:ind w:start="28.30pt" w:hanging="28.30pt"/>
      </w:pPr>
      <w:r>
        <w:t>Nastal-li Případ porušení, Banka je oprávněna oznámením odeslaným Klientovi:</w:t>
      </w:r>
    </w:p>
    <w:p w14:paraId="79FA83B6" w14:textId="77777777" w:rsidR="0074536F" w:rsidRDefault="00B343E0">
      <w:pPr>
        <w:numPr>
          <w:ilvl w:val="1"/>
          <w:numId w:val="7"/>
        </w:numPr>
        <w:ind w:start="56.60pt" w:hanging="28.30pt"/>
      </w:pPr>
      <w:r>
        <w:t>omezit nebo zastavit čerpání financování poskytovaného na základě Smlouvy, a/nebo</w:t>
      </w:r>
    </w:p>
    <w:p w14:paraId="79FA83B7" w14:textId="77777777" w:rsidR="0074536F" w:rsidRDefault="00B343E0">
      <w:pPr>
        <w:numPr>
          <w:ilvl w:val="1"/>
          <w:numId w:val="7"/>
        </w:numPr>
        <w:ind w:start="56.60pt" w:hanging="28.30pt"/>
      </w:pPr>
      <w:r>
        <w:t>písemně prohlásit, že všechny peněžité dluhy Klienta vůči Bance ze Smlouvy či v souvislosti se Smlouvou nebo jakákoli jejich část jsou splatné v den uvedený v oznámení Banky, čímž se stávají v tento den splatnými a Klient je povinen je v tento den uhradit, a/nebo</w:t>
      </w:r>
    </w:p>
    <w:p w14:paraId="79FA83B8" w14:textId="77777777" w:rsidR="0074536F" w:rsidRDefault="00B343E0">
      <w:pPr>
        <w:numPr>
          <w:ilvl w:val="1"/>
          <w:numId w:val="7"/>
        </w:numPr>
        <w:ind w:start="56.60pt" w:hanging="28.30pt"/>
      </w:pPr>
      <w:r>
        <w:t>s přihlédnutím k závažnosti Případu porušení, provést i před dnem splatnosti dluhů Klienta, jejichž řádné splacení je ohroženo, blokaci jakýchkoli účtů Klienta vedených Bankou (zejména neprovádět Klientovy platební příkazy, nevyplácet hotovost) a zůstatek a docházející úhrady použít na splacení peněžitých dluhů Klienta a/nebo k vytvoření peněžního krytí na vnitřním účtu Banky jako peněžité jistoty na úhradu v budoucnu splatných dluhů Klienta ze Smlouvy či se Smlouvou souvisejících.</w:t>
      </w:r>
    </w:p>
    <w:p w14:paraId="79FA83B9" w14:textId="77777777" w:rsidR="0074536F" w:rsidRDefault="00B343E0">
      <w:pPr>
        <w:numPr>
          <w:ilvl w:val="0"/>
          <w:numId w:val="7"/>
        </w:numPr>
        <w:ind w:start="28.30pt" w:hanging="28.30pt"/>
      </w:pPr>
      <w:r>
        <w:t>Banka není odpovědná za újmu, vzniklou Klientovi uplatněním práv Banky dle Smlouvy, jakékoli smlouvy související se Smlouvou či právního předpisu.</w:t>
      </w:r>
    </w:p>
    <w:p w14:paraId="79FA83BA" w14:textId="77777777" w:rsidR="0074536F" w:rsidRDefault="0074536F"/>
    <w:p w14:paraId="79FA83BB" w14:textId="77777777" w:rsidR="0074536F" w:rsidRDefault="00B343E0">
      <w:pPr>
        <w:pStyle w:val="Nadpis1"/>
        <w:spacing w:before="0pt" w:after="0pt"/>
      </w:pPr>
      <w:r>
        <w:lastRenderedPageBreak/>
        <w:t>Článek VIII.</w:t>
      </w:r>
    </w:p>
    <w:p w14:paraId="79FA83BC" w14:textId="77777777" w:rsidR="0074536F" w:rsidRDefault="00B343E0">
      <w:pPr>
        <w:keepNext/>
        <w:jc w:val="center"/>
      </w:pPr>
      <w:r>
        <w:rPr>
          <w:b/>
          <w:bCs/>
          <w:u w:val="single" w:color="000000"/>
        </w:rPr>
        <w:t>Závěrečná ustanovení</w:t>
      </w:r>
    </w:p>
    <w:p w14:paraId="79FA83BD" w14:textId="77777777" w:rsidR="0074536F" w:rsidRDefault="00B343E0">
      <w:pPr>
        <w:numPr>
          <w:ilvl w:val="0"/>
          <w:numId w:val="8"/>
        </w:numPr>
        <w:ind w:start="28.30pt" w:hanging="28.30pt"/>
      </w:pPr>
      <w:r>
        <w:t>Neodsouhlasí-li Banka jinak, musí být veškeré dokumenty předkládané jí podle Smlouvy či v souvislosti s ní v češtině, slovenštině nebo angličtině, nebo úředně přeložené do češtiny.</w:t>
      </w:r>
    </w:p>
    <w:p w14:paraId="79FA83BE" w14:textId="77777777" w:rsidR="0074536F" w:rsidRDefault="00B343E0">
      <w:pPr>
        <w:numPr>
          <w:ilvl w:val="0"/>
          <w:numId w:val="8"/>
        </w:numPr>
        <w:ind w:start="28.30pt" w:hanging="28.30pt"/>
      </w:pPr>
      <w:r>
        <w:t>Písemná komunikace mezi Bankou a Klientem se uskutečňuje korespondenčně v listinné podobě a/nebo elektronicky prostřednictvím služeb elektronického bankovnictví a/nebo datové schránky.</w:t>
      </w:r>
    </w:p>
    <w:p w14:paraId="79FA83BF" w14:textId="77777777" w:rsidR="0074536F" w:rsidRDefault="00B343E0">
      <w:pPr>
        <w:numPr>
          <w:ilvl w:val="0"/>
          <w:numId w:val="8"/>
        </w:numPr>
        <w:ind w:start="28.30pt" w:hanging="28.30pt"/>
      </w:pPr>
      <w:r>
        <w:t>Doručování:</w:t>
      </w:r>
    </w:p>
    <w:p w14:paraId="79FA83C0" w14:textId="77777777" w:rsidR="0074536F" w:rsidRDefault="00B343E0">
      <w:pPr>
        <w:numPr>
          <w:ilvl w:val="1"/>
          <w:numId w:val="8"/>
        </w:numPr>
        <w:ind w:start="56.60pt" w:hanging="28.30pt"/>
      </w:pPr>
      <w:r>
        <w:t>písemnosti doručované poskytovatelem poštovních služeb zasílá Banka Klientovi na adresu sídla uvedenou ve Smlouvě, popř. na jinou dohodnutou adresu; dohodnutou adresou nemůže být adresa pobočky Banky a PO BOX. Banka zasílá písemnosti jako obyčejnou zásilku, doporučené psaní nebo doporučené psaní s dodejkou,</w:t>
      </w:r>
    </w:p>
    <w:p w14:paraId="79FA83C1" w14:textId="77777777" w:rsidR="0074536F" w:rsidRDefault="00B343E0">
      <w:pPr>
        <w:numPr>
          <w:ilvl w:val="1"/>
          <w:numId w:val="8"/>
        </w:numPr>
        <w:ind w:start="56.60pt" w:hanging="28.30pt"/>
      </w:pPr>
      <w:r>
        <w:t>bude-li písemnost poskytovatelem poštovních služeb vrácena jako nedoručitelná, účinky doručení nastávají v den, kdy je zásilka vrácena Bance. Účinky doručení nastávají i v případě, jestliže převzetí písemnosti Klient odmítne,</w:t>
      </w:r>
    </w:p>
    <w:p w14:paraId="79FA83C2" w14:textId="77777777" w:rsidR="0074536F" w:rsidRDefault="00B343E0">
      <w:pPr>
        <w:numPr>
          <w:ilvl w:val="1"/>
          <w:numId w:val="8"/>
        </w:numPr>
        <w:ind w:start="56.60pt" w:hanging="28.30pt"/>
      </w:pPr>
      <w:r>
        <w:t>písemnosti určené pro Klienta, které nejsou doručovány poskytovatelem poštovních služeb, jsou v Bance oprávněni vyzvedávat Klient, resp. osoby, které Klient uvede ve zmocnění podepsaném před pracovníkem Banky, nebo osoby, které se prokážou plnou mocí s úředně ověřeným podpisem Klienta, a</w:t>
      </w:r>
    </w:p>
    <w:p w14:paraId="79FA83C3" w14:textId="77777777" w:rsidR="0074536F" w:rsidRDefault="00B343E0">
      <w:pPr>
        <w:numPr>
          <w:ilvl w:val="1"/>
          <w:numId w:val="8"/>
        </w:numPr>
        <w:ind w:start="56.60pt" w:hanging="28.30pt"/>
      </w:pPr>
      <w:r>
        <w:t>písemnosti Klienta jsou doručené, pouze byly-li doručeny na adresu pobočky Banky uvedené ve Smlouvě.</w:t>
      </w:r>
    </w:p>
    <w:p w14:paraId="79FA83C4" w14:textId="77777777" w:rsidR="0074536F" w:rsidRDefault="00B343E0">
      <w:pPr>
        <w:numPr>
          <w:ilvl w:val="0"/>
          <w:numId w:val="8"/>
        </w:numPr>
        <w:ind w:start="28.30pt" w:hanging="28.30pt"/>
      </w:pPr>
      <w:r>
        <w:t>Plná moc, zmocňující jakoukoli osobu jednat jménem Klienta vůči Bance podle Smlouvy musí (i) mít úředně ověřené podpisy, nebo být podepsána před pracovníkem Banky, a (</w:t>
      </w:r>
      <w:proofErr w:type="spellStart"/>
      <w:r>
        <w:t>ii</w:t>
      </w:r>
      <w:proofErr w:type="spellEnd"/>
      <w:r>
        <w:t>) být doručena pobočce Banky, ve které má být příslušné právní jednání uskutečněno, nejméně 5 pracovních dní přede dnem tohoto právního jednání. Jinou plnou moc je Banka oprávněna odmítnout.</w:t>
      </w:r>
    </w:p>
    <w:p w14:paraId="79FA83C5" w14:textId="77777777" w:rsidR="0074536F" w:rsidRDefault="00B343E0">
      <w:pPr>
        <w:numPr>
          <w:ilvl w:val="0"/>
          <w:numId w:val="8"/>
        </w:numPr>
        <w:ind w:start="28.30pt" w:hanging="28.30pt"/>
      </w:pPr>
      <w:r>
        <w:t>Smlouva může být uzavřena v listinné či v elektronické podobě. V elektronické podobě může být Smlouva uzavřena, pokud Klient:</w:t>
      </w:r>
    </w:p>
    <w:p w14:paraId="79FA83C6" w14:textId="77777777" w:rsidR="0074536F" w:rsidRDefault="00B343E0">
      <w:pPr>
        <w:numPr>
          <w:ilvl w:val="1"/>
          <w:numId w:val="9"/>
        </w:numPr>
        <w:ind w:start="56.60pt" w:hanging="28.30pt"/>
      </w:pPr>
      <w:r>
        <w:t xml:space="preserve">podepíše Smlouvu biometrickým podpisem. Biometrický podpis je vlastnoruční podpis učiněný na elektronickém tabletu, který zachycuje dynamiku podpisu a jeho charakteristické rysy, jež do něj promítne podepisující osoba. Tyto údaje jsou následně zpracovány tak, že k nim Banka nemá přístup, a je možné je využít pouze v případě písmoznaleckého přezkumu biometrického podpisu. Banka může Smlouvu v elektronické podobě podepsat připojením naskenovaného podpisu oprávněného zástupce Banky, biometrickým podpisem či jiným podpisem. Banka následně </w:t>
      </w:r>
      <w:proofErr w:type="gramStart"/>
      <w:r>
        <w:t>opatří</w:t>
      </w:r>
      <w:proofErr w:type="gramEnd"/>
      <w:r>
        <w:t xml:space="preserve"> dokumentaci kvalifikovanou elektronickou pečetí a elektronickým časovým razítkem a zašle ji Klientovi do jeho elektronického bankovnictví; nebo</w:t>
      </w:r>
    </w:p>
    <w:p w14:paraId="79FA83C7" w14:textId="77777777" w:rsidR="0074536F" w:rsidRDefault="00B343E0">
      <w:pPr>
        <w:numPr>
          <w:ilvl w:val="1"/>
          <w:numId w:val="9"/>
        </w:numPr>
        <w:ind w:start="56.60pt" w:hanging="28.30pt"/>
      </w:pPr>
      <w:r>
        <w:t>uzavřel s Bankou Smlouvu o využívání služby ČSOB CEB („</w:t>
      </w:r>
      <w:r>
        <w:rPr>
          <w:b/>
          <w:bCs/>
        </w:rPr>
        <w:t>CEB smlouva</w:t>
      </w:r>
      <w:r>
        <w:t xml:space="preserve">“). Smlouvu je pak možné podepsat způsobem sjednaným mezi Smluvními stranami pro podpis Dokumentů (jak jsou tyto definovány v CEB smlouvě). </w:t>
      </w:r>
    </w:p>
    <w:p w14:paraId="79FA83C8" w14:textId="77777777" w:rsidR="0074536F" w:rsidRDefault="00B343E0">
      <w:pPr>
        <w:numPr>
          <w:ilvl w:val="0"/>
          <w:numId w:val="8"/>
        </w:numPr>
        <w:ind w:start="28.30pt" w:hanging="28.30pt"/>
      </w:pPr>
      <w:r>
        <w:t>Smlouva je platná dnem jejího uzavření. Účinnosti nabývá dnem jejího uveřejnění v registru smluv. Smlouva může být měněna pouze písemně, a to právním jednáním v listinné podobě nebo v elektronické podobě.</w:t>
      </w:r>
    </w:p>
    <w:p w14:paraId="79FA83C9" w14:textId="77777777" w:rsidR="0074536F" w:rsidRDefault="00B343E0">
      <w:pPr>
        <w:numPr>
          <w:ilvl w:val="0"/>
          <w:numId w:val="8"/>
        </w:numPr>
        <w:ind w:start="28.30pt" w:hanging="28.30pt"/>
      </w:pPr>
      <w:r>
        <w:t>V případě neplatnosti, neúčinnosti či zdánlivosti jednotlivých ustanovení Smlouvy nejsou dotčena její ostatní ustanovení. Smluvní strany jsou neodkladně povinny učinit veškeré kroky nezbytné k nahrazení takového neplatného, neúčinného nebo zdánlivého ustanovení jiným ustanovením, které je platné, účinné a vymahatelné a odpovídá účelu nahrazovaného ustanovení i celé Smlouvy.</w:t>
      </w:r>
    </w:p>
    <w:p w14:paraId="79FA83CA" w14:textId="77777777" w:rsidR="0074536F" w:rsidRDefault="00B343E0">
      <w:pPr>
        <w:numPr>
          <w:ilvl w:val="0"/>
          <w:numId w:val="8"/>
        </w:numPr>
        <w:ind w:start="28.30pt" w:hanging="28.30pt"/>
      </w:pPr>
      <w:r>
        <w:t>V právních vztazích založených Smlouvou se nepřihlíží k zavedené praxi či zvyklostem Smluvních stran a obchodním zvyklostem.</w:t>
      </w:r>
    </w:p>
    <w:p w14:paraId="79FA83CB" w14:textId="77777777" w:rsidR="0074536F" w:rsidRDefault="00B343E0">
      <w:pPr>
        <w:numPr>
          <w:ilvl w:val="0"/>
          <w:numId w:val="8"/>
        </w:numPr>
        <w:ind w:start="28.30pt" w:hanging="28.30pt"/>
      </w:pPr>
      <w:r>
        <w:t>Nastane-li Případ porušení, je Banka oprávněna svá práva a povinnosti dle Smlouvy postoupit či převést (a to i formou postoupení Smlouvy) v celém jejich rozsahu, nebo zčásti, na jinou osobu, a Klient pro takový případ souhlasí s poskytnutím informací (bankovního tajemství) vyplývajících ze Smlouvy takové osobě. Jinak je Banka oprávněna svá práva a povinnosti dle Smlouvy postoupit či převést na jinou osobu pouze s předchozím souhlasem Klienta, přičemž tento souhlas nebude Klientem bezdůvodně odepřen či zdržen.</w:t>
      </w:r>
    </w:p>
    <w:p w14:paraId="79FA83CC" w14:textId="77777777" w:rsidR="0074536F" w:rsidRDefault="00B343E0">
      <w:pPr>
        <w:numPr>
          <w:ilvl w:val="0"/>
          <w:numId w:val="8"/>
        </w:numPr>
        <w:ind w:start="28.30pt" w:hanging="28.30pt"/>
      </w:pPr>
      <w:r>
        <w:t>Bez předchozího písemného souhlasu Banky nesmí Klient jakkoli převést jakékoli své dluhy či pohledávky ze Smlouvy či se Smlouvou související, ani Smlouvu postoupit.</w:t>
      </w:r>
    </w:p>
    <w:p w14:paraId="79FA83CD" w14:textId="77777777" w:rsidR="0074536F" w:rsidRDefault="00B343E0">
      <w:pPr>
        <w:numPr>
          <w:ilvl w:val="0"/>
          <w:numId w:val="8"/>
        </w:numPr>
        <w:ind w:start="28.30pt" w:hanging="28.30pt"/>
      </w:pPr>
      <w:r>
        <w:lastRenderedPageBreak/>
        <w:t>Banka je oprávněna jednostranně započíst své splatné i nesplatné pohledávky za Klientem na jakékoliv splatné i nesplatné pohledávky Klienta za Bankou (včetně pohledávek vzniklých v souvislosti s vedením účtů a jednorázových vkladů u Banky).</w:t>
      </w:r>
    </w:p>
    <w:p w14:paraId="79FA83CE" w14:textId="77777777" w:rsidR="0074536F" w:rsidRDefault="00B343E0">
      <w:pPr>
        <w:numPr>
          <w:ilvl w:val="0"/>
          <w:numId w:val="8"/>
        </w:numPr>
        <w:ind w:start="28.30pt" w:hanging="28.30pt"/>
      </w:pPr>
      <w:r>
        <w:t>Klient není oprávněn jednostranně započíst jakékoliv své pohledávky za Bankou.</w:t>
      </w:r>
    </w:p>
    <w:p w14:paraId="79FA83CF" w14:textId="77777777" w:rsidR="0074536F" w:rsidRDefault="00B343E0">
      <w:pPr>
        <w:numPr>
          <w:ilvl w:val="0"/>
          <w:numId w:val="8"/>
        </w:numPr>
        <w:ind w:start="28.30pt" w:hanging="28.30pt"/>
      </w:pPr>
      <w:r>
        <w:t>Ustanovení Smlouvy představují úplná ujednání mezi Smluvními stranami a nahrazují veškerá předchozí ústní nebo písemná ujednání související s předmětem Smlouvy. Součástí Smlouvy jsou všechny její přílohy. Žádná Smluvní strana se nemůže dovolávat jakékoli dohody či ujednání neuvedeného výslovně ve Smlouvě.</w:t>
      </w:r>
    </w:p>
    <w:p w14:paraId="79FA83D0" w14:textId="77777777" w:rsidR="0074536F" w:rsidRDefault="00B343E0">
      <w:pPr>
        <w:numPr>
          <w:ilvl w:val="0"/>
          <w:numId w:val="8"/>
        </w:numPr>
        <w:ind w:start="28.30pt" w:hanging="28.30pt"/>
      </w:pPr>
      <w:r>
        <w:t>Smluvní strany na sebe přebírají nebezpečí změny okolností ve smyslu § 1765 odst. 2 Občanského zákoníku.</w:t>
      </w:r>
    </w:p>
    <w:p w14:paraId="79FA83D1" w14:textId="77777777" w:rsidR="0074536F" w:rsidRDefault="00B343E0">
      <w:pPr>
        <w:numPr>
          <w:ilvl w:val="0"/>
          <w:numId w:val="8"/>
        </w:numPr>
        <w:ind w:start="28.30pt" w:hanging="28.30pt"/>
      </w:pPr>
      <w:r>
        <w:t>Jakékoli vzdání se práva z porušení Smlouvy či prodloužení jakékoli lhůty podle Smlouvy musí být písemné a je omezeno na skutečnosti v tomto vzdání se či prodloužení výslovně uvedené. Neuplatnění jakéhokoli práva ze Smlouvy není vzdáním se tohoto práva. Jakékoli ukončení Smlouvy má účinky pouze do budoucna.</w:t>
      </w:r>
    </w:p>
    <w:p w14:paraId="79FA83D2" w14:textId="77777777" w:rsidR="0074536F" w:rsidRDefault="00B343E0">
      <w:pPr>
        <w:numPr>
          <w:ilvl w:val="0"/>
          <w:numId w:val="8"/>
        </w:numPr>
        <w:ind w:start="28.30pt" w:hanging="28.30pt"/>
      </w:pPr>
      <w:r>
        <w:t xml:space="preserve">Banka a společnosti, které jsou součástí jejího podnikatelského seskupení, pevně </w:t>
      </w:r>
      <w:proofErr w:type="gramStart"/>
      <w:r>
        <w:t>věří</w:t>
      </w:r>
      <w:proofErr w:type="gramEnd"/>
      <w:r>
        <w:t xml:space="preserve"> v potřebu společensky odpovědného podnikání a udržitelného rozvoje společnosti. Prostřednictvím finanční skupiny KBC se Banka účastní na plnění cílů vyplývajících z mezinárodních dohod usilujících o implementaci principů udržitelného bankovnictví a pojišťovnictví zaměřujících se např. na podporu životního prostředí, boje proti úplatkářství a korupci, respektování lidských práv a na společensky odpovědný přístup ve vztahu nejen k zaměstnancům, ale i k dalším zúčastněným stranám. Banka podporuje ambice evropských institucí k vytvoření nízkouhlíkové společnosti, plní závazky vyplývající z evropských politik týkajících se udržitelnosti a je připravena implementovat politiky v současné době evropskými institucemi připravované. V souvislosti s tím přijala Banka strategii udržitelnosti a politiku udržitelného a společensky odpovědného financování, kterou chce přispívat k výše uvedeným hodnotám. Podrobnější informace jsou k dispozici na našich webových stránkách www.csob.cz v sekci Společenská odpovědnost a udržitelnost.</w:t>
      </w:r>
    </w:p>
    <w:p w14:paraId="79FA83D3" w14:textId="77777777" w:rsidR="0074536F" w:rsidRDefault="00B343E0">
      <w:pPr>
        <w:numPr>
          <w:ilvl w:val="0"/>
          <w:numId w:val="8"/>
        </w:numPr>
        <w:ind w:start="28.30pt" w:hanging="28.30pt"/>
      </w:pPr>
      <w:r>
        <w:t>Klient souhlasí s tím, že Banka může získávat informace související s Klientem relevantní pro výše uvedenou agendu z veřejně dostupných zdrojů, relevantních registrů nebo se bude obracet přímo na Klienta a požádá ho o součinnost při získávání těchto informací. Klient takovou součinnost bezdůvodně neodepře.</w:t>
      </w:r>
    </w:p>
    <w:p w14:paraId="79FA83D4" w14:textId="77777777" w:rsidR="0074536F" w:rsidRDefault="00B343E0">
      <w:pPr>
        <w:numPr>
          <w:ilvl w:val="0"/>
          <w:numId w:val="8"/>
        </w:numPr>
        <w:ind w:start="28.30pt" w:hanging="28.30pt"/>
      </w:pPr>
      <w:r>
        <w:t>Banka zpracovává osobní údaje v souvislosti s jednáním o uzavření Smlouvy a s jejím plněním. Detailní informace související se zpracováním osobních údajů jsou uvedeny v dokumentu „Informace o zpracování osobních údajů“ přístupném na webových stránkách www.csob.cz a v provozních prostorách poboček Banky.</w:t>
      </w:r>
    </w:p>
    <w:p w14:paraId="79FA83D5" w14:textId="77777777" w:rsidR="0074536F" w:rsidRDefault="00B343E0">
      <w:pPr>
        <w:numPr>
          <w:ilvl w:val="0"/>
          <w:numId w:val="8"/>
        </w:numPr>
        <w:ind w:start="28.30pt" w:hanging="28.30pt"/>
      </w:pPr>
      <w:r>
        <w:t>Smlouva je vyhotovena ve 2 stejnopisech, z nichž každá Smluvní strana obdržela 1.</w:t>
      </w:r>
    </w:p>
    <w:p w14:paraId="79FA83D6" w14:textId="77777777" w:rsidR="0074536F" w:rsidRDefault="00B343E0">
      <w:pPr>
        <w:numPr>
          <w:ilvl w:val="0"/>
          <w:numId w:val="8"/>
        </w:numPr>
        <w:ind w:start="28.30pt" w:hanging="28.30pt"/>
      </w:pPr>
      <w:r>
        <w:t>Smlouva a veškeré mimosmluvní závazky s ní související se řídí českým právem.</w:t>
      </w:r>
    </w:p>
    <w:p w14:paraId="79FA83D7" w14:textId="77777777" w:rsidR="0074536F" w:rsidRDefault="00B343E0">
      <w:r>
        <w:t> </w:t>
      </w:r>
    </w:p>
    <w:p w14:paraId="79FA83D8" w14:textId="77777777" w:rsidR="0074536F" w:rsidRDefault="00B343E0">
      <w:pPr>
        <w:keepNext/>
        <w:jc w:val="start"/>
      </w:pPr>
      <w:r>
        <w:rPr>
          <w:u w:val="single" w:color="000000"/>
        </w:rPr>
        <w:lastRenderedPageBreak/>
        <w:t>V příloze:</w:t>
      </w:r>
      <w:r>
        <w:rPr>
          <w:u w:val="single" w:color="000000"/>
        </w:rPr>
        <w:br/>
      </w:r>
      <w:r>
        <w:t>Příloha č. 1 - Definice a ujednání</w:t>
      </w:r>
      <w:r>
        <w:br/>
        <w:t>Příloha č. 2 - Dokumenty a dodatečné informace</w:t>
      </w:r>
    </w:p>
    <w:tbl>
      <w:tblPr>
        <w:tblStyle w:val="table"/>
        <w:tblW w:w="455.35pt" w:type="dxa"/>
        <w:tblCellSpacing w:w="-2.25pt" w:type="dxa"/>
        <w:tblInd w:w="0.25pt" w:type="dxa"/>
        <w:tblCellMar>
          <w:top w:w="0.75pt" w:type="dxa"/>
          <w:start w:w="0.75pt" w:type="dxa"/>
          <w:bottom w:w="0.75pt" w:type="dxa"/>
          <w:end w:w="0.75pt" w:type="dxa"/>
        </w:tblCellMar>
        <w:tblLook w:firstRow="1" w:lastRow="1" w:firstColumn="1" w:lastColumn="1" w:noHBand="0" w:noVBand="1"/>
      </w:tblPr>
      <w:tblGrid>
        <w:gridCol w:w="9107"/>
      </w:tblGrid>
      <w:tr w:rsidR="0074536F" w14:paraId="79FA8405" w14:textId="77777777">
        <w:trPr>
          <w:cantSplit/>
          <w:tblCellSpacing w:w="-2.25pt" w:type="dxa"/>
        </w:trPr>
        <w:tc>
          <w:tcPr>
            <w:tcW w:w="0pt" w:type="dxa"/>
            <w:tcMar>
              <w:top w:w="0.75pt" w:type="dxa"/>
              <w:start w:w="0.75pt" w:type="dxa"/>
              <w:bottom w:w="0.75pt" w:type="dxa"/>
              <w:end w:w="0.75pt" w:type="dxa"/>
            </w:tcMar>
            <w:vAlign w:val="center"/>
            <w:hideMark/>
          </w:tcPr>
          <w:tbl>
            <w:tblPr>
              <w:tblW w:w="100.0%" w:type="pct"/>
              <w:tblCellSpacing w:w="-2.25pt" w:type="dxa"/>
              <w:tblLook w:firstRow="1" w:lastRow="0" w:firstColumn="1" w:lastColumn="0" w:noHBand="0" w:noVBand="1"/>
            </w:tblPr>
            <w:tblGrid>
              <w:gridCol w:w="4395"/>
              <w:gridCol w:w="287"/>
              <w:gridCol w:w="4395"/>
            </w:tblGrid>
            <w:tr w:rsidR="0074536F" w14:paraId="79FA83DF" w14:textId="77777777">
              <w:trPr>
                <w:cantSplit/>
                <w:tblCellSpacing w:w="-2.25pt" w:type="dxa"/>
              </w:trPr>
              <w:tc>
                <w:tcPr>
                  <w:tcW w:w="48.0%" w:type="pct"/>
                  <w:tcMar>
                    <w:top w:w="0pt" w:type="dxa"/>
                    <w:start w:w="0pt" w:type="dxa"/>
                    <w:bottom w:w="0pt" w:type="dxa"/>
                    <w:end w:w="0pt" w:type="dxa"/>
                  </w:tcMar>
                  <w:hideMark/>
                </w:tcPr>
                <w:p w14:paraId="79FA83D9" w14:textId="77777777" w:rsidR="0074536F" w:rsidRDefault="00B343E0">
                  <w:r>
                    <w:t xml:space="preserve">  </w:t>
                  </w:r>
                </w:p>
                <w:p w14:paraId="79FA83DA" w14:textId="77777777" w:rsidR="0074536F" w:rsidRDefault="00B343E0">
                  <w:pPr>
                    <w:jc w:val="start"/>
                  </w:pPr>
                  <w:r>
                    <w:t xml:space="preserve">V Praze dne 29.11.2024 </w:t>
                  </w:r>
                </w:p>
                <w:p w14:paraId="79FA83DB" w14:textId="77777777" w:rsidR="0074536F" w:rsidRDefault="00B343E0">
                  <w:pPr>
                    <w:jc w:val="start"/>
                  </w:pPr>
                  <w:r>
                    <w:t xml:space="preserve">  </w:t>
                  </w:r>
                </w:p>
              </w:tc>
              <w:tc>
                <w:tcPr>
                  <w:tcW w:w="0pt" w:type="dxa"/>
                  <w:tcMar>
                    <w:top w:w="0pt" w:type="dxa"/>
                    <w:start w:w="0pt" w:type="dxa"/>
                    <w:bottom w:w="0pt" w:type="dxa"/>
                    <w:end w:w="0pt" w:type="dxa"/>
                  </w:tcMar>
                  <w:vAlign w:val="center"/>
                  <w:hideMark/>
                </w:tcPr>
                <w:p w14:paraId="79FA83DC" w14:textId="77777777" w:rsidR="0074536F" w:rsidRDefault="0074536F">
                  <w:pPr>
                    <w:jc w:val="start"/>
                  </w:pPr>
                </w:p>
              </w:tc>
              <w:tc>
                <w:tcPr>
                  <w:tcW w:w="48.0%" w:type="pct"/>
                  <w:tcMar>
                    <w:top w:w="0pt" w:type="dxa"/>
                    <w:start w:w="0pt" w:type="dxa"/>
                    <w:bottom w:w="0pt" w:type="dxa"/>
                    <w:end w:w="0pt" w:type="dxa"/>
                  </w:tcMar>
                  <w:hideMark/>
                </w:tcPr>
                <w:p w14:paraId="79FA83DD" w14:textId="77777777" w:rsidR="0074536F" w:rsidRDefault="00B343E0">
                  <w:pPr>
                    <w:jc w:val="start"/>
                  </w:pPr>
                  <w:r>
                    <w:t xml:space="preserve">  </w:t>
                  </w:r>
                </w:p>
                <w:p w14:paraId="79FA83DE" w14:textId="77777777" w:rsidR="0074536F" w:rsidRDefault="00B343E0">
                  <w:pPr>
                    <w:jc w:val="start"/>
                  </w:pPr>
                  <w:r>
                    <w:t xml:space="preserve">  </w:t>
                  </w:r>
                </w:p>
              </w:tc>
            </w:tr>
          </w:tbl>
          <w:p w14:paraId="79FA83E0" w14:textId="77777777" w:rsidR="0074536F" w:rsidRDefault="0074536F">
            <w:pPr>
              <w:rPr>
                <w:vanish/>
              </w:rPr>
            </w:pPr>
          </w:p>
          <w:tbl>
            <w:tblPr>
              <w:tblW w:w="100.0%" w:type="pct"/>
              <w:tblCellSpacing w:w="-2.25pt" w:type="dxa"/>
              <w:tblLook w:firstRow="1" w:lastRow="0" w:firstColumn="1" w:lastColumn="0" w:noHBand="0" w:noVBand="1"/>
            </w:tblPr>
            <w:tblGrid>
              <w:gridCol w:w="4395"/>
              <w:gridCol w:w="287"/>
              <w:gridCol w:w="4395"/>
            </w:tblGrid>
            <w:tr w:rsidR="0074536F" w14:paraId="79FA83E4" w14:textId="77777777">
              <w:trPr>
                <w:cantSplit/>
                <w:tblCellSpacing w:w="-2.25pt" w:type="dxa"/>
              </w:trPr>
              <w:tc>
                <w:tcPr>
                  <w:tcW w:w="48.0%" w:type="pct"/>
                  <w:tcMar>
                    <w:top w:w="0pt" w:type="dxa"/>
                    <w:start w:w="0pt" w:type="dxa"/>
                    <w:bottom w:w="0pt" w:type="dxa"/>
                    <w:end w:w="0pt" w:type="dxa"/>
                  </w:tcMar>
                  <w:hideMark/>
                </w:tcPr>
                <w:p w14:paraId="79FA83E1" w14:textId="77777777" w:rsidR="0074536F" w:rsidRDefault="0074536F"/>
              </w:tc>
              <w:tc>
                <w:tcPr>
                  <w:tcW w:w="0pt" w:type="dxa"/>
                  <w:tcMar>
                    <w:top w:w="0pt" w:type="dxa"/>
                    <w:start w:w="0pt" w:type="dxa"/>
                    <w:bottom w:w="0pt" w:type="dxa"/>
                    <w:end w:w="0pt" w:type="dxa"/>
                  </w:tcMar>
                  <w:vAlign w:val="center"/>
                  <w:hideMark/>
                </w:tcPr>
                <w:p w14:paraId="79FA83E2" w14:textId="77777777" w:rsidR="0074536F" w:rsidRDefault="0074536F"/>
              </w:tc>
              <w:tc>
                <w:tcPr>
                  <w:tcW w:w="48.0%" w:type="pct"/>
                  <w:tcMar>
                    <w:top w:w="0pt" w:type="dxa"/>
                    <w:start w:w="0pt" w:type="dxa"/>
                    <w:bottom w:w="0pt" w:type="dxa"/>
                    <w:end w:w="0pt" w:type="dxa"/>
                  </w:tcMar>
                  <w:hideMark/>
                </w:tcPr>
                <w:p w14:paraId="79FA83E3" w14:textId="77777777" w:rsidR="0074536F" w:rsidRDefault="0074536F"/>
              </w:tc>
            </w:tr>
          </w:tbl>
          <w:p w14:paraId="79FA83E5" w14:textId="77777777" w:rsidR="0074536F" w:rsidRDefault="0074536F">
            <w:pPr>
              <w:rPr>
                <w:vanish/>
              </w:rPr>
            </w:pPr>
          </w:p>
          <w:tbl>
            <w:tblPr>
              <w:tblW w:w="100.0%" w:type="pct"/>
              <w:tblCellSpacing w:w="-2.25pt" w:type="dxa"/>
              <w:tblLook w:firstRow="1" w:lastRow="0" w:firstColumn="1" w:lastColumn="0" w:noHBand="0" w:noVBand="1"/>
            </w:tblPr>
            <w:tblGrid>
              <w:gridCol w:w="4395"/>
              <w:gridCol w:w="287"/>
              <w:gridCol w:w="4395"/>
            </w:tblGrid>
            <w:tr w:rsidR="0074536F" w14:paraId="79FA83E9" w14:textId="77777777">
              <w:trPr>
                <w:cantSplit/>
                <w:tblCellSpacing w:w="-2.25pt" w:type="dxa"/>
              </w:trPr>
              <w:tc>
                <w:tcPr>
                  <w:tcW w:w="48.0%" w:type="pct"/>
                  <w:tcMar>
                    <w:top w:w="0pt" w:type="dxa"/>
                    <w:start w:w="0pt" w:type="dxa"/>
                    <w:bottom w:w="0pt" w:type="dxa"/>
                    <w:end w:w="0pt" w:type="dxa"/>
                  </w:tcMar>
                  <w:hideMark/>
                </w:tcPr>
                <w:p w14:paraId="79FA83E6" w14:textId="459BDFF2" w:rsidR="0074536F" w:rsidRDefault="00B343E0">
                  <w:pPr>
                    <w:pBdr>
                      <w:right w:val="none" w:sz="0" w:space="15" w:color="auto"/>
                    </w:pBdr>
                    <w:ind w:end="15pt"/>
                    <w:jc w:val="start"/>
                  </w:pPr>
                  <w:r>
                    <w:rPr>
                      <w:b/>
                      <w:bCs/>
                    </w:rPr>
                    <w:t>Československá obchodní banka, a. s.</w:t>
                  </w:r>
                  <w:r>
                    <w:rPr>
                      <w:b/>
                      <w:bCs/>
                    </w:rPr>
                    <w:br/>
                  </w:r>
                  <w:proofErr w:type="spellStart"/>
                  <w:r w:rsidR="00B5103A">
                    <w:t>xxxxx</w:t>
                  </w:r>
                  <w:proofErr w:type="spellEnd"/>
                  <w:r>
                    <w:br/>
                  </w:r>
                  <w:proofErr w:type="spellStart"/>
                  <w:r w:rsidR="00B5103A">
                    <w:t>xxxxx</w:t>
                  </w:r>
                  <w:proofErr w:type="spellEnd"/>
                </w:p>
              </w:tc>
              <w:tc>
                <w:tcPr>
                  <w:tcW w:w="0pt" w:type="dxa"/>
                  <w:tcMar>
                    <w:top w:w="0pt" w:type="dxa"/>
                    <w:start w:w="0pt" w:type="dxa"/>
                    <w:bottom w:w="0pt" w:type="dxa"/>
                    <w:end w:w="0pt" w:type="dxa"/>
                  </w:tcMar>
                  <w:vAlign w:val="center"/>
                  <w:hideMark/>
                </w:tcPr>
                <w:p w14:paraId="79FA83E7" w14:textId="77777777" w:rsidR="0074536F" w:rsidRDefault="0074536F">
                  <w:pPr>
                    <w:pBdr>
                      <w:right w:val="none" w:sz="0" w:space="15" w:color="auto"/>
                    </w:pBdr>
                    <w:ind w:end="15pt"/>
                    <w:jc w:val="start"/>
                  </w:pPr>
                </w:p>
              </w:tc>
              <w:tc>
                <w:tcPr>
                  <w:tcW w:w="48.0%" w:type="pct"/>
                  <w:tcMar>
                    <w:top w:w="0pt" w:type="dxa"/>
                    <w:start w:w="0pt" w:type="dxa"/>
                    <w:bottom w:w="0pt" w:type="dxa"/>
                    <w:end w:w="0pt" w:type="dxa"/>
                  </w:tcMar>
                  <w:hideMark/>
                </w:tcPr>
                <w:p w14:paraId="79FA83E8" w14:textId="0DAFF537" w:rsidR="0074536F" w:rsidRDefault="00B343E0">
                  <w:pPr>
                    <w:pBdr>
                      <w:right w:val="none" w:sz="0" w:space="15" w:color="auto"/>
                    </w:pBdr>
                    <w:ind w:end="15pt"/>
                    <w:jc w:val="start"/>
                  </w:pPr>
                  <w:r>
                    <w:rPr>
                      <w:b/>
                      <w:bCs/>
                    </w:rPr>
                    <w:t>Technologie hlavního města Prahy, a.s.</w:t>
                  </w:r>
                  <w:r>
                    <w:rPr>
                      <w:b/>
                      <w:bCs/>
                    </w:rPr>
                    <w:br/>
                  </w:r>
                  <w:proofErr w:type="spellStart"/>
                  <w:r w:rsidR="00B5103A">
                    <w:t>xxxxx</w:t>
                  </w:r>
                  <w:proofErr w:type="spellEnd"/>
                  <w:r>
                    <w:br/>
                  </w:r>
                  <w:proofErr w:type="spellStart"/>
                  <w:r w:rsidR="00B5103A">
                    <w:t>xxxxx</w:t>
                  </w:r>
                  <w:proofErr w:type="spellEnd"/>
                  <w:r>
                    <w:t xml:space="preserve"> </w:t>
                  </w:r>
                </w:p>
              </w:tc>
            </w:tr>
          </w:tbl>
          <w:p w14:paraId="79FA83EA" w14:textId="77777777" w:rsidR="0074536F" w:rsidRDefault="0074536F">
            <w:pPr>
              <w:rPr>
                <w:vanish/>
              </w:rPr>
            </w:pPr>
          </w:p>
          <w:tbl>
            <w:tblPr>
              <w:tblW w:w="100.0%" w:type="pct"/>
              <w:tblCellSpacing w:w="-2.25pt" w:type="dxa"/>
              <w:tblLook w:firstRow="1" w:lastRow="0" w:firstColumn="1" w:lastColumn="0" w:noHBand="0" w:noVBand="1"/>
            </w:tblPr>
            <w:tblGrid>
              <w:gridCol w:w="4395"/>
              <w:gridCol w:w="287"/>
              <w:gridCol w:w="4395"/>
            </w:tblGrid>
            <w:tr w:rsidR="0074536F" w14:paraId="79FA8403" w14:textId="77777777">
              <w:trPr>
                <w:cantSplit/>
                <w:tblCellSpacing w:w="-2.25pt" w:type="dxa"/>
              </w:trPr>
              <w:tc>
                <w:tcPr>
                  <w:tcW w:w="48.0%" w:type="pct"/>
                  <w:tcMar>
                    <w:top w:w="0pt" w:type="dxa"/>
                    <w:start w:w="0pt" w:type="dxa"/>
                    <w:bottom w:w="0pt" w:type="dxa"/>
                    <w:end w:w="0pt" w:type="dxa"/>
                  </w:tcMar>
                  <w:hideMark/>
                </w:tcPr>
                <w:tbl>
                  <w:tblPr>
                    <w:tblStyle w:val="table"/>
                    <w:tblW w:w="80.0%" w:type="pct"/>
                    <w:tblCellSpacing w:w="-2.25pt" w:type="dxa"/>
                    <w:tblCellMar>
                      <w:top w:w="0.75pt" w:type="dxa"/>
                      <w:start w:w="0.75pt" w:type="dxa"/>
                      <w:bottom w:w="0.75pt" w:type="dxa"/>
                      <w:end w:w="0.75pt" w:type="dxa"/>
                    </w:tblCellMar>
                    <w:tblLook w:firstRow="1" w:lastRow="1" w:firstColumn="1" w:lastColumn="1" w:noHBand="0" w:noVBand="1"/>
                  </w:tblPr>
                  <w:tblGrid>
                    <w:gridCol w:w="1758"/>
                    <w:gridCol w:w="1758"/>
                  </w:tblGrid>
                  <w:tr w:rsidR="0074536F" w14:paraId="79FA83ED" w14:textId="77777777">
                    <w:trPr>
                      <w:cantSplit/>
                      <w:tblCellSpacing w:w="-2.25pt" w:type="dxa"/>
                    </w:trPr>
                    <w:tc>
                      <w:tcPr>
                        <w:tcW w:w="0pt" w:type="dxa"/>
                        <w:tcMar>
                          <w:top w:w="0.75pt" w:type="dxa"/>
                          <w:start w:w="0.75pt" w:type="dxa"/>
                          <w:bottom w:w="0.75pt" w:type="dxa"/>
                          <w:end w:w="0.75pt" w:type="dxa"/>
                        </w:tcMar>
                        <w:vAlign w:val="center"/>
                        <w:hideMark/>
                      </w:tcPr>
                      <w:p w14:paraId="79FA83EB" w14:textId="77777777" w:rsidR="0074536F" w:rsidRDefault="00B343E0">
                        <w:pPr>
                          <w:jc w:val="start"/>
                          <w:rPr>
                            <w:color w:val="FFFFFF"/>
                          </w:rPr>
                        </w:pPr>
                        <w:r>
                          <w:rPr>
                            <w:color w:val="FFFFFF"/>
                          </w:rPr>
                          <w:t>*B*</w:t>
                        </w:r>
                      </w:p>
                    </w:tc>
                    <w:tc>
                      <w:tcPr>
                        <w:tcW w:w="0pt" w:type="dxa"/>
                        <w:tcMar>
                          <w:top w:w="0.75pt" w:type="dxa"/>
                          <w:start w:w="0.75pt" w:type="dxa"/>
                          <w:bottom w:w="0.75pt" w:type="dxa"/>
                          <w:end w:w="0.75pt" w:type="dxa"/>
                        </w:tcMar>
                        <w:vAlign w:val="center"/>
                        <w:hideMark/>
                      </w:tcPr>
                      <w:p w14:paraId="79FA83EC" w14:textId="77777777" w:rsidR="0074536F" w:rsidRDefault="00B343E0">
                        <w:pPr>
                          <w:jc w:val="start"/>
                          <w:rPr>
                            <w:color w:val="FFFFFF"/>
                          </w:rPr>
                        </w:pPr>
                        <w:r>
                          <w:rPr>
                            <w:color w:val="FFFFFF"/>
                          </w:rPr>
                          <w:t>*B*</w:t>
                        </w:r>
                      </w:p>
                    </w:tc>
                  </w:tr>
                </w:tbl>
                <w:p w14:paraId="79FA83EE" w14:textId="77777777" w:rsidR="0074536F" w:rsidRDefault="00B343E0">
                  <w:pPr>
                    <w:jc w:val="start"/>
                  </w:pPr>
                  <w:r>
                    <w:br/>
                  </w:r>
                  <w:r>
                    <w:br/>
                  </w:r>
                </w:p>
                <w:tbl>
                  <w:tblPr>
                    <w:tblW w:w="100.0%" w:type="pct"/>
                    <w:tblCellSpacing w:w="-2.25pt" w:type="dxa"/>
                    <w:tblLook w:firstRow="1" w:lastRow="0" w:firstColumn="1" w:lastColumn="0" w:noHBand="0" w:noVBand="1"/>
                  </w:tblPr>
                  <w:tblGrid>
                    <w:gridCol w:w="3597"/>
                    <w:gridCol w:w="798"/>
                  </w:tblGrid>
                  <w:tr w:rsidR="0074536F" w14:paraId="79FA83F1" w14:textId="77777777">
                    <w:trPr>
                      <w:cantSplit/>
                      <w:tblCellSpacing w:w="-2.25pt" w:type="dxa"/>
                    </w:trPr>
                    <w:tc>
                      <w:tcPr>
                        <w:tcW w:w="80.0%" w:type="pct"/>
                        <w:tcMar>
                          <w:top w:w="0pt" w:type="dxa"/>
                          <w:start w:w="0pt" w:type="dxa"/>
                          <w:bottom w:w="0pt" w:type="dxa"/>
                          <w:end w:w="0pt" w:type="dxa"/>
                        </w:tcMar>
                        <w:vAlign w:val="center"/>
                        <w:hideMark/>
                      </w:tcPr>
                      <w:p w14:paraId="79FA83EF" w14:textId="77777777" w:rsidR="0074536F" w:rsidRDefault="00B343E0">
                        <w:pPr>
                          <w:pBdr>
                            <w:top w:val="dotted" w:sz="6" w:space="0" w:color="000000"/>
                            <w:bottom w:val="none" w:sz="0" w:space="7" w:color="auto"/>
                          </w:pBdr>
                          <w:jc w:val="center"/>
                        </w:pPr>
                        <w:r>
                          <w:t>Banka</w:t>
                        </w:r>
                      </w:p>
                    </w:tc>
                    <w:tc>
                      <w:tcPr>
                        <w:tcW w:w="20.0%" w:type="pct"/>
                        <w:tcMar>
                          <w:top w:w="0pt" w:type="dxa"/>
                          <w:start w:w="0pt" w:type="dxa"/>
                          <w:bottom w:w="0pt" w:type="dxa"/>
                          <w:end w:w="0pt" w:type="dxa"/>
                        </w:tcMar>
                        <w:vAlign w:val="center"/>
                        <w:hideMark/>
                      </w:tcPr>
                      <w:p w14:paraId="79FA83F0" w14:textId="77777777" w:rsidR="0074536F" w:rsidRDefault="00B343E0">
                        <w:pPr>
                          <w:jc w:val="start"/>
                        </w:pPr>
                        <w:r>
                          <w:t> </w:t>
                        </w:r>
                      </w:p>
                    </w:tc>
                  </w:tr>
                </w:tbl>
                <w:p w14:paraId="79FA83F2" w14:textId="77777777" w:rsidR="0074536F" w:rsidRDefault="00B343E0">
                  <w:r>
                    <w:br/>
                  </w:r>
                </w:p>
              </w:tc>
              <w:tc>
                <w:tcPr>
                  <w:tcW w:w="0pt" w:type="dxa"/>
                  <w:tcMar>
                    <w:top w:w="0pt" w:type="dxa"/>
                    <w:start w:w="0pt" w:type="dxa"/>
                    <w:bottom w:w="0pt" w:type="dxa"/>
                    <w:end w:w="0pt" w:type="dxa"/>
                  </w:tcMar>
                  <w:vAlign w:val="center"/>
                  <w:hideMark/>
                </w:tcPr>
                <w:p w14:paraId="79FA83F3" w14:textId="77777777" w:rsidR="0074536F" w:rsidRDefault="0074536F"/>
              </w:tc>
              <w:tc>
                <w:tcPr>
                  <w:tcW w:w="48.0%" w:type="pct"/>
                  <w:tcMar>
                    <w:top w:w="0pt" w:type="dxa"/>
                    <w:start w:w="0pt" w:type="dxa"/>
                    <w:bottom w:w="0pt" w:type="dxa"/>
                    <w:end w:w="0pt" w:type="dxa"/>
                  </w:tcMar>
                  <w:hideMark/>
                </w:tcPr>
                <w:tbl>
                  <w:tblPr>
                    <w:tblStyle w:val="table"/>
                    <w:tblW w:w="80.0%" w:type="pct"/>
                    <w:tblCellSpacing w:w="-2.25pt" w:type="dxa"/>
                    <w:tblCellMar>
                      <w:top w:w="0.75pt" w:type="dxa"/>
                      <w:start w:w="0.75pt" w:type="dxa"/>
                      <w:bottom w:w="0.75pt" w:type="dxa"/>
                      <w:end w:w="0.75pt" w:type="dxa"/>
                    </w:tblCellMar>
                    <w:tblLook w:firstRow="1" w:lastRow="1" w:firstColumn="1" w:lastColumn="1" w:noHBand="0" w:noVBand="1"/>
                  </w:tblPr>
                  <w:tblGrid>
                    <w:gridCol w:w="1758"/>
                    <w:gridCol w:w="1758"/>
                  </w:tblGrid>
                  <w:tr w:rsidR="0074536F" w14:paraId="79FA83F6" w14:textId="77777777">
                    <w:trPr>
                      <w:cantSplit/>
                      <w:tblCellSpacing w:w="-2.25pt" w:type="dxa"/>
                    </w:trPr>
                    <w:tc>
                      <w:tcPr>
                        <w:tcW w:w="0pt" w:type="dxa"/>
                        <w:tcMar>
                          <w:top w:w="0.75pt" w:type="dxa"/>
                          <w:start w:w="0.75pt" w:type="dxa"/>
                          <w:bottom w:w="0.75pt" w:type="dxa"/>
                          <w:end w:w="0.75pt" w:type="dxa"/>
                        </w:tcMar>
                        <w:vAlign w:val="center"/>
                        <w:hideMark/>
                      </w:tcPr>
                      <w:p w14:paraId="79FA83F4" w14:textId="77777777" w:rsidR="0074536F" w:rsidRDefault="00B343E0">
                        <w:pPr>
                          <w:jc w:val="start"/>
                          <w:rPr>
                            <w:color w:val="FFFFFF"/>
                          </w:rPr>
                        </w:pPr>
                        <w:r>
                          <w:rPr>
                            <w:color w:val="FFFFFF"/>
                          </w:rPr>
                          <w:t>*K*</w:t>
                        </w:r>
                      </w:p>
                    </w:tc>
                    <w:tc>
                      <w:tcPr>
                        <w:tcW w:w="0pt" w:type="dxa"/>
                        <w:tcMar>
                          <w:top w:w="0.75pt" w:type="dxa"/>
                          <w:start w:w="0.75pt" w:type="dxa"/>
                          <w:bottom w:w="0.75pt" w:type="dxa"/>
                          <w:end w:w="0.75pt" w:type="dxa"/>
                        </w:tcMar>
                        <w:vAlign w:val="center"/>
                        <w:hideMark/>
                      </w:tcPr>
                      <w:p w14:paraId="79FA83F5" w14:textId="77777777" w:rsidR="0074536F" w:rsidRDefault="00B343E0">
                        <w:pPr>
                          <w:jc w:val="start"/>
                          <w:rPr>
                            <w:color w:val="FFFFFF"/>
                          </w:rPr>
                        </w:pPr>
                        <w:r>
                          <w:rPr>
                            <w:color w:val="FFFFFF"/>
                          </w:rPr>
                          <w:t>*K*</w:t>
                        </w:r>
                      </w:p>
                    </w:tc>
                  </w:tr>
                </w:tbl>
                <w:p w14:paraId="79FA83F7" w14:textId="77777777" w:rsidR="0074536F" w:rsidRDefault="00B343E0">
                  <w:pPr>
                    <w:jc w:val="start"/>
                  </w:pPr>
                  <w:r>
                    <w:br/>
                  </w:r>
                  <w:r>
                    <w:br/>
                  </w:r>
                </w:p>
                <w:tbl>
                  <w:tblPr>
                    <w:tblW w:w="100.0%" w:type="pct"/>
                    <w:tblCellSpacing w:w="-2.25pt" w:type="dxa"/>
                    <w:tblLook w:firstRow="1" w:lastRow="0" w:firstColumn="1" w:lastColumn="0" w:noHBand="0" w:noVBand="1"/>
                  </w:tblPr>
                  <w:tblGrid>
                    <w:gridCol w:w="3597"/>
                    <w:gridCol w:w="798"/>
                  </w:tblGrid>
                  <w:tr w:rsidR="0074536F" w14:paraId="79FA83FA" w14:textId="77777777">
                    <w:trPr>
                      <w:cantSplit/>
                      <w:tblCellSpacing w:w="-2.25pt" w:type="dxa"/>
                    </w:trPr>
                    <w:tc>
                      <w:tcPr>
                        <w:tcW w:w="80.0%" w:type="pct"/>
                        <w:tcMar>
                          <w:top w:w="0pt" w:type="dxa"/>
                          <w:start w:w="0pt" w:type="dxa"/>
                          <w:bottom w:w="0pt" w:type="dxa"/>
                          <w:end w:w="0pt" w:type="dxa"/>
                        </w:tcMar>
                        <w:vAlign w:val="center"/>
                        <w:hideMark/>
                      </w:tcPr>
                      <w:p w14:paraId="79FA83F8" w14:textId="77777777" w:rsidR="0074536F" w:rsidRDefault="00B343E0">
                        <w:pPr>
                          <w:pBdr>
                            <w:top w:val="dotted" w:sz="6" w:space="0" w:color="000000"/>
                            <w:bottom w:val="none" w:sz="0" w:space="7" w:color="auto"/>
                          </w:pBdr>
                          <w:jc w:val="center"/>
                        </w:pPr>
                        <w:r>
                          <w:t>Klient</w:t>
                        </w:r>
                      </w:p>
                    </w:tc>
                    <w:tc>
                      <w:tcPr>
                        <w:tcW w:w="20.0%" w:type="pct"/>
                        <w:tcMar>
                          <w:top w:w="0pt" w:type="dxa"/>
                          <w:start w:w="0pt" w:type="dxa"/>
                          <w:bottom w:w="0pt" w:type="dxa"/>
                          <w:end w:w="0pt" w:type="dxa"/>
                        </w:tcMar>
                        <w:vAlign w:val="center"/>
                        <w:hideMark/>
                      </w:tcPr>
                      <w:p w14:paraId="79FA83F9" w14:textId="77777777" w:rsidR="0074536F" w:rsidRDefault="00B343E0">
                        <w:pPr>
                          <w:jc w:val="start"/>
                        </w:pPr>
                        <w:r>
                          <w:t> </w:t>
                        </w:r>
                      </w:p>
                    </w:tc>
                  </w:tr>
                </w:tbl>
                <w:p w14:paraId="79FA83FB" w14:textId="77777777" w:rsidR="0074536F" w:rsidRDefault="0074536F">
                  <w:pPr>
                    <w:rPr>
                      <w:vanish/>
                    </w:rPr>
                  </w:pPr>
                </w:p>
                <w:tbl>
                  <w:tblPr>
                    <w:tblStyle w:val="table"/>
                    <w:tblW w:w="0pt" w:type="dxa"/>
                    <w:tblCellSpacing w:w="-2.25pt" w:type="dxa"/>
                    <w:tblCellMar>
                      <w:top w:w="0.75pt" w:type="dxa"/>
                      <w:start w:w="0.75pt" w:type="dxa"/>
                      <w:bottom w:w="0.75pt" w:type="dxa"/>
                      <w:end w:w="0.75pt" w:type="dxa"/>
                    </w:tblCellMar>
                    <w:tblLook w:firstRow="1" w:lastRow="1" w:firstColumn="1" w:lastColumn="1" w:noHBand="0" w:noVBand="1"/>
                  </w:tblPr>
                  <w:tblGrid>
                    <w:gridCol w:w="1900"/>
                    <w:gridCol w:w="1900"/>
                  </w:tblGrid>
                  <w:tr w:rsidR="0074536F" w14:paraId="79FA83FE" w14:textId="77777777">
                    <w:trPr>
                      <w:cantSplit/>
                      <w:tblCellSpacing w:w="-2.25pt" w:type="dxa"/>
                    </w:trPr>
                    <w:tc>
                      <w:tcPr>
                        <w:tcW w:w="50.0%" w:type="pct"/>
                        <w:tcMar>
                          <w:top w:w="0.75pt" w:type="dxa"/>
                          <w:start w:w="0.75pt" w:type="dxa"/>
                          <w:bottom w:w="0.75pt" w:type="dxa"/>
                          <w:end w:w="0.75pt" w:type="dxa"/>
                        </w:tcMar>
                        <w:vAlign w:val="center"/>
                        <w:hideMark/>
                      </w:tcPr>
                      <w:p w14:paraId="79FA83FC" w14:textId="77777777" w:rsidR="0074536F" w:rsidRDefault="00B343E0">
                        <w:pPr>
                          <w:jc w:val="start"/>
                        </w:pPr>
                        <w:r>
                          <w:rPr>
                            <w:sz w:val="18"/>
                            <w:szCs w:val="18"/>
                          </w:rPr>
                          <w:t>Ověření podpisu/totožnosti:</w:t>
                        </w:r>
                      </w:p>
                    </w:tc>
                    <w:tc>
                      <w:tcPr>
                        <w:tcW w:w="50.0%" w:type="pct"/>
                        <w:tcMar>
                          <w:top w:w="0.75pt" w:type="dxa"/>
                          <w:start w:w="0.75pt" w:type="dxa"/>
                          <w:bottom w:w="0.75pt" w:type="dxa"/>
                          <w:end w:w="0.75pt" w:type="dxa"/>
                        </w:tcMar>
                        <w:vAlign w:val="center"/>
                        <w:hideMark/>
                      </w:tcPr>
                      <w:p w14:paraId="79FA83FD" w14:textId="77777777" w:rsidR="0074536F" w:rsidRDefault="00B343E0">
                        <w:pPr>
                          <w:jc w:val="start"/>
                        </w:pPr>
                        <w:r>
                          <w:rPr>
                            <w:sz w:val="18"/>
                            <w:szCs w:val="18"/>
                          </w:rPr>
                          <w:t>Ověření podpisu/totožnosti:</w:t>
                        </w:r>
                      </w:p>
                    </w:tc>
                  </w:tr>
                  <w:tr w:rsidR="0074536F" w14:paraId="79FA8401" w14:textId="77777777">
                    <w:trPr>
                      <w:cantSplit/>
                      <w:tblCellSpacing w:w="-2.25pt" w:type="dxa"/>
                    </w:trPr>
                    <w:tc>
                      <w:tcPr>
                        <w:tcW w:w="50.0%" w:type="pct"/>
                        <w:tcMar>
                          <w:top w:w="0.75pt" w:type="dxa"/>
                          <w:start w:w="0.75pt" w:type="dxa"/>
                          <w:bottom w:w="0.75pt" w:type="dxa"/>
                          <w:end w:w="0.75pt" w:type="dxa"/>
                        </w:tcMar>
                        <w:vAlign w:val="center"/>
                        <w:hideMark/>
                      </w:tcPr>
                      <w:p w14:paraId="79FA83FF" w14:textId="77777777" w:rsidR="0074536F" w:rsidRDefault="00B343E0">
                        <w:pPr>
                          <w:jc w:val="start"/>
                        </w:pPr>
                        <w:r>
                          <w:rPr>
                            <w:color w:val="FFFFFF"/>
                          </w:rPr>
                          <w:t xml:space="preserve">*O* </w:t>
                        </w:r>
                      </w:p>
                    </w:tc>
                    <w:tc>
                      <w:tcPr>
                        <w:tcW w:w="50.0%" w:type="pct"/>
                        <w:tcMar>
                          <w:top w:w="0.75pt" w:type="dxa"/>
                          <w:start w:w="0.75pt" w:type="dxa"/>
                          <w:bottom w:w="0.75pt" w:type="dxa"/>
                          <w:end w:w="0.75pt" w:type="dxa"/>
                        </w:tcMar>
                        <w:vAlign w:val="center"/>
                        <w:hideMark/>
                      </w:tcPr>
                      <w:p w14:paraId="79FA8400" w14:textId="77777777" w:rsidR="0074536F" w:rsidRDefault="00B343E0">
                        <w:pPr>
                          <w:jc w:val="start"/>
                        </w:pPr>
                        <w:r>
                          <w:rPr>
                            <w:color w:val="FFFFFF"/>
                          </w:rPr>
                          <w:t xml:space="preserve">*O* </w:t>
                        </w:r>
                      </w:p>
                    </w:tc>
                  </w:tr>
                </w:tbl>
                <w:p w14:paraId="79FA8402" w14:textId="77777777" w:rsidR="0074536F" w:rsidRDefault="00B343E0">
                  <w:pPr>
                    <w:jc w:val="start"/>
                  </w:pPr>
                  <w:r>
                    <w:br/>
                  </w:r>
                </w:p>
              </w:tc>
            </w:tr>
          </w:tbl>
          <w:p w14:paraId="79FA8404" w14:textId="77777777" w:rsidR="0074536F" w:rsidRDefault="0074536F"/>
        </w:tc>
      </w:tr>
    </w:tbl>
    <w:p w14:paraId="79FA8406" w14:textId="77777777" w:rsidR="0074536F" w:rsidRDefault="0074536F">
      <w:pPr>
        <w:sectPr w:rsidR="0074536F">
          <w:headerReference w:type="default" r:id="rId10"/>
          <w:footerReference w:type="default" r:id="rId11"/>
          <w:headerReference w:type="first" r:id="rId12"/>
          <w:footerReference w:type="first" r:id="rId13"/>
          <w:pgSz w:w="595.30pt" w:h="841.90pt"/>
          <w:pgMar w:top="70.85pt" w:right="70.85pt" w:bottom="70.85pt" w:left="70.85pt" w:header="35.40pt" w:footer="35.40pt" w:gutter="0pt"/>
          <w:pgNumType w:start="1"/>
          <w:cols w:space="35.40pt"/>
          <w:titlePg/>
        </w:sectPr>
      </w:pPr>
    </w:p>
    <w:p w14:paraId="79FA8407" w14:textId="77777777" w:rsidR="0074536F" w:rsidRDefault="00B343E0">
      <w:pPr>
        <w:jc w:val="center"/>
      </w:pPr>
      <w:r>
        <w:rPr>
          <w:b/>
          <w:bCs/>
          <w:u w:val="single" w:color="000000"/>
        </w:rPr>
        <w:lastRenderedPageBreak/>
        <w:t>Definice a ujednání</w:t>
      </w:r>
    </w:p>
    <w:p w14:paraId="79FA8408" w14:textId="77777777" w:rsidR="0074536F" w:rsidRDefault="00B343E0">
      <w:pPr>
        <w:jc w:val="center"/>
      </w:pPr>
      <w:r>
        <w:t> </w:t>
      </w: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78"/>
        <w:gridCol w:w="295"/>
        <w:gridCol w:w="7119"/>
      </w:tblGrid>
      <w:tr w:rsidR="0074536F" w14:paraId="79FA840B" w14:textId="77777777">
        <w:trPr>
          <w:cantSplit/>
          <w:tblCellSpacing w:w="-5pt" w:type="dxa"/>
        </w:trPr>
        <w:tc>
          <w:tcPr>
            <w:tcW w:w="20.0%" w:type="pct"/>
            <w:vMerge w:val="restar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tcPr>
          <w:p w14:paraId="79FA8409" w14:textId="77777777" w:rsidR="0074536F" w:rsidRDefault="00B343E0">
            <w:pPr>
              <w:jc w:val="start"/>
            </w:pPr>
            <w:r>
              <w:rPr>
                <w:b/>
                <w:bCs/>
              </w:rPr>
              <w:t>*IBOR</w:t>
            </w:r>
          </w:p>
        </w:tc>
        <w:tc>
          <w:tcPr>
            <w:tcW w:w="80.0%" w:type="pct"/>
            <w:gridSpan w:val="2"/>
            <w:tcBorders>
              <w:top w:val="single" w:sz="6" w:space="0" w:color="000000"/>
              <w:end w:val="single" w:sz="6" w:space="0" w:color="000000"/>
            </w:tcBorders>
            <w:tcMar>
              <w:top w:w="1.10pt" w:type="dxa"/>
              <w:start w:w="0.75pt" w:type="dxa"/>
              <w:bottom w:w="0.75pt" w:type="dxa"/>
              <w:end w:w="1.10pt" w:type="dxa"/>
            </w:tcMar>
            <w:vAlign w:val="center"/>
            <w:hideMark/>
          </w:tcPr>
          <w:p w14:paraId="79FA840A" w14:textId="77777777" w:rsidR="0074536F" w:rsidRDefault="00B343E0">
            <w:r>
              <w:t>referenční úroková sazba peněžního trhu pro příslušnou měnu (PRIBOR v případě dluhů v Kč, resp. EURIBOR u dluhů v EUR, příp. dalších měnách) ve výši uvedené pro příslušné časové období v informační síti REFINITIV, popřípadě v jiných informačních mediích, a to vždy 2 pracovní dny před:</w:t>
            </w:r>
          </w:p>
        </w:tc>
      </w:tr>
      <w:tr w:rsidR="0074536F" w14:paraId="79FA840F" w14:textId="77777777">
        <w:trPr>
          <w:cantSplit/>
          <w:tblCellSpacing w:w="-5pt" w:type="dxa"/>
        </w:trPr>
        <w:tc>
          <w:tcPr>
            <w:tcW w:w="0pt" w:type="dxa"/>
            <w:vMerge/>
            <w:tcBorders>
              <w:top w:val="single" w:sz="6" w:space="0" w:color="000000"/>
              <w:start w:val="single" w:sz="6" w:space="0" w:color="000000"/>
              <w:bottom w:val="single" w:sz="6" w:space="0" w:color="000000"/>
              <w:end w:val="single" w:sz="6" w:space="0" w:color="000000"/>
            </w:tcBorders>
            <w:vAlign w:val="center"/>
            <w:hideMark/>
          </w:tcPr>
          <w:p w14:paraId="79FA840C" w14:textId="77777777" w:rsidR="0074536F" w:rsidRDefault="0074536F"/>
        </w:tc>
        <w:tc>
          <w:tcPr>
            <w:tcW w:w="5.0%" w:type="pct"/>
            <w:tcMar>
              <w:top w:w="0.75pt" w:type="dxa"/>
              <w:start w:w="0.75pt" w:type="dxa"/>
              <w:bottom w:w="0.75pt" w:type="dxa"/>
              <w:end w:w="0.75pt" w:type="dxa"/>
            </w:tcMar>
            <w:hideMark/>
          </w:tcPr>
          <w:p w14:paraId="79FA840D" w14:textId="77777777" w:rsidR="0074536F" w:rsidRDefault="00B343E0">
            <w:r>
              <w:t>a)</w:t>
            </w:r>
          </w:p>
        </w:tc>
        <w:tc>
          <w:tcPr>
            <w:tcW w:w="75.0%" w:type="pct"/>
            <w:tcBorders>
              <w:end w:val="single" w:sz="6" w:space="0" w:color="000000"/>
            </w:tcBorders>
            <w:tcMar>
              <w:top w:w="0.75pt" w:type="dxa"/>
              <w:start w:w="0.75pt" w:type="dxa"/>
              <w:bottom w:w="0.75pt" w:type="dxa"/>
              <w:end w:w="1.10pt" w:type="dxa"/>
            </w:tcMar>
            <w:vAlign w:val="center"/>
            <w:hideMark/>
          </w:tcPr>
          <w:p w14:paraId="79FA840E" w14:textId="77777777" w:rsidR="0074536F" w:rsidRDefault="00B343E0">
            <w:r>
              <w:t>dnem příslušného jednotlivého čerpání Úvěru, pokud k příslušnému jednotlivému čerpání Úvěru došlo v příslušném Období fixace, přičemž úroková sazba stanovená tímto sjednaným způsobem je v dané výši platná pro příslušné jednotlivé čerpání Úvěru a pro zbývající část příslušného Období fixace, nebo</w:t>
            </w:r>
          </w:p>
        </w:tc>
      </w:tr>
      <w:tr w:rsidR="0074536F" w14:paraId="79FA8413" w14:textId="77777777">
        <w:trPr>
          <w:cantSplit/>
          <w:tblCellSpacing w:w="-5pt" w:type="dxa"/>
        </w:trPr>
        <w:tc>
          <w:tcPr>
            <w:tcW w:w="0pt" w:type="dxa"/>
            <w:vMerge/>
            <w:tcBorders>
              <w:top w:val="single" w:sz="6" w:space="0" w:color="000000"/>
              <w:start w:val="single" w:sz="6" w:space="0" w:color="000000"/>
              <w:bottom w:val="single" w:sz="6" w:space="0" w:color="000000"/>
              <w:end w:val="single" w:sz="6" w:space="0" w:color="000000"/>
            </w:tcBorders>
            <w:vAlign w:val="center"/>
            <w:hideMark/>
          </w:tcPr>
          <w:p w14:paraId="79FA8410" w14:textId="77777777" w:rsidR="0074536F" w:rsidRDefault="0074536F"/>
        </w:tc>
        <w:tc>
          <w:tcPr>
            <w:tcW w:w="5.0%" w:type="pct"/>
            <w:tcBorders>
              <w:bottom w:val="single" w:sz="6" w:space="0" w:color="000000"/>
            </w:tcBorders>
            <w:tcMar>
              <w:top w:w="0.75pt" w:type="dxa"/>
              <w:start w:w="0.75pt" w:type="dxa"/>
              <w:bottom w:w="1.10pt" w:type="dxa"/>
              <w:end w:w="0.75pt" w:type="dxa"/>
            </w:tcMar>
            <w:hideMark/>
          </w:tcPr>
          <w:p w14:paraId="79FA8411" w14:textId="77777777" w:rsidR="0074536F" w:rsidRDefault="00B343E0">
            <w:r>
              <w:t>b)</w:t>
            </w:r>
          </w:p>
        </w:tc>
        <w:tc>
          <w:tcPr>
            <w:tcW w:w="75.0%" w:type="pct"/>
            <w:tcBorders>
              <w:bottom w:val="single" w:sz="6" w:space="0" w:color="000000"/>
              <w:end w:val="single" w:sz="6" w:space="0" w:color="000000"/>
            </w:tcBorders>
            <w:tcMar>
              <w:top w:w="0.75pt" w:type="dxa"/>
              <w:start w:w="0.75pt" w:type="dxa"/>
              <w:bottom w:w="1.10pt" w:type="dxa"/>
              <w:end w:w="1.10pt" w:type="dxa"/>
            </w:tcMar>
            <w:vAlign w:val="center"/>
            <w:hideMark/>
          </w:tcPr>
          <w:p w14:paraId="79FA8412" w14:textId="77777777" w:rsidR="0074536F" w:rsidRDefault="00B343E0">
            <w:r>
              <w:t>prvním dnem příslušného Období fixace, pokud k příslušnému jednotlivému čerpání Úvěru došlo v předcházejících Obdobích fixace, přičemž úroková sazba stanovená tímto sjednaným způsobem je v dané výši platná pro aktuální výši čerpání Úvěru (s výjimkou jednotlivých čerpání, ke kterým došlo v průběhu příslušného Období fixace) a pro celé příslušné Období fixace.</w:t>
            </w:r>
          </w:p>
        </w:tc>
      </w:tr>
    </w:tbl>
    <w:p w14:paraId="79FA8414"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78"/>
        <w:gridCol w:w="295"/>
        <w:gridCol w:w="7119"/>
      </w:tblGrid>
      <w:tr w:rsidR="0074536F" w14:paraId="79FA8417" w14:textId="77777777">
        <w:trPr>
          <w:cantSplit/>
          <w:tblCellSpacing w:w="-5pt" w:type="dxa"/>
        </w:trPr>
        <w:tc>
          <w:tcPr>
            <w:tcW w:w="20.0%" w:type="pct"/>
            <w:vMerge w:val="restar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15" w14:textId="77777777" w:rsidR="0074536F" w:rsidRDefault="00B343E0">
            <w:pPr>
              <w:jc w:val="start"/>
            </w:pPr>
            <w:r>
              <w:rPr>
                <w:b/>
                <w:bCs/>
              </w:rPr>
              <w:t xml:space="preserve">CME Term SOFR Reference </w:t>
            </w:r>
            <w:proofErr w:type="spellStart"/>
            <w:r>
              <w:rPr>
                <w:b/>
                <w:bCs/>
              </w:rPr>
              <w:t>Rate</w:t>
            </w:r>
            <w:proofErr w:type="spellEnd"/>
          </w:p>
        </w:tc>
        <w:tc>
          <w:tcPr>
            <w:tcW w:w="80.0%" w:type="pct"/>
            <w:gridSpan w:val="2"/>
            <w:tcBorders>
              <w:top w:val="single" w:sz="6" w:space="0" w:color="000000"/>
              <w:end w:val="single" w:sz="6" w:space="0" w:color="000000"/>
            </w:tcBorders>
            <w:tcMar>
              <w:top w:w="1.10pt" w:type="dxa"/>
              <w:start w:w="0.75pt" w:type="dxa"/>
              <w:bottom w:w="0.75pt" w:type="dxa"/>
              <w:end w:w="1.10pt" w:type="dxa"/>
            </w:tcMar>
            <w:vAlign w:val="center"/>
            <w:hideMark/>
          </w:tcPr>
          <w:p w14:paraId="79FA8416" w14:textId="77777777" w:rsidR="0074536F" w:rsidRDefault="00B343E0">
            <w:r>
              <w:t>referenční úroková sazba peněžního trhu pro měnu USD ve výši uvedené pro příslušné časové období v informační síti REFINITIV ve 13 hodin středoevropského času, a to vždy 2 pracovní dny před:</w:t>
            </w:r>
          </w:p>
        </w:tc>
      </w:tr>
      <w:tr w:rsidR="0074536F" w14:paraId="79FA841B" w14:textId="77777777">
        <w:trPr>
          <w:cantSplit/>
          <w:tblCellSpacing w:w="-5pt" w:type="dxa"/>
        </w:trPr>
        <w:tc>
          <w:tcPr>
            <w:tcW w:w="0pt" w:type="dxa"/>
            <w:vMerge/>
            <w:tcBorders>
              <w:top w:val="single" w:sz="6" w:space="0" w:color="000000"/>
              <w:start w:val="single" w:sz="6" w:space="0" w:color="000000"/>
              <w:bottom w:val="single" w:sz="6" w:space="0" w:color="000000"/>
              <w:end w:val="single" w:sz="6" w:space="0" w:color="000000"/>
            </w:tcBorders>
            <w:vAlign w:val="center"/>
            <w:hideMark/>
          </w:tcPr>
          <w:p w14:paraId="79FA8418" w14:textId="77777777" w:rsidR="0074536F" w:rsidRDefault="0074536F"/>
        </w:tc>
        <w:tc>
          <w:tcPr>
            <w:tcW w:w="5.0%" w:type="pct"/>
            <w:tcMar>
              <w:top w:w="0.75pt" w:type="dxa"/>
              <w:start w:w="0.75pt" w:type="dxa"/>
              <w:bottom w:w="0.75pt" w:type="dxa"/>
              <w:end w:w="0.75pt" w:type="dxa"/>
            </w:tcMar>
            <w:hideMark/>
          </w:tcPr>
          <w:p w14:paraId="79FA8419" w14:textId="77777777" w:rsidR="0074536F" w:rsidRDefault="00B343E0">
            <w:r>
              <w:t>a)</w:t>
            </w:r>
          </w:p>
        </w:tc>
        <w:tc>
          <w:tcPr>
            <w:tcW w:w="75.0%" w:type="pct"/>
            <w:tcBorders>
              <w:end w:val="single" w:sz="6" w:space="0" w:color="000000"/>
            </w:tcBorders>
            <w:tcMar>
              <w:top w:w="0.75pt" w:type="dxa"/>
              <w:start w:w="0.75pt" w:type="dxa"/>
              <w:bottom w:w="0.75pt" w:type="dxa"/>
              <w:end w:w="1.10pt" w:type="dxa"/>
            </w:tcMar>
            <w:vAlign w:val="center"/>
            <w:hideMark/>
          </w:tcPr>
          <w:p w14:paraId="79FA841A" w14:textId="77777777" w:rsidR="0074536F" w:rsidRDefault="00B343E0">
            <w:r>
              <w:t>dnem příslušného jednotlivého čerpání Úvěru, pokud k příslušnému jednotlivému čerpání Úvěru došlo v příslušném Období fixace, přičemž úroková sazba stanovená tímto sjednaným způsobem je v dané výši platná pro příslušné jednotlivé čerpání Úvěru a pro zbývající část příslušného Období fixace, nebo</w:t>
            </w:r>
          </w:p>
        </w:tc>
      </w:tr>
      <w:tr w:rsidR="0074536F" w14:paraId="79FA841F" w14:textId="77777777">
        <w:trPr>
          <w:cantSplit/>
          <w:tblCellSpacing w:w="-5pt" w:type="dxa"/>
        </w:trPr>
        <w:tc>
          <w:tcPr>
            <w:tcW w:w="0pt" w:type="dxa"/>
            <w:vMerge/>
            <w:tcBorders>
              <w:top w:val="single" w:sz="6" w:space="0" w:color="000000"/>
              <w:start w:val="single" w:sz="6" w:space="0" w:color="000000"/>
              <w:bottom w:val="single" w:sz="6" w:space="0" w:color="000000"/>
              <w:end w:val="single" w:sz="6" w:space="0" w:color="000000"/>
            </w:tcBorders>
            <w:vAlign w:val="center"/>
            <w:hideMark/>
          </w:tcPr>
          <w:p w14:paraId="79FA841C" w14:textId="77777777" w:rsidR="0074536F" w:rsidRDefault="0074536F"/>
        </w:tc>
        <w:tc>
          <w:tcPr>
            <w:tcW w:w="5.0%" w:type="pct"/>
            <w:tcBorders>
              <w:bottom w:val="single" w:sz="6" w:space="0" w:color="000000"/>
            </w:tcBorders>
            <w:tcMar>
              <w:top w:w="0.75pt" w:type="dxa"/>
              <w:start w:w="0.75pt" w:type="dxa"/>
              <w:bottom w:w="1.10pt" w:type="dxa"/>
              <w:end w:w="0.75pt" w:type="dxa"/>
            </w:tcMar>
            <w:hideMark/>
          </w:tcPr>
          <w:p w14:paraId="79FA841D" w14:textId="77777777" w:rsidR="0074536F" w:rsidRDefault="00B343E0">
            <w:r>
              <w:t>b)</w:t>
            </w:r>
          </w:p>
        </w:tc>
        <w:tc>
          <w:tcPr>
            <w:tcW w:w="75.0%" w:type="pct"/>
            <w:tcBorders>
              <w:bottom w:val="single" w:sz="6" w:space="0" w:color="000000"/>
              <w:end w:val="single" w:sz="6" w:space="0" w:color="000000"/>
            </w:tcBorders>
            <w:tcMar>
              <w:top w:w="0.75pt" w:type="dxa"/>
              <w:start w:w="0.75pt" w:type="dxa"/>
              <w:bottom w:w="1.10pt" w:type="dxa"/>
              <w:end w:w="1.10pt" w:type="dxa"/>
            </w:tcMar>
            <w:vAlign w:val="center"/>
            <w:hideMark/>
          </w:tcPr>
          <w:p w14:paraId="79FA841E" w14:textId="77777777" w:rsidR="0074536F" w:rsidRDefault="00B343E0">
            <w:r>
              <w:t>prvním dnem příslušného Období fixace, pokud k příslušnému jednotlivému čerpání Úvěru došlo v předcházejících Obdobích fixace, přičemž úroková sazba stanovená tímto sjednaným způsobem je v dané výši platná pro aktuální výši čerpání Úvěru (s výjimkou jednotlivých čerpání, ke kterým došlo v průběhu příslušného Období fixace) a pro celé příslušné Období fixace.</w:t>
            </w:r>
          </w:p>
        </w:tc>
      </w:tr>
    </w:tbl>
    <w:p w14:paraId="79FA8420"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23"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21" w14:textId="77777777" w:rsidR="0074536F" w:rsidRDefault="00B343E0">
            <w:pPr>
              <w:jc w:val="start"/>
            </w:pPr>
            <w:r>
              <w:rPr>
                <w:b/>
                <w:bCs/>
              </w:rPr>
              <w:t>Den fixace</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22" w14:textId="77777777" w:rsidR="0074536F" w:rsidRDefault="00B343E0">
            <w:r>
              <w:t>poslední den Období fixace, ve kterém skončilo Období čerpání.</w:t>
            </w:r>
          </w:p>
        </w:tc>
      </w:tr>
    </w:tbl>
    <w:p w14:paraId="79FA8424"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27"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25" w14:textId="77777777" w:rsidR="0074536F" w:rsidRDefault="00B343E0">
            <w:pPr>
              <w:jc w:val="start"/>
            </w:pPr>
            <w:r>
              <w:rPr>
                <w:b/>
                <w:bCs/>
              </w:rPr>
              <w:t>IRS</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26" w14:textId="77777777" w:rsidR="0074536F" w:rsidRDefault="00B343E0">
            <w:r>
              <w:t>úrokový SWAP, tj. referenční úroková sazba peněžního trhu pro příslušnou měnu ve výši uvedené pro příslušné časové období (nad 1 rok) v informační síti REFINITIV, popřípadě v jiných informačních mediích, a to vždy 2 pracovní dny před prvním dnem příslušného Období fixace.</w:t>
            </w:r>
          </w:p>
        </w:tc>
      </w:tr>
    </w:tbl>
    <w:p w14:paraId="79FA8428"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2B"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29" w14:textId="77777777" w:rsidR="0074536F" w:rsidRDefault="00B343E0">
            <w:pPr>
              <w:jc w:val="start"/>
            </w:pPr>
            <w:r>
              <w:rPr>
                <w:b/>
                <w:bCs/>
              </w:rPr>
              <w:lastRenderedPageBreak/>
              <w:t>Náhradní referenční hodnota</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2A" w14:textId="77777777" w:rsidR="0074536F" w:rsidRDefault="00B343E0">
            <w:r>
              <w:t>referenční úroková sazba, (i) kterou za účelem nahrazení Příslušné referenční hodnoty doporučí Příslušný orgán nebo, (</w:t>
            </w:r>
            <w:proofErr w:type="spellStart"/>
            <w:r>
              <w:t>ii</w:t>
            </w:r>
            <w:proofErr w:type="spellEnd"/>
            <w:r>
              <w:t>) nelze-li takto Náhradní referenční hodnotu stanovit, hodnota, která je obvykle považována za nástupce či náhradu Příslušné referenční hodnoty v souladu s převažující či vznikající tržní praxí u srovnatelných transakcí v téže měně nebo (</w:t>
            </w:r>
            <w:proofErr w:type="spellStart"/>
            <w:r>
              <w:t>iii</w:t>
            </w:r>
            <w:proofErr w:type="spellEnd"/>
            <w:r>
              <w:t>) nelze-li ani takto Náhradní referenční hodnotu stanovit, referenční hodnota, která je Bankou vybrána coby nejsrovnatelnější s Příslušnou referenční hodnotou. Náhradní referenční hodnota bude upravena o případnou vyrovnávací odchylku s cílem v nejvyšší reálně možné míře vyloučit vznik ekonomického znevýhodnění či zvýhodnění Smluvních stran plynoucího z nahrazení Příslušné referenční hodnoty Náhradní referenční hodnotou. Touto vyrovnávací odchylkou bude (i) vyrovnávací odchylka doporučená Příslušným orgánem, nebo (</w:t>
            </w:r>
            <w:proofErr w:type="spellStart"/>
            <w:r>
              <w:t>ii</w:t>
            </w:r>
            <w:proofErr w:type="spellEnd"/>
            <w:r>
              <w:t>) nelze-li ji takto stanovit, vyrovnávací odchylka obvykle používaná v souladu s převažující či vznikající tržní praxí u srovnatelných transakcí v téže měně, nebo (</w:t>
            </w:r>
            <w:proofErr w:type="spellStart"/>
            <w:r>
              <w:t>iii</w:t>
            </w:r>
            <w:proofErr w:type="spellEnd"/>
            <w:r>
              <w:t>) nelze-li ji ani takto stanovit, vyrovnávací odchylka u transakcí s deriváty. Banka je oprávněna provést technické změny Smlouvy, které budou nezbytné pro použití Náhradní referenční hodnoty upravené o vyrovnávací odchylku, včetně změny délky úrokových období, doby a frekvence stanovení úrokových sazeb či data splatnosti úroků, a sdělí je bez zbytečného odkladu Klientovi společně s informací o tom, od kdy se Náhradní referenční hodnota a případné nezbytné změny Smlouvy použijí. Náhradní referenční hodnota i uvedené technické změny Smlouvy budou bez dalšího závazné pro Smluvní strany, aniž by s nimi musel Klient vyjádřit výslovný souhlas.</w:t>
            </w:r>
          </w:p>
        </w:tc>
      </w:tr>
    </w:tbl>
    <w:p w14:paraId="79FA842C"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2F"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2D" w14:textId="77777777" w:rsidR="0074536F" w:rsidRDefault="00B343E0">
            <w:pPr>
              <w:jc w:val="start"/>
            </w:pPr>
            <w:r>
              <w:rPr>
                <w:b/>
                <w:bCs/>
              </w:rPr>
              <w:t>Náhradní úroková sazba</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2E" w14:textId="77777777" w:rsidR="0074536F" w:rsidRDefault="00B343E0">
            <w:r>
              <w:t>pohyblivá úroková sazba s přechodnou fixací, resp. pohyblivá úroková sazba při úročení na bázi O/N, která je součtem průměru kotací (zjištěných Bankou) na mezibankovním peněžním trhu nejméně tří referenčních bank, a to vždy 2 pracovní dny před prvním dnem příslušného Období fixace, resp. vždy v příslušný den, kdy je Úvěr čerpán, při úročení na bázi O/N, a marže (přirážky) v pevné výši uvedené v Článku „Úroky a poplatky“ Smlouvy. Není-li možné stanovit ani tímto způsobem úrokovou sazbu z důvodu nekotování na mezibankovním peněžním trhu, je Náhradní úrokovou sazbou úroková sazba s přechodnou fixací, skládající se z úrokové sazby ve výši nákladů Banky na financování Úvěru z jakýchkoli jí rozumně vybraných zdrojů peněžních prostředků včetně nákladů na zajištění rizik a marže v pevné výši uvedené v Článku „Úroky a poplatky“ Smlouvy, přičemž Klient je povinen takto stanovené úroky Bance uhradit nebo předčasně splatit své dluhy z poskytnutého Úvěru, a to do 30 dnů ode dne doručení oznámení Banky o výši stanovené úrokové sazby (přičemž v případě předčasného splacení Úvěru pak pro období, než předčasné splacení nastane, platí úroková sazba stanovená kotací Banky). V případě, že by Náhradní úroková sazba stanovená výše sjednaným způsobem byla menší než nula, použije se Náhradní úroková sazba v hodnotě nula. Stejný postup určení úrokové sazby se uplatní i v případě, kdy náklady Banky na získání depozit ve výši čerpaného Úvěru na příslušném mezibankovním trhu pro příslušené Období fixace přesahují referenční sazbu uvedenou v Článku „Úroky a poplatky“ Smlouvy.</w:t>
            </w:r>
          </w:p>
        </w:tc>
      </w:tr>
    </w:tbl>
    <w:p w14:paraId="79FA8430"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33"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31" w14:textId="77777777" w:rsidR="0074536F" w:rsidRDefault="00B343E0">
            <w:pPr>
              <w:jc w:val="start"/>
            </w:pPr>
            <w:r>
              <w:rPr>
                <w:b/>
                <w:bCs/>
              </w:rPr>
              <w:t>Nová úroková sazba</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32" w14:textId="77777777" w:rsidR="0074536F" w:rsidRDefault="00B343E0">
            <w:r>
              <w:t>pohyblivá úroková sazba s přechodnou fixací, která je součtem Náhradní referenční hodnoty upravené o vyrovnávací odchylku a marže v pevné výši uvedené v Článku „Úroky a poplatky“ Smlouvy, přičemž Klient je povinen takto stanovené úroky Bance uhradit nebo předčasně splatit své dluhy z poskytnutého Úvěru, a to do 30 dnů ode dne doručení oznámení Banky o výši stanovené Nové úrokové sazby (v případě předčasného splacení Úvěru pak pro období, než předčasné splacení nastane, platí Nová úroková sazba). V případě, že by Nová úroková sazba stanovená výše sjednaným způsobem byla menší než nula, použije se Nová úroková sazba v hodnotě nula.</w:t>
            </w:r>
          </w:p>
        </w:tc>
      </w:tr>
    </w:tbl>
    <w:p w14:paraId="79FA8434"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37"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35" w14:textId="77777777" w:rsidR="0074536F" w:rsidRDefault="00B343E0">
            <w:pPr>
              <w:jc w:val="start"/>
            </w:pPr>
            <w:r>
              <w:rPr>
                <w:b/>
                <w:bCs/>
              </w:rPr>
              <w:lastRenderedPageBreak/>
              <w:t>Období fixace (pro fixní sazbu na x let)</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36" w14:textId="77777777" w:rsidR="0074536F" w:rsidRDefault="00B343E0">
            <w:r>
              <w:t xml:space="preserve">období fixace úrokové sazby v délce stanovené v Článku „Úroky a poplatky“ Smlouvy. První Období fixace začíná dnem prvního čerpání Úvěru (kromě případů, kdy v předchozím Období fixace byl Úvěr úročen pohyblivou sazbou) a </w:t>
            </w:r>
            <w:proofErr w:type="gramStart"/>
            <w:r>
              <w:t>končí</w:t>
            </w:r>
            <w:proofErr w:type="gramEnd"/>
            <w:r>
              <w:t xml:space="preserve"> poslední den Období fixace. Každé další Období fixace začíná první den po skončení předcházejícího Období fixace a </w:t>
            </w:r>
            <w:proofErr w:type="gramStart"/>
            <w:r>
              <w:t>končí</w:t>
            </w:r>
            <w:proofErr w:type="gramEnd"/>
            <w:r>
              <w:t xml:space="preserve"> poslední den tohoto Období fixace, resp. v den předcházející dni konečné splatnosti Úvěru (kromě případů, kdy v následném Období fixace bude Úvěr úročen pohyblivou sazbou). Pokud by první den dalšího Období fixace připadl na nepracovní den, prodlužuje se mimořádně trvání příslušného Období fixace do dne předcházejícího nejbližšímu následujícímu pracovnímu dni.</w:t>
            </w:r>
          </w:p>
        </w:tc>
      </w:tr>
    </w:tbl>
    <w:p w14:paraId="79FA8438"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3B"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39" w14:textId="77777777" w:rsidR="0074536F" w:rsidRDefault="00B343E0">
            <w:pPr>
              <w:jc w:val="start"/>
            </w:pPr>
            <w:r>
              <w:rPr>
                <w:b/>
                <w:bCs/>
              </w:rPr>
              <w:t xml:space="preserve">Období fixace (pro sazbu *IBOR, resp. CME Term SOFR Reference </w:t>
            </w:r>
            <w:proofErr w:type="spellStart"/>
            <w:r>
              <w:rPr>
                <w:b/>
                <w:bCs/>
              </w:rPr>
              <w:t>Rate</w:t>
            </w:r>
            <w:proofErr w:type="spellEnd"/>
            <w:r>
              <w:rPr>
                <w:b/>
                <w:bCs/>
              </w:rPr>
              <w:t xml:space="preserve"> a splatnost úroků mimo konec kalendářního měsíce / čtvrtletí / pololetí / roku)</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3A" w14:textId="77777777" w:rsidR="0074536F" w:rsidRDefault="00B343E0">
            <w:r>
              <w:t xml:space="preserve">období fixace úrokové sazby v délce stanovené v Článku „Úroky a poplatky“ Smlouvy. První Období fixace začíná dnem prvního čerpání peněžních prostředků z Úvěru (kromě případů, kdy v předchozím Období fixace byl Úvěr úročen pohyblivou sazbou) a </w:t>
            </w:r>
            <w:proofErr w:type="gramStart"/>
            <w:r>
              <w:t>končí</w:t>
            </w:r>
            <w:proofErr w:type="gramEnd"/>
            <w:r>
              <w:t xml:space="preserve"> v den předcházející příslušnému nejbližšímu (prvnímu až dvanáctému) dni splatnosti úroků dle délky Období fixace a frekvence splácení úroků, jak je definována v Článku „Úroky a poplatky“ Smlouvy. Každé další měsíční / čtvrtletní / pololetní / roční Období fixace, začíná první den po skončení předcházejícího Období fixace a </w:t>
            </w:r>
            <w:proofErr w:type="gramStart"/>
            <w:r>
              <w:t>končí</w:t>
            </w:r>
            <w:proofErr w:type="gramEnd"/>
            <w:r>
              <w:t xml:space="preserve"> v den předcházející příslušnému následujícímu (prvnímu až dvanáctému) dni splatnosti úroků dle délky Období fixace a frekvence splácení úroků, jak je definována v Článku „Úroky a poplatky“ Smlouvy. Poslední Období fixace </w:t>
            </w:r>
            <w:proofErr w:type="gramStart"/>
            <w:r>
              <w:t>končí</w:t>
            </w:r>
            <w:proofErr w:type="gramEnd"/>
            <w:r>
              <w:t xml:space="preserve"> v den předcházející dni konečné splatnosti Úvěru (kromě případů, kdy v následném Období fixace bude Úvěr úročen pohyblivou sazbou).</w:t>
            </w:r>
          </w:p>
        </w:tc>
      </w:tr>
    </w:tbl>
    <w:p w14:paraId="79FA843C"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3F"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3D" w14:textId="77777777" w:rsidR="0074536F" w:rsidRDefault="00B343E0">
            <w:pPr>
              <w:jc w:val="start"/>
            </w:pPr>
            <w:r>
              <w:rPr>
                <w:b/>
                <w:bCs/>
              </w:rPr>
              <w:t xml:space="preserve">Období fixace (pro sazbu *IBOR, resp. CME Term SOFR Reference </w:t>
            </w:r>
            <w:proofErr w:type="spellStart"/>
            <w:r>
              <w:rPr>
                <w:b/>
                <w:bCs/>
              </w:rPr>
              <w:t>Rate</w:t>
            </w:r>
            <w:proofErr w:type="spellEnd"/>
            <w:r>
              <w:rPr>
                <w:b/>
                <w:bCs/>
              </w:rPr>
              <w:t xml:space="preserve"> a splatnost úroků na konci měsíce / čtvrtletí / pololetí / roku)</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3E" w14:textId="77777777" w:rsidR="0074536F" w:rsidRDefault="00B343E0">
            <w:r>
              <w:t xml:space="preserve">období fixace úrokové sazby v délce stanovené v Článku „Úroky a poplatky“ Smlouvy. První Období fixace začíná dnem prvního čerpání peněžních prostředků z Úvěru (kromě případů, kdy v předchozím Období fixace byl Úvěr úročen pohyblivou sazbou) a </w:t>
            </w:r>
            <w:proofErr w:type="gramStart"/>
            <w:r>
              <w:t>končí</w:t>
            </w:r>
            <w:proofErr w:type="gramEnd"/>
            <w:r>
              <w:t xml:space="preserve"> v den předcházející poslednímu pracovnímu dni kalendářního měsíce / čtvrtletí / pololetí / roku (dle délky Období fixace). Každé další měsíční / čtvrtletní / pololetní / roční Období fixace začíná první den po skončení předcházejícího Období fixace a </w:t>
            </w:r>
            <w:proofErr w:type="gramStart"/>
            <w:r>
              <w:t>končí</w:t>
            </w:r>
            <w:proofErr w:type="gramEnd"/>
            <w:r>
              <w:t xml:space="preserve"> v den předcházející poslednímu pracovnímu dni následujícího kalendářního měsíce / čtvrtletí / pololetí / roku. Poslední Období fixace </w:t>
            </w:r>
            <w:proofErr w:type="gramStart"/>
            <w:r>
              <w:t>končí</w:t>
            </w:r>
            <w:proofErr w:type="gramEnd"/>
            <w:r>
              <w:t xml:space="preserve"> v den předcházející dni konečné splatnosti Úvěru (kromě případů, kdy v následném Období fixace bude Úvěr úročen pohyblivou sazbou).</w:t>
            </w:r>
          </w:p>
        </w:tc>
      </w:tr>
    </w:tbl>
    <w:p w14:paraId="79FA8440"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43"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41" w14:textId="77777777" w:rsidR="0074536F" w:rsidRDefault="00B343E0">
            <w:pPr>
              <w:jc w:val="start"/>
            </w:pPr>
            <w:r>
              <w:rPr>
                <w:b/>
                <w:bCs/>
              </w:rPr>
              <w:t>Přepočet čerpání</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42" w14:textId="77777777" w:rsidR="0074536F" w:rsidRDefault="00B343E0">
            <w:r>
              <w:t>výše čerpání v jiné měně než v měně, ve které je sjednán Úvěrový limit, se za účelem výpočtu aktuální výše čerpání Úvěru přepočítává na měnu Úvěrového limitu s použitím kurzu ČNB platného pro příslušný den čerpání Úvěru. Přepočítávána je vždy výše momentálně požadovaného čerpání Úvěru i výše dříve načerpaných a nesplacených čerpání Úvěrového limitu.</w:t>
            </w:r>
          </w:p>
        </w:tc>
      </w:tr>
    </w:tbl>
    <w:p w14:paraId="79FA8444"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47"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45" w14:textId="77777777" w:rsidR="0074536F" w:rsidRDefault="00B343E0">
            <w:pPr>
              <w:jc w:val="start"/>
            </w:pPr>
            <w:r>
              <w:rPr>
                <w:b/>
                <w:bCs/>
              </w:rPr>
              <w:t>Případ porušení</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46" w14:textId="77777777" w:rsidR="0074536F" w:rsidRDefault="00B343E0">
            <w:r>
              <w:t>každá skutečnost uvedená v Článku „Případy porušení“ Smlouvy.</w:t>
            </w:r>
          </w:p>
        </w:tc>
      </w:tr>
    </w:tbl>
    <w:p w14:paraId="79FA8448"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4B"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49" w14:textId="77777777" w:rsidR="0074536F" w:rsidRDefault="00B343E0">
            <w:pPr>
              <w:jc w:val="start"/>
            </w:pPr>
            <w:r>
              <w:rPr>
                <w:b/>
                <w:bCs/>
              </w:rPr>
              <w:t>SARON</w:t>
            </w:r>
            <w:r>
              <w:t xml:space="preserve"> (</w:t>
            </w:r>
            <w:proofErr w:type="spellStart"/>
            <w:r>
              <w:t>Swiss</w:t>
            </w:r>
            <w:proofErr w:type="spellEnd"/>
            <w:r>
              <w:t xml:space="preserve"> </w:t>
            </w:r>
            <w:proofErr w:type="spellStart"/>
            <w:r>
              <w:t>Average</w:t>
            </w:r>
            <w:proofErr w:type="spellEnd"/>
            <w:r>
              <w:t xml:space="preserve"> </w:t>
            </w:r>
            <w:proofErr w:type="spellStart"/>
            <w:r>
              <w:t>Rate</w:t>
            </w:r>
            <w:proofErr w:type="spellEnd"/>
            <w:r>
              <w:t xml:space="preserve"> </w:t>
            </w:r>
            <w:proofErr w:type="spellStart"/>
            <w:r>
              <w:t>Overnight</w:t>
            </w:r>
            <w:proofErr w:type="spellEnd"/>
            <w:r>
              <w:t>)</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4A" w14:textId="77777777" w:rsidR="0074536F" w:rsidRDefault="00B343E0">
            <w:proofErr w:type="gramStart"/>
            <w:r>
              <w:t>1-denní</w:t>
            </w:r>
            <w:proofErr w:type="gramEnd"/>
            <w:r>
              <w:t xml:space="preserve"> referenční (O/N = </w:t>
            </w:r>
            <w:proofErr w:type="spellStart"/>
            <w:r>
              <w:t>overnight</w:t>
            </w:r>
            <w:proofErr w:type="spellEnd"/>
            <w:r>
              <w:t>) úroková sazba peněžního trhu pro měnu CHF ve výši uvedené v informační síti REFINITIV (na příslušné obrazovce) v 18 hodin středoevropského času vždy tři pracovní dny přede dnem, kdy je vyčerpána jakákoli část Úvěrového limitu.</w:t>
            </w:r>
          </w:p>
        </w:tc>
      </w:tr>
    </w:tbl>
    <w:p w14:paraId="79FA844C"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4F"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4D" w14:textId="77777777" w:rsidR="0074536F" w:rsidRDefault="00B343E0">
            <w:pPr>
              <w:jc w:val="start"/>
            </w:pPr>
            <w:r>
              <w:rPr>
                <w:b/>
                <w:bCs/>
              </w:rPr>
              <w:lastRenderedPageBreak/>
              <w:t xml:space="preserve">SOFR </w:t>
            </w:r>
            <w:r>
              <w:t>(</w:t>
            </w:r>
            <w:proofErr w:type="spellStart"/>
            <w:r>
              <w:t>Secured</w:t>
            </w:r>
            <w:proofErr w:type="spellEnd"/>
            <w:r>
              <w:t xml:space="preserve"> </w:t>
            </w:r>
            <w:proofErr w:type="spellStart"/>
            <w:r>
              <w:t>Overnight</w:t>
            </w:r>
            <w:proofErr w:type="spellEnd"/>
            <w:r>
              <w:t xml:space="preserve"> </w:t>
            </w:r>
            <w:proofErr w:type="spellStart"/>
            <w:r>
              <w:t>Funding</w:t>
            </w:r>
            <w:proofErr w:type="spellEnd"/>
            <w:r>
              <w:t xml:space="preserve"> </w:t>
            </w:r>
            <w:proofErr w:type="spellStart"/>
            <w:r>
              <w:t>Rate</w:t>
            </w:r>
            <w:proofErr w:type="spellEnd"/>
            <w:r>
              <w:t>)</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4E" w14:textId="77777777" w:rsidR="0074536F" w:rsidRDefault="00B343E0">
            <w:proofErr w:type="gramStart"/>
            <w:r>
              <w:t>1-denní</w:t>
            </w:r>
            <w:proofErr w:type="gramEnd"/>
            <w:r>
              <w:t xml:space="preserve"> referenční (O/N = </w:t>
            </w:r>
            <w:proofErr w:type="spellStart"/>
            <w:r>
              <w:t>overnight</w:t>
            </w:r>
            <w:proofErr w:type="spellEnd"/>
            <w:r>
              <w:t>) úroková sazba peněžního trhu pro měnu USD ve výši uvedené v informační síti REFINITIV (na příslušné obrazovce) ve 13 hodin středoevropského času vždy jeden den přede dnem, kdy je vyčerpána jakákoli část Úvěrového limitu (pro nepracovní dny v České republice anebo na příslušném zahraničním trhu bude použita sazba vyhlášená pro nejbližší předcházející pracovní den).</w:t>
            </w:r>
          </w:p>
        </w:tc>
      </w:tr>
    </w:tbl>
    <w:p w14:paraId="79FA8450"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53"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51" w14:textId="77777777" w:rsidR="0074536F" w:rsidRDefault="00B343E0">
            <w:pPr>
              <w:jc w:val="start"/>
            </w:pPr>
            <w:r>
              <w:rPr>
                <w:b/>
                <w:bCs/>
              </w:rPr>
              <w:t xml:space="preserve">SONIA </w:t>
            </w:r>
            <w:r>
              <w:t xml:space="preserve">(Sterling </w:t>
            </w:r>
            <w:proofErr w:type="spellStart"/>
            <w:r>
              <w:t>Overnight</w:t>
            </w:r>
            <w:proofErr w:type="spellEnd"/>
            <w:r>
              <w:t xml:space="preserve"> Index </w:t>
            </w:r>
            <w:proofErr w:type="spellStart"/>
            <w:r>
              <w:t>Rate</w:t>
            </w:r>
            <w:proofErr w:type="spellEnd"/>
            <w:r>
              <w:t>)</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52" w14:textId="77777777" w:rsidR="0074536F" w:rsidRDefault="00B343E0">
            <w:proofErr w:type="gramStart"/>
            <w:r>
              <w:t>1-denní</w:t>
            </w:r>
            <w:proofErr w:type="gramEnd"/>
            <w:r>
              <w:t xml:space="preserve"> referenční (O/N = </w:t>
            </w:r>
            <w:proofErr w:type="spellStart"/>
            <w:r>
              <w:t>overnight</w:t>
            </w:r>
            <w:proofErr w:type="spellEnd"/>
            <w:r>
              <w:t>) úroková sazba peněžního trhu pro měnu GBP ve výši uvedené v informační síti REFINITIV (na příslušné obrazovce) ve 13 hodin středoevropského času vždy jeden den přede dnem, kdy je vyčerpána jakákoli část Úvěrového limitu (pro nepracovní dny v České republice anebo na příslušném zahraničním trhu bude použita sazba vyhlášená pro nejbližší předcházející pracovní den).</w:t>
            </w:r>
          </w:p>
        </w:tc>
      </w:tr>
    </w:tbl>
    <w:p w14:paraId="79FA8454"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57"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55" w14:textId="77777777" w:rsidR="0074536F" w:rsidRDefault="00B343E0">
            <w:pPr>
              <w:jc w:val="start"/>
            </w:pPr>
            <w:r>
              <w:rPr>
                <w:b/>
                <w:bCs/>
              </w:rPr>
              <w:t>TONAR</w:t>
            </w:r>
            <w:r>
              <w:t xml:space="preserve"> (</w:t>
            </w:r>
            <w:proofErr w:type="spellStart"/>
            <w:r>
              <w:t>Tokyo</w:t>
            </w:r>
            <w:proofErr w:type="spellEnd"/>
            <w:r>
              <w:t xml:space="preserve"> </w:t>
            </w:r>
            <w:proofErr w:type="spellStart"/>
            <w:r>
              <w:t>Overnight</w:t>
            </w:r>
            <w:proofErr w:type="spellEnd"/>
            <w:r>
              <w:t xml:space="preserve"> </w:t>
            </w:r>
            <w:proofErr w:type="spellStart"/>
            <w:r>
              <w:t>Average</w:t>
            </w:r>
            <w:proofErr w:type="spellEnd"/>
            <w:r>
              <w:t xml:space="preserve"> </w:t>
            </w:r>
            <w:proofErr w:type="spellStart"/>
            <w:r>
              <w:t>Rate</w:t>
            </w:r>
            <w:proofErr w:type="spellEnd"/>
            <w:r>
              <w:t>)</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56" w14:textId="77777777" w:rsidR="0074536F" w:rsidRDefault="00B343E0">
            <w:proofErr w:type="gramStart"/>
            <w:r>
              <w:t>1-denní</w:t>
            </w:r>
            <w:proofErr w:type="gramEnd"/>
            <w:r>
              <w:t xml:space="preserve"> referenční (O/N = </w:t>
            </w:r>
            <w:proofErr w:type="spellStart"/>
            <w:r>
              <w:t>overnight</w:t>
            </w:r>
            <w:proofErr w:type="spellEnd"/>
            <w:r>
              <w:t>) úroková sazba peněžního trhu pro měnu JPY ve výši uvedené v informační síti REFINITIV (na příslušné obrazovce) ve 13 hodin středoevropského času vždy jeden den přede dnem, kdy je vyčerpána jakákoli část Úvěrového limitu (pro nepracovní dny v České republice anebo na příslušném zahraničním trhu bude použita sazba vyhlášená pro nejbližší předcházející pracovní den).</w:t>
            </w:r>
          </w:p>
        </w:tc>
      </w:tr>
    </w:tbl>
    <w:p w14:paraId="79FA8458"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5B"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59" w14:textId="77777777" w:rsidR="0074536F" w:rsidRDefault="00B343E0">
            <w:pPr>
              <w:jc w:val="start"/>
            </w:pPr>
            <w:r>
              <w:rPr>
                <w:b/>
                <w:bCs/>
              </w:rPr>
              <w:t>Úroková sazba Banky</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5A" w14:textId="77777777" w:rsidR="0074536F" w:rsidRDefault="00B343E0">
            <w:r>
              <w:t>úroková sazba stanovená Bankou ke Dni fixace dle aktuální situace na finančních trzích s dlouhodobými finančními instrumenty.</w:t>
            </w:r>
          </w:p>
        </w:tc>
      </w:tr>
    </w:tbl>
    <w:p w14:paraId="79FA845C" w14:textId="77777777" w:rsidR="0074536F" w:rsidRDefault="0074536F">
      <w:pPr>
        <w:rPr>
          <w:vanish/>
        </w:rPr>
      </w:pPr>
    </w:p>
    <w:tbl>
      <w:tblPr>
        <w:tblStyle w:val="table"/>
        <w:tblW w:w="454.60pt" w:type="dxa"/>
        <w:tblCellSpacing w:w="-5pt" w:type="dxa"/>
        <w:tblInd w:w="-1pt" w:type="dxa"/>
        <w:tblCellMar>
          <w:top w:w="0.75pt" w:type="dxa"/>
          <w:start w:w="0.75pt" w:type="dxa"/>
          <w:bottom w:w="0.75pt" w:type="dxa"/>
          <w:end w:w="0.75pt" w:type="dxa"/>
        </w:tblCellMar>
        <w:tblLook w:firstRow="1" w:lastRow="1" w:firstColumn="1" w:lastColumn="1" w:noHBand="0" w:noVBand="1"/>
      </w:tblPr>
      <w:tblGrid>
        <w:gridCol w:w="1638"/>
        <w:gridCol w:w="7454"/>
      </w:tblGrid>
      <w:tr w:rsidR="0074536F" w14:paraId="79FA845F" w14:textId="77777777">
        <w:trPr>
          <w:cantSplit/>
          <w:tblCellSpacing w:w="-5pt" w:type="dxa"/>
        </w:trPr>
        <w:tc>
          <w:tcPr>
            <w:tcW w:w="20.0%" w:type="pct"/>
            <w:tcBorders>
              <w:top w:val="single" w:sz="6" w:space="0" w:color="000000"/>
              <w:start w:val="single" w:sz="6" w:space="0" w:color="000000"/>
              <w:bottom w:val="single" w:sz="6" w:space="0" w:color="000000"/>
              <w:end w:val="single" w:sz="6" w:space="0" w:color="000000"/>
            </w:tcBorders>
            <w:shd w:val="clear" w:color="auto" w:fill="D3D3D3"/>
            <w:tcMar>
              <w:top w:w="1.10pt" w:type="dxa"/>
              <w:start w:w="1.10pt" w:type="dxa"/>
              <w:bottom w:w="1.10pt" w:type="dxa"/>
              <w:end w:w="1.10pt" w:type="dxa"/>
            </w:tcMar>
            <w:hideMark/>
          </w:tcPr>
          <w:p w14:paraId="79FA845D" w14:textId="77777777" w:rsidR="0074536F" w:rsidRDefault="00B343E0">
            <w:pPr>
              <w:jc w:val="start"/>
            </w:pPr>
            <w:r>
              <w:rPr>
                <w:b/>
                <w:bCs/>
              </w:rPr>
              <w:t>Změna</w:t>
            </w:r>
          </w:p>
        </w:tc>
        <w:tc>
          <w:tcPr>
            <w:tcW w:w="80.0%" w:type="pct"/>
            <w:tcBorders>
              <w:top w:val="single" w:sz="6" w:space="0" w:color="000000"/>
              <w:bottom w:val="single" w:sz="6" w:space="0" w:color="000000"/>
              <w:end w:val="single" w:sz="6" w:space="0" w:color="000000"/>
            </w:tcBorders>
            <w:tcMar>
              <w:top w:w="1.10pt" w:type="dxa"/>
              <w:start w:w="0.75pt" w:type="dxa"/>
              <w:bottom w:w="1.10pt" w:type="dxa"/>
              <w:end w:w="1.10pt" w:type="dxa"/>
            </w:tcMar>
            <w:vAlign w:val="center"/>
            <w:hideMark/>
          </w:tcPr>
          <w:p w14:paraId="79FA845E" w14:textId="77777777" w:rsidR="0074536F" w:rsidRDefault="00B343E0">
            <w:r>
              <w:t>odštěpení některých organizačních částí Klienta, jakákoli přeměna Klienta, snížení a/nebo zvýšení základního kapitálu Klienta, převod závodu Klienta či jeho části, změna druhu podílů v Klientovi, změna druhů kmenových listů a/nebo akcií vydaných Klientem, změna předmětu činnosti Klienta, ukončení podnikatelské činnosti Klienta či její podstatné části, ztráta oprávnění k podnikatelské činnosti Klienta.</w:t>
            </w:r>
          </w:p>
        </w:tc>
      </w:tr>
    </w:tbl>
    <w:p w14:paraId="79FA8460" w14:textId="77777777" w:rsidR="0074536F" w:rsidRDefault="0074536F">
      <w:pPr>
        <w:sectPr w:rsidR="0074536F">
          <w:headerReference w:type="default" r:id="rId14"/>
          <w:footerReference w:type="default" r:id="rId15"/>
          <w:headerReference w:type="first" r:id="rId16"/>
          <w:footerReference w:type="first" r:id="rId17"/>
          <w:pgSz w:w="595.30pt" w:h="841.90pt"/>
          <w:pgMar w:top="70.85pt" w:right="70.85pt" w:bottom="70.85pt" w:left="70.85pt" w:header="35.40pt" w:footer="35.40pt" w:gutter="0pt"/>
          <w:pgNumType w:start="1"/>
          <w:cols w:space="35.40pt"/>
          <w:titlePg/>
        </w:sectPr>
      </w:pPr>
    </w:p>
    <w:p w14:paraId="79FA8461" w14:textId="77777777" w:rsidR="0074536F" w:rsidRDefault="00B343E0">
      <w:pPr>
        <w:jc w:val="center"/>
      </w:pPr>
      <w:r>
        <w:rPr>
          <w:b/>
          <w:bCs/>
          <w:u w:val="single" w:color="000000"/>
        </w:rPr>
        <w:lastRenderedPageBreak/>
        <w:t>Dokumenty a dodatečné informace</w:t>
      </w:r>
    </w:p>
    <w:p w14:paraId="79FA8462" w14:textId="77777777" w:rsidR="0074536F" w:rsidRDefault="00B343E0">
      <w:pPr>
        <w:jc w:val="center"/>
      </w:pPr>
      <w:r>
        <w:t> </w:t>
      </w:r>
    </w:p>
    <w:p w14:paraId="79FA8463" w14:textId="77777777" w:rsidR="0074536F" w:rsidRDefault="00B343E0">
      <w:pPr>
        <w:numPr>
          <w:ilvl w:val="0"/>
          <w:numId w:val="10"/>
        </w:numPr>
        <w:ind w:start="28.30pt" w:hanging="28.30pt"/>
      </w:pPr>
      <w:r>
        <w:t>Dokumenty</w:t>
      </w:r>
    </w:p>
    <w:p w14:paraId="79FA8464" w14:textId="77777777" w:rsidR="0074536F" w:rsidRDefault="00B343E0">
      <w:pPr>
        <w:numPr>
          <w:ilvl w:val="1"/>
          <w:numId w:val="10"/>
        </w:numPr>
        <w:ind w:start="56.60pt" w:hanging="28.30pt"/>
      </w:pPr>
      <w:r>
        <w:t xml:space="preserve">roční účetní závěrka včetně příloh ověřená auditorem, a to vždy do </w:t>
      </w:r>
      <w:r>
        <w:rPr>
          <w:rStyle w:val="cg3-block-content-condition"/>
        </w:rPr>
        <w:t>6 měsíců po skončení kalendářního roku</w:t>
      </w:r>
      <w:r>
        <w:t>;</w:t>
      </w:r>
    </w:p>
    <w:p w14:paraId="79FA8465" w14:textId="77777777" w:rsidR="0074536F" w:rsidRDefault="00B343E0">
      <w:pPr>
        <w:numPr>
          <w:ilvl w:val="1"/>
          <w:numId w:val="10"/>
        </w:numPr>
        <w:ind w:start="56.60pt" w:hanging="28.30pt"/>
      </w:pPr>
      <w:r>
        <w:t>předběžné roční výkazy (rozvaha a výkaz zisku a ztráty v plném rozsahu) do 3 měsíců po skončení kalendářního roku.</w:t>
      </w:r>
    </w:p>
    <w:p w14:paraId="79FA8466" w14:textId="77777777" w:rsidR="0074536F" w:rsidRDefault="00B343E0">
      <w:pPr>
        <w:ind w:start="28.30pt"/>
      </w:pPr>
      <w:r>
        <w:rPr>
          <w:color w:val="FFFFFF"/>
        </w:rPr>
        <w:t>.</w:t>
      </w:r>
    </w:p>
    <w:p w14:paraId="79FA8467" w14:textId="77777777" w:rsidR="0074536F" w:rsidRDefault="00B343E0">
      <w:pPr>
        <w:numPr>
          <w:ilvl w:val="0"/>
          <w:numId w:val="10"/>
        </w:numPr>
        <w:ind w:start="28.30pt" w:hanging="28.30pt"/>
      </w:pPr>
      <w:r>
        <w:t>Dluhy po splatnosti vůči věřitelům a státu</w:t>
      </w: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3431"/>
        <w:gridCol w:w="3530"/>
        <w:gridCol w:w="1565"/>
      </w:tblGrid>
      <w:tr w:rsidR="0074536F" w14:paraId="79FA846D" w14:textId="77777777">
        <w:trPr>
          <w:cantSplit/>
          <w:tblCellSpacing w:w="-5pt" w:type="dxa"/>
        </w:trPr>
        <w:tc>
          <w:tcPr>
            <w:tcW w:w="4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68" w14:textId="77777777" w:rsidR="0074536F" w:rsidRDefault="00B343E0">
            <w:pPr>
              <w:jc w:val="center"/>
            </w:pPr>
            <w:r>
              <w:rPr>
                <w:b/>
                <w:bCs/>
              </w:rPr>
              <w:t>Vyplývá z ..., např. kupní smlouva</w:t>
            </w:r>
          </w:p>
        </w:tc>
        <w:tc>
          <w:tcPr>
            <w:tcW w:w="4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69" w14:textId="77777777" w:rsidR="0074536F" w:rsidRDefault="00B343E0">
            <w:pPr>
              <w:jc w:val="center"/>
            </w:pPr>
            <w:r>
              <w:rPr>
                <w:b/>
                <w:bCs/>
              </w:rPr>
              <w:t>Věřitel</w:t>
            </w:r>
          </w:p>
          <w:p w14:paraId="79FA846A" w14:textId="77777777" w:rsidR="0074536F" w:rsidRDefault="00B343E0">
            <w:pPr>
              <w:jc w:val="center"/>
            </w:pPr>
            <w:r>
              <w:rPr>
                <w:b/>
                <w:bCs/>
              </w:rPr>
              <w:t>IČO/Rodné číslo</w:t>
            </w:r>
          </w:p>
          <w:p w14:paraId="79FA846B" w14:textId="77777777" w:rsidR="0074536F" w:rsidRDefault="00B343E0">
            <w:pPr>
              <w:jc w:val="center"/>
            </w:pPr>
            <w:r>
              <w:rPr>
                <w:b/>
                <w:bCs/>
              </w:rPr>
              <w:t>Obchodní firma/jméno</w:t>
            </w:r>
          </w:p>
        </w:tc>
        <w:tc>
          <w:tcPr>
            <w:tcW w:w="2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6C" w14:textId="77777777" w:rsidR="0074536F" w:rsidRDefault="00B343E0">
            <w:pPr>
              <w:jc w:val="center"/>
            </w:pPr>
            <w:r>
              <w:rPr>
                <w:b/>
                <w:bCs/>
              </w:rPr>
              <w:t>Částka dluhu</w:t>
            </w:r>
          </w:p>
        </w:tc>
      </w:tr>
    </w:tbl>
    <w:p w14:paraId="79FA846E" w14:textId="77777777" w:rsidR="0074536F" w:rsidRDefault="0074536F">
      <w:pPr>
        <w:rPr>
          <w:vanish/>
        </w:rPr>
      </w:pP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3431"/>
        <w:gridCol w:w="3530"/>
        <w:gridCol w:w="1565"/>
      </w:tblGrid>
      <w:tr w:rsidR="0074536F" w14:paraId="79FA8472" w14:textId="77777777">
        <w:trPr>
          <w:cantSplit/>
          <w:trHeight w:val="240"/>
          <w:tblCellSpacing w:w="-5pt" w:type="dxa"/>
        </w:trPr>
        <w:tc>
          <w:tcPr>
            <w:tcW w:w="40.0%" w:type="pct"/>
            <w:tcBorders>
              <w:start w:val="inset" w:sz="6" w:space="0" w:color="000000"/>
              <w:bottom w:val="inset" w:sz="6" w:space="0" w:color="000000"/>
              <w:end w:val="inset" w:sz="6" w:space="0" w:color="000000"/>
            </w:tcBorders>
            <w:tcMar>
              <w:top w:w="0.75pt" w:type="dxa"/>
              <w:start w:w="1.10pt" w:type="dxa"/>
              <w:bottom w:w="1.10pt" w:type="dxa"/>
              <w:end w:w="1.10pt" w:type="dxa"/>
            </w:tcMar>
            <w:vAlign w:val="center"/>
            <w:hideMark/>
          </w:tcPr>
          <w:p w14:paraId="79FA846F" w14:textId="7C7C63B9" w:rsidR="0074536F" w:rsidRDefault="00B343E0">
            <w:pPr>
              <w:jc w:val="start"/>
            </w:pPr>
            <w:proofErr w:type="spellStart"/>
            <w:r>
              <w:t>xxxxx</w:t>
            </w:r>
            <w:proofErr w:type="spellEnd"/>
          </w:p>
        </w:tc>
        <w:tc>
          <w:tcPr>
            <w:tcW w:w="40.0%" w:type="pct"/>
            <w:tcBorders>
              <w:start w:val="inset" w:sz="6" w:space="0" w:color="000000"/>
              <w:bottom w:val="inset" w:sz="6" w:space="0" w:color="000000"/>
              <w:end w:val="inset" w:sz="6" w:space="0" w:color="000000"/>
            </w:tcBorders>
            <w:tcMar>
              <w:top w:w="0.75pt" w:type="dxa"/>
              <w:start w:w="1.10pt" w:type="dxa"/>
              <w:bottom w:w="1.10pt" w:type="dxa"/>
              <w:end w:w="1.10pt" w:type="dxa"/>
            </w:tcMar>
            <w:vAlign w:val="center"/>
            <w:hideMark/>
          </w:tcPr>
          <w:p w14:paraId="79FA8470" w14:textId="77777777" w:rsidR="0074536F" w:rsidRDefault="0074536F">
            <w:pPr>
              <w:jc w:val="start"/>
            </w:pPr>
          </w:p>
        </w:tc>
        <w:tc>
          <w:tcPr>
            <w:tcW w:w="20.0%" w:type="pct"/>
            <w:tcBorders>
              <w:start w:val="inset" w:sz="6" w:space="0" w:color="000000"/>
              <w:bottom w:val="inset" w:sz="6" w:space="0" w:color="000000"/>
              <w:end w:val="inset" w:sz="6" w:space="0" w:color="000000"/>
            </w:tcBorders>
            <w:tcMar>
              <w:top w:w="0.75pt" w:type="dxa"/>
              <w:start w:w="1.10pt" w:type="dxa"/>
              <w:bottom w:w="1.10pt" w:type="dxa"/>
              <w:end w:w="1.10pt" w:type="dxa"/>
            </w:tcMar>
            <w:vAlign w:val="center"/>
            <w:hideMark/>
          </w:tcPr>
          <w:p w14:paraId="79FA8471" w14:textId="77777777" w:rsidR="0074536F" w:rsidRDefault="0074536F">
            <w:pPr>
              <w:jc w:val="start"/>
            </w:pPr>
          </w:p>
        </w:tc>
      </w:tr>
    </w:tbl>
    <w:p w14:paraId="79FA8473" w14:textId="77777777" w:rsidR="0074536F" w:rsidRDefault="00B343E0">
      <w:pPr>
        <w:ind w:start="28.30pt"/>
      </w:pPr>
      <w:r>
        <w:t> </w:t>
      </w:r>
    </w:p>
    <w:p w14:paraId="79FA8474" w14:textId="77777777" w:rsidR="0074536F" w:rsidRDefault="00B343E0">
      <w:pPr>
        <w:numPr>
          <w:ilvl w:val="0"/>
          <w:numId w:val="10"/>
        </w:numPr>
        <w:ind w:start="28.30pt" w:hanging="28.30pt"/>
      </w:pPr>
      <w:r>
        <w:t>Soudní spory</w:t>
      </w: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3431"/>
        <w:gridCol w:w="3530"/>
        <w:gridCol w:w="1565"/>
      </w:tblGrid>
      <w:tr w:rsidR="0074536F" w14:paraId="79FA847A" w14:textId="77777777">
        <w:trPr>
          <w:cantSplit/>
          <w:tblCellSpacing w:w="-5pt" w:type="dxa"/>
        </w:trPr>
        <w:tc>
          <w:tcPr>
            <w:tcW w:w="4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75" w14:textId="77777777" w:rsidR="0074536F" w:rsidRDefault="00B343E0">
            <w:pPr>
              <w:jc w:val="center"/>
            </w:pPr>
            <w:r>
              <w:rPr>
                <w:b/>
                <w:bCs/>
              </w:rPr>
              <w:t>Předmět sporu</w:t>
            </w:r>
          </w:p>
        </w:tc>
        <w:tc>
          <w:tcPr>
            <w:tcW w:w="4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76" w14:textId="77777777" w:rsidR="0074536F" w:rsidRDefault="00B343E0">
            <w:pPr>
              <w:jc w:val="center"/>
            </w:pPr>
            <w:r>
              <w:rPr>
                <w:b/>
                <w:bCs/>
              </w:rPr>
              <w:t>Protistrana</w:t>
            </w:r>
          </w:p>
          <w:p w14:paraId="79FA8477" w14:textId="77777777" w:rsidR="0074536F" w:rsidRDefault="00B343E0">
            <w:pPr>
              <w:jc w:val="center"/>
            </w:pPr>
            <w:r>
              <w:rPr>
                <w:b/>
                <w:bCs/>
              </w:rPr>
              <w:t>IČO/Rodné číslo</w:t>
            </w:r>
          </w:p>
          <w:p w14:paraId="79FA8478" w14:textId="77777777" w:rsidR="0074536F" w:rsidRDefault="00B343E0">
            <w:pPr>
              <w:jc w:val="center"/>
            </w:pPr>
            <w:r>
              <w:rPr>
                <w:b/>
                <w:bCs/>
              </w:rPr>
              <w:t>Obchodní firma/jméno</w:t>
            </w:r>
          </w:p>
        </w:tc>
        <w:tc>
          <w:tcPr>
            <w:tcW w:w="2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79" w14:textId="77777777" w:rsidR="0074536F" w:rsidRDefault="00B343E0">
            <w:pPr>
              <w:jc w:val="center"/>
            </w:pPr>
            <w:r>
              <w:rPr>
                <w:b/>
                <w:bCs/>
              </w:rPr>
              <w:t>Sporná částka</w:t>
            </w:r>
          </w:p>
        </w:tc>
      </w:tr>
    </w:tbl>
    <w:p w14:paraId="79FA847B" w14:textId="77777777" w:rsidR="0074536F" w:rsidRDefault="0074536F">
      <w:pPr>
        <w:rPr>
          <w:vanish/>
        </w:rPr>
      </w:pP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3431"/>
        <w:gridCol w:w="3530"/>
        <w:gridCol w:w="1565"/>
      </w:tblGrid>
      <w:tr w:rsidR="0074536F" w14:paraId="79FA847F" w14:textId="77777777">
        <w:trPr>
          <w:cantSplit/>
          <w:trHeight w:val="315"/>
          <w:tblCellSpacing w:w="-5pt" w:type="dxa"/>
        </w:trPr>
        <w:tc>
          <w:tcPr>
            <w:tcW w:w="40.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7C" w14:textId="1C6FF9C2" w:rsidR="0074536F" w:rsidRDefault="00B343E0">
            <w:pPr>
              <w:jc w:val="start"/>
            </w:pPr>
            <w:proofErr w:type="spellStart"/>
            <w:r>
              <w:t>xxxxx</w:t>
            </w:r>
            <w:proofErr w:type="spellEnd"/>
          </w:p>
        </w:tc>
        <w:tc>
          <w:tcPr>
            <w:tcW w:w="40.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7D" w14:textId="77777777" w:rsidR="0074536F" w:rsidRDefault="0074536F">
            <w:pPr>
              <w:jc w:val="start"/>
            </w:pPr>
          </w:p>
        </w:tc>
        <w:tc>
          <w:tcPr>
            <w:tcW w:w="20.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7E" w14:textId="77777777" w:rsidR="0074536F" w:rsidRDefault="0074536F">
            <w:pPr>
              <w:jc w:val="start"/>
            </w:pPr>
          </w:p>
        </w:tc>
      </w:tr>
    </w:tbl>
    <w:p w14:paraId="79FA8480" w14:textId="77777777" w:rsidR="0074536F" w:rsidRDefault="00B343E0">
      <w:pPr>
        <w:ind w:start="28.30pt"/>
        <w:jc w:val="start"/>
      </w:pPr>
      <w:r>
        <w:t> </w:t>
      </w:r>
    </w:p>
    <w:p w14:paraId="79FA8481" w14:textId="77777777" w:rsidR="0074536F" w:rsidRDefault="00B343E0">
      <w:pPr>
        <w:numPr>
          <w:ilvl w:val="0"/>
          <w:numId w:val="10"/>
        </w:numPr>
        <w:ind w:start="28.30pt" w:hanging="28.30pt"/>
      </w:pPr>
      <w:r>
        <w:t>Koncern</w:t>
      </w: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4177"/>
        <w:gridCol w:w="2467"/>
        <w:gridCol w:w="753"/>
        <w:gridCol w:w="1129"/>
      </w:tblGrid>
      <w:tr w:rsidR="0074536F" w14:paraId="79FA8486" w14:textId="77777777">
        <w:trPr>
          <w:cantSplit/>
          <w:trHeight w:val="260"/>
          <w:tblCellSpacing w:w="-5pt" w:type="dxa"/>
        </w:trPr>
        <w:tc>
          <w:tcPr>
            <w:tcW w:w="47.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82" w14:textId="77777777" w:rsidR="0074536F" w:rsidRDefault="00B343E0">
            <w:pPr>
              <w:jc w:val="center"/>
            </w:pPr>
            <w:r>
              <w:rPr>
                <w:b/>
                <w:bCs/>
              </w:rPr>
              <w:t>Název/Obchodní firma/Jméno</w:t>
            </w:r>
          </w:p>
        </w:tc>
        <w:tc>
          <w:tcPr>
            <w:tcW w:w="28.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83" w14:textId="77777777" w:rsidR="0074536F" w:rsidRDefault="00B343E0">
            <w:pPr>
              <w:jc w:val="center"/>
            </w:pPr>
            <w:r>
              <w:rPr>
                <w:b/>
                <w:bCs/>
              </w:rPr>
              <w:t>IČO/Rodné číslo</w:t>
            </w:r>
          </w:p>
        </w:tc>
        <w:tc>
          <w:tcPr>
            <w:tcW w:w="10.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84" w14:textId="77777777" w:rsidR="0074536F" w:rsidRDefault="00B343E0">
            <w:pPr>
              <w:jc w:val="center"/>
            </w:pPr>
            <w:r>
              <w:rPr>
                <w:b/>
                <w:bCs/>
              </w:rPr>
              <w:t>Řízený/ Řídící</w:t>
            </w:r>
          </w:p>
        </w:tc>
        <w:tc>
          <w:tcPr>
            <w:tcW w:w="15.0%" w:type="pct"/>
            <w:tcBorders>
              <w:top w:val="inset" w:sz="6" w:space="0" w:color="000000"/>
              <w:start w:val="inset" w:sz="6" w:space="0" w:color="000000"/>
              <w:bottom w:val="inset" w:sz="6" w:space="0" w:color="000000"/>
              <w:end w:val="inset" w:sz="6" w:space="0" w:color="000000"/>
            </w:tcBorders>
            <w:shd w:val="clear" w:color="auto" w:fill="D3D3D3"/>
            <w:tcMar>
              <w:top w:w="1.10pt" w:type="dxa"/>
              <w:start w:w="1.10pt" w:type="dxa"/>
              <w:bottom w:w="1.10pt" w:type="dxa"/>
              <w:end w:w="1.10pt" w:type="dxa"/>
            </w:tcMar>
            <w:vAlign w:val="center"/>
            <w:hideMark/>
          </w:tcPr>
          <w:p w14:paraId="79FA8485" w14:textId="77777777" w:rsidR="0074536F" w:rsidRDefault="00B343E0">
            <w:pPr>
              <w:jc w:val="center"/>
            </w:pPr>
            <w:r>
              <w:rPr>
                <w:b/>
                <w:bCs/>
              </w:rPr>
              <w:t>Existence koncernu uveřejněna</w:t>
            </w:r>
          </w:p>
        </w:tc>
      </w:tr>
    </w:tbl>
    <w:p w14:paraId="79FA8487" w14:textId="77777777" w:rsidR="0074536F" w:rsidRDefault="0074536F">
      <w:pPr>
        <w:rPr>
          <w:vanish/>
        </w:rPr>
      </w:pPr>
    </w:p>
    <w:tbl>
      <w:tblPr>
        <w:tblStyle w:val="table"/>
        <w:tblW w:w="426.30pt" w:type="dxa"/>
        <w:tblCellSpacing w:w="-5pt" w:type="dxa"/>
        <w:tblInd w:w="27.30pt" w:type="dxa"/>
        <w:tblCellMar>
          <w:top w:w="0.75pt" w:type="dxa"/>
          <w:start w:w="0.75pt" w:type="dxa"/>
          <w:bottom w:w="0.75pt" w:type="dxa"/>
          <w:end w:w="0.75pt" w:type="dxa"/>
        </w:tblCellMar>
        <w:tblLook w:firstRow="1" w:lastRow="1" w:firstColumn="1" w:lastColumn="1" w:noHBand="0" w:noVBand="1"/>
      </w:tblPr>
      <w:tblGrid>
        <w:gridCol w:w="4177"/>
        <w:gridCol w:w="2467"/>
        <w:gridCol w:w="753"/>
        <w:gridCol w:w="1129"/>
      </w:tblGrid>
      <w:tr w:rsidR="0074536F" w14:paraId="79FA848C" w14:textId="77777777">
        <w:trPr>
          <w:cantSplit/>
          <w:trHeight w:val="240"/>
          <w:tblCellSpacing w:w="-5pt" w:type="dxa"/>
        </w:trPr>
        <w:tc>
          <w:tcPr>
            <w:tcW w:w="47.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88" w14:textId="09BA4361" w:rsidR="0074536F" w:rsidRDefault="00B343E0">
            <w:pPr>
              <w:jc w:val="start"/>
            </w:pPr>
            <w:proofErr w:type="spellStart"/>
            <w:r>
              <w:t>xxxxx</w:t>
            </w:r>
            <w:proofErr w:type="spellEnd"/>
          </w:p>
        </w:tc>
        <w:tc>
          <w:tcPr>
            <w:tcW w:w="28.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89" w14:textId="77777777" w:rsidR="0074536F" w:rsidRDefault="0074536F">
            <w:pPr>
              <w:jc w:val="start"/>
            </w:pPr>
          </w:p>
        </w:tc>
        <w:tc>
          <w:tcPr>
            <w:tcW w:w="10.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8A" w14:textId="77777777" w:rsidR="0074536F" w:rsidRDefault="0074536F">
            <w:pPr>
              <w:jc w:val="start"/>
            </w:pPr>
          </w:p>
        </w:tc>
        <w:tc>
          <w:tcPr>
            <w:tcW w:w="15.0%" w:type="pct"/>
            <w:tcBorders>
              <w:start w:val="inset" w:sz="6" w:space="0" w:color="000000"/>
              <w:bottom w:val="inset" w:sz="6" w:space="0" w:color="000000"/>
              <w:end w:val="inset" w:sz="6" w:space="0" w:color="000000"/>
            </w:tcBorders>
            <w:tcMar>
              <w:top w:w="0.75pt" w:type="dxa"/>
              <w:start w:w="1.10pt" w:type="dxa"/>
              <w:bottom w:w="1.10pt" w:type="dxa"/>
              <w:end w:w="1.10pt" w:type="dxa"/>
            </w:tcMar>
            <w:hideMark/>
          </w:tcPr>
          <w:p w14:paraId="79FA848B" w14:textId="77777777" w:rsidR="0074536F" w:rsidRDefault="0074536F">
            <w:pPr>
              <w:jc w:val="start"/>
            </w:pPr>
          </w:p>
        </w:tc>
      </w:tr>
    </w:tbl>
    <w:p w14:paraId="79FA848D" w14:textId="77777777" w:rsidR="0074536F" w:rsidRDefault="00B343E0">
      <w:pPr>
        <w:ind w:start="28.30pt"/>
        <w:jc w:val="start"/>
      </w:pPr>
      <w:r>
        <w:t> </w:t>
      </w:r>
    </w:p>
    <w:p w14:paraId="79FA848E" w14:textId="77777777" w:rsidR="0074536F" w:rsidRDefault="00B343E0">
      <w:r>
        <w:t> </w:t>
      </w:r>
    </w:p>
    <w:tbl>
      <w:tblPr>
        <w:tblStyle w:val="table"/>
        <w:tblW w:w="455.10pt" w:type="dxa"/>
        <w:tblCellSpacing w:w="-5pt" w:type="dxa"/>
        <w:tblInd w:w="0.50pt" w:type="dxa"/>
        <w:tblCellMar>
          <w:top w:w="0.75pt" w:type="dxa"/>
          <w:start w:w="0.75pt" w:type="dxa"/>
          <w:bottom w:w="0.75pt" w:type="dxa"/>
          <w:end w:w="0.75pt" w:type="dxa"/>
        </w:tblCellMar>
        <w:tblLook w:firstRow="1" w:lastRow="1" w:firstColumn="1" w:lastColumn="1" w:noHBand="0" w:noVBand="1"/>
      </w:tblPr>
      <w:tblGrid>
        <w:gridCol w:w="1761"/>
        <w:gridCol w:w="1861"/>
        <w:gridCol w:w="1860"/>
        <w:gridCol w:w="1860"/>
        <w:gridCol w:w="1760"/>
      </w:tblGrid>
      <w:tr w:rsidR="0074536F" w14:paraId="79FA8496" w14:textId="77777777">
        <w:trPr>
          <w:cantSplit/>
          <w:trHeight w:val="1650"/>
          <w:tblCellSpacing w:w="-5pt" w:type="dxa"/>
        </w:trPr>
        <w:tc>
          <w:tcPr>
            <w:tcW w:w="20.0%" w:type="pct"/>
            <w:tcMar>
              <w:top w:w="1pt" w:type="dxa"/>
              <w:start w:w="1pt" w:type="dxa"/>
              <w:bottom w:w="1pt" w:type="dxa"/>
              <w:end w:w="1pt" w:type="dxa"/>
            </w:tcMar>
            <w:vAlign w:val="center"/>
            <w:hideMark/>
          </w:tcPr>
          <w:p w14:paraId="79FA848F" w14:textId="77777777" w:rsidR="0074536F" w:rsidRDefault="00B343E0">
            <w:r>
              <w:rPr>
                <w:color w:val="FFFFFF"/>
              </w:rPr>
              <w:t>*K*</w:t>
            </w:r>
          </w:p>
          <w:p w14:paraId="79FA8490" w14:textId="77777777" w:rsidR="0074536F" w:rsidRDefault="00B343E0">
            <w:r>
              <w:t> </w:t>
            </w:r>
          </w:p>
          <w:p w14:paraId="79FA8491" w14:textId="77777777" w:rsidR="0074536F" w:rsidRDefault="00B343E0">
            <w:r>
              <w:t> </w:t>
            </w:r>
          </w:p>
        </w:tc>
        <w:tc>
          <w:tcPr>
            <w:tcW w:w="20.0%" w:type="pct"/>
            <w:tcMar>
              <w:top w:w="1pt" w:type="dxa"/>
              <w:start w:w="1pt" w:type="dxa"/>
              <w:bottom w:w="1pt" w:type="dxa"/>
              <w:end w:w="1pt" w:type="dxa"/>
            </w:tcMar>
            <w:vAlign w:val="center"/>
            <w:hideMark/>
          </w:tcPr>
          <w:p w14:paraId="79FA8492" w14:textId="77777777" w:rsidR="0074536F" w:rsidRDefault="00B343E0">
            <w:r>
              <w:t> </w:t>
            </w:r>
          </w:p>
        </w:tc>
        <w:tc>
          <w:tcPr>
            <w:tcW w:w="20.0%" w:type="pct"/>
            <w:tcMar>
              <w:top w:w="1pt" w:type="dxa"/>
              <w:start w:w="1pt" w:type="dxa"/>
              <w:bottom w:w="1pt" w:type="dxa"/>
              <w:end w:w="1pt" w:type="dxa"/>
            </w:tcMar>
            <w:vAlign w:val="center"/>
            <w:hideMark/>
          </w:tcPr>
          <w:p w14:paraId="79FA8493" w14:textId="77777777" w:rsidR="0074536F" w:rsidRDefault="00B343E0">
            <w:r>
              <w:t> </w:t>
            </w:r>
          </w:p>
        </w:tc>
        <w:tc>
          <w:tcPr>
            <w:tcW w:w="20.0%" w:type="pct"/>
            <w:tcMar>
              <w:top w:w="1pt" w:type="dxa"/>
              <w:start w:w="1pt" w:type="dxa"/>
              <w:bottom w:w="1pt" w:type="dxa"/>
              <w:end w:w="1pt" w:type="dxa"/>
            </w:tcMar>
            <w:vAlign w:val="center"/>
            <w:hideMark/>
          </w:tcPr>
          <w:p w14:paraId="79FA8494" w14:textId="77777777" w:rsidR="0074536F" w:rsidRDefault="00B343E0">
            <w:r>
              <w:t> </w:t>
            </w:r>
          </w:p>
        </w:tc>
        <w:tc>
          <w:tcPr>
            <w:tcW w:w="20.0%" w:type="pct"/>
            <w:tcMar>
              <w:top w:w="1pt" w:type="dxa"/>
              <w:start w:w="1pt" w:type="dxa"/>
              <w:bottom w:w="1pt" w:type="dxa"/>
              <w:end w:w="1pt" w:type="dxa"/>
            </w:tcMar>
            <w:vAlign w:val="center"/>
            <w:hideMark/>
          </w:tcPr>
          <w:p w14:paraId="79FA8495" w14:textId="77777777" w:rsidR="0074536F" w:rsidRDefault="00B343E0">
            <w:r>
              <w:t> </w:t>
            </w:r>
          </w:p>
        </w:tc>
      </w:tr>
      <w:tr w:rsidR="0074536F" w14:paraId="79FA84A1" w14:textId="77777777">
        <w:trPr>
          <w:cantSplit/>
          <w:trHeight w:val="3105"/>
          <w:tblCellSpacing w:w="-5pt" w:type="dxa"/>
        </w:trPr>
        <w:tc>
          <w:tcPr>
            <w:tcW w:w="20.0%" w:type="pct"/>
            <w:tcMar>
              <w:top w:w="1pt" w:type="dxa"/>
              <w:start w:w="1pt" w:type="dxa"/>
              <w:bottom w:w="1pt" w:type="dxa"/>
              <w:end w:w="1pt" w:type="dxa"/>
            </w:tcMar>
            <w:vAlign w:val="center"/>
            <w:hideMark/>
          </w:tcPr>
          <w:p w14:paraId="79FA8497" w14:textId="77777777" w:rsidR="0074536F" w:rsidRDefault="00B343E0">
            <w:r>
              <w:t> </w:t>
            </w:r>
          </w:p>
        </w:tc>
        <w:tc>
          <w:tcPr>
            <w:tcW w:w="20.0%" w:type="pct"/>
            <w:tcMar>
              <w:top w:w="1pt" w:type="dxa"/>
              <w:start w:w="1pt" w:type="dxa"/>
              <w:bottom w:w="1pt" w:type="dxa"/>
              <w:end w:w="1pt" w:type="dxa"/>
            </w:tcMar>
            <w:vAlign w:val="center"/>
            <w:hideMark/>
          </w:tcPr>
          <w:p w14:paraId="79FA8498" w14:textId="77777777" w:rsidR="0074536F" w:rsidRDefault="00B343E0">
            <w:r>
              <w:rPr>
                <w:color w:val="FFFFFF"/>
              </w:rPr>
              <w:t>CLN_1</w:t>
            </w:r>
          </w:p>
          <w:p w14:paraId="79FA8499" w14:textId="77777777" w:rsidR="0074536F" w:rsidRDefault="00B343E0">
            <w:r>
              <w:t> </w:t>
            </w:r>
          </w:p>
          <w:p w14:paraId="79FA849A" w14:textId="77777777" w:rsidR="0074536F" w:rsidRDefault="00B343E0">
            <w:r>
              <w:t> </w:t>
            </w:r>
          </w:p>
          <w:p w14:paraId="79FA849B" w14:textId="77777777" w:rsidR="0074536F" w:rsidRDefault="00B343E0">
            <w:r>
              <w:t> </w:t>
            </w:r>
          </w:p>
          <w:p w14:paraId="79FA849C" w14:textId="77777777" w:rsidR="0074536F" w:rsidRDefault="00B343E0">
            <w:r>
              <w:t> </w:t>
            </w:r>
          </w:p>
          <w:p w14:paraId="79FA849D" w14:textId="77777777" w:rsidR="0074536F" w:rsidRDefault="00B343E0">
            <w:r>
              <w:t> </w:t>
            </w:r>
          </w:p>
        </w:tc>
        <w:tc>
          <w:tcPr>
            <w:tcW w:w="20.0%" w:type="pct"/>
            <w:tcMar>
              <w:top w:w="1pt" w:type="dxa"/>
              <w:start w:w="1pt" w:type="dxa"/>
              <w:bottom w:w="1pt" w:type="dxa"/>
              <w:end w:w="1pt" w:type="dxa"/>
            </w:tcMar>
            <w:vAlign w:val="center"/>
            <w:hideMark/>
          </w:tcPr>
          <w:p w14:paraId="79FA849E" w14:textId="77777777" w:rsidR="0074536F" w:rsidRDefault="00B343E0">
            <w:r>
              <w:t> </w:t>
            </w:r>
          </w:p>
        </w:tc>
        <w:tc>
          <w:tcPr>
            <w:tcW w:w="20.0%" w:type="pct"/>
            <w:tcMar>
              <w:top w:w="1pt" w:type="dxa"/>
              <w:start w:w="1pt" w:type="dxa"/>
              <w:bottom w:w="1pt" w:type="dxa"/>
              <w:end w:w="1pt" w:type="dxa"/>
            </w:tcMar>
            <w:vAlign w:val="center"/>
            <w:hideMark/>
          </w:tcPr>
          <w:p w14:paraId="79FA849F" w14:textId="77777777" w:rsidR="0074536F" w:rsidRDefault="00B343E0">
            <w:r>
              <w:t> </w:t>
            </w:r>
          </w:p>
        </w:tc>
        <w:tc>
          <w:tcPr>
            <w:tcW w:w="20.0%" w:type="pct"/>
            <w:tcMar>
              <w:top w:w="1pt" w:type="dxa"/>
              <w:start w:w="1pt" w:type="dxa"/>
              <w:bottom w:w="1pt" w:type="dxa"/>
              <w:end w:w="1pt" w:type="dxa"/>
            </w:tcMar>
            <w:vAlign w:val="center"/>
            <w:hideMark/>
          </w:tcPr>
          <w:p w14:paraId="79FA84A0" w14:textId="77777777" w:rsidR="0074536F" w:rsidRDefault="00B343E0">
            <w:r>
              <w:t> </w:t>
            </w:r>
          </w:p>
        </w:tc>
      </w:tr>
      <w:tr w:rsidR="0074536F" w14:paraId="79FA84AC" w14:textId="77777777">
        <w:trPr>
          <w:cantSplit/>
          <w:trHeight w:val="3105"/>
          <w:tblCellSpacing w:w="-5pt" w:type="dxa"/>
        </w:trPr>
        <w:tc>
          <w:tcPr>
            <w:tcW w:w="20.0%" w:type="pct"/>
            <w:tcMar>
              <w:top w:w="1pt" w:type="dxa"/>
              <w:start w:w="1pt" w:type="dxa"/>
              <w:bottom w:w="1pt" w:type="dxa"/>
              <w:end w:w="1pt" w:type="dxa"/>
            </w:tcMar>
            <w:vAlign w:val="center"/>
            <w:hideMark/>
          </w:tcPr>
          <w:p w14:paraId="79FA84A2" w14:textId="77777777" w:rsidR="0074536F" w:rsidRDefault="00B343E0">
            <w:r>
              <w:lastRenderedPageBreak/>
              <w:t> </w:t>
            </w:r>
          </w:p>
        </w:tc>
        <w:tc>
          <w:tcPr>
            <w:tcW w:w="20.0%" w:type="pct"/>
            <w:tcMar>
              <w:top w:w="1pt" w:type="dxa"/>
              <w:start w:w="1pt" w:type="dxa"/>
              <w:bottom w:w="1pt" w:type="dxa"/>
              <w:end w:w="1pt" w:type="dxa"/>
            </w:tcMar>
            <w:vAlign w:val="center"/>
            <w:hideMark/>
          </w:tcPr>
          <w:p w14:paraId="79FA84A3" w14:textId="77777777" w:rsidR="0074536F" w:rsidRDefault="00B343E0">
            <w:r>
              <w:rPr>
                <w:color w:val="FFFFFF"/>
              </w:rPr>
              <w:t>CLN_2</w:t>
            </w:r>
          </w:p>
          <w:p w14:paraId="79FA84A4" w14:textId="77777777" w:rsidR="0074536F" w:rsidRDefault="00B343E0">
            <w:r>
              <w:t> </w:t>
            </w:r>
          </w:p>
          <w:p w14:paraId="79FA84A5" w14:textId="77777777" w:rsidR="0074536F" w:rsidRDefault="00B343E0">
            <w:r>
              <w:t> </w:t>
            </w:r>
          </w:p>
          <w:p w14:paraId="79FA84A6" w14:textId="77777777" w:rsidR="0074536F" w:rsidRDefault="00B343E0">
            <w:r>
              <w:t> </w:t>
            </w:r>
          </w:p>
          <w:p w14:paraId="79FA84A7" w14:textId="77777777" w:rsidR="0074536F" w:rsidRDefault="00B343E0">
            <w:r>
              <w:t> </w:t>
            </w:r>
          </w:p>
          <w:p w14:paraId="79FA84A8" w14:textId="77777777" w:rsidR="0074536F" w:rsidRDefault="00B343E0">
            <w:r>
              <w:t> </w:t>
            </w:r>
          </w:p>
        </w:tc>
        <w:tc>
          <w:tcPr>
            <w:tcW w:w="20.0%" w:type="pct"/>
            <w:tcMar>
              <w:top w:w="1pt" w:type="dxa"/>
              <w:start w:w="1pt" w:type="dxa"/>
              <w:bottom w:w="1pt" w:type="dxa"/>
              <w:end w:w="1pt" w:type="dxa"/>
            </w:tcMar>
            <w:vAlign w:val="center"/>
            <w:hideMark/>
          </w:tcPr>
          <w:p w14:paraId="79FA84A9" w14:textId="77777777" w:rsidR="0074536F" w:rsidRDefault="00B343E0">
            <w:r>
              <w:t> </w:t>
            </w:r>
          </w:p>
        </w:tc>
        <w:tc>
          <w:tcPr>
            <w:tcW w:w="20.0%" w:type="pct"/>
            <w:tcMar>
              <w:top w:w="1pt" w:type="dxa"/>
              <w:start w:w="1pt" w:type="dxa"/>
              <w:bottom w:w="1pt" w:type="dxa"/>
              <w:end w:w="1pt" w:type="dxa"/>
            </w:tcMar>
            <w:vAlign w:val="center"/>
            <w:hideMark/>
          </w:tcPr>
          <w:p w14:paraId="79FA84AA" w14:textId="77777777" w:rsidR="0074536F" w:rsidRDefault="00B343E0">
            <w:r>
              <w:t> </w:t>
            </w:r>
          </w:p>
        </w:tc>
        <w:tc>
          <w:tcPr>
            <w:tcW w:w="20.0%" w:type="pct"/>
            <w:tcMar>
              <w:top w:w="1pt" w:type="dxa"/>
              <w:start w:w="1pt" w:type="dxa"/>
              <w:bottom w:w="1pt" w:type="dxa"/>
              <w:end w:w="1pt" w:type="dxa"/>
            </w:tcMar>
            <w:vAlign w:val="center"/>
            <w:hideMark/>
          </w:tcPr>
          <w:p w14:paraId="79FA84AB" w14:textId="77777777" w:rsidR="0074536F" w:rsidRDefault="00B343E0">
            <w:r>
              <w:t> </w:t>
            </w:r>
          </w:p>
        </w:tc>
      </w:tr>
      <w:tr w:rsidR="0074536F" w14:paraId="79FA84B7" w14:textId="77777777">
        <w:trPr>
          <w:cantSplit/>
          <w:trHeight w:val="3105"/>
          <w:tblCellSpacing w:w="-5pt" w:type="dxa"/>
        </w:trPr>
        <w:tc>
          <w:tcPr>
            <w:tcW w:w="20.0%" w:type="pct"/>
            <w:tcMar>
              <w:top w:w="1pt" w:type="dxa"/>
              <w:start w:w="1pt" w:type="dxa"/>
              <w:bottom w:w="1pt" w:type="dxa"/>
              <w:end w:w="1pt" w:type="dxa"/>
            </w:tcMar>
            <w:vAlign w:val="center"/>
            <w:hideMark/>
          </w:tcPr>
          <w:p w14:paraId="79FA84AD" w14:textId="77777777" w:rsidR="0074536F" w:rsidRDefault="00B343E0">
            <w:r>
              <w:t> </w:t>
            </w:r>
          </w:p>
        </w:tc>
        <w:tc>
          <w:tcPr>
            <w:tcW w:w="20.0%" w:type="pct"/>
            <w:tcMar>
              <w:top w:w="1pt" w:type="dxa"/>
              <w:start w:w="1pt" w:type="dxa"/>
              <w:bottom w:w="1pt" w:type="dxa"/>
              <w:end w:w="1pt" w:type="dxa"/>
            </w:tcMar>
            <w:vAlign w:val="center"/>
            <w:hideMark/>
          </w:tcPr>
          <w:p w14:paraId="79FA84AE" w14:textId="77777777" w:rsidR="0074536F" w:rsidRDefault="00B343E0">
            <w:r>
              <w:rPr>
                <w:color w:val="FFFFFF"/>
              </w:rPr>
              <w:t>CLN_3</w:t>
            </w:r>
          </w:p>
          <w:p w14:paraId="79FA84AF" w14:textId="77777777" w:rsidR="0074536F" w:rsidRDefault="00B343E0">
            <w:r>
              <w:t> </w:t>
            </w:r>
          </w:p>
          <w:p w14:paraId="79FA84B0" w14:textId="77777777" w:rsidR="0074536F" w:rsidRDefault="00B343E0">
            <w:r>
              <w:t> </w:t>
            </w:r>
          </w:p>
          <w:p w14:paraId="79FA84B1" w14:textId="77777777" w:rsidR="0074536F" w:rsidRDefault="00B343E0">
            <w:r>
              <w:t> </w:t>
            </w:r>
          </w:p>
          <w:p w14:paraId="79FA84B2" w14:textId="77777777" w:rsidR="0074536F" w:rsidRDefault="00B343E0">
            <w:r>
              <w:t> </w:t>
            </w:r>
          </w:p>
          <w:p w14:paraId="79FA84B3" w14:textId="77777777" w:rsidR="0074536F" w:rsidRDefault="00B343E0">
            <w:r>
              <w:t> </w:t>
            </w:r>
          </w:p>
        </w:tc>
        <w:tc>
          <w:tcPr>
            <w:tcW w:w="20.0%" w:type="pct"/>
            <w:tcMar>
              <w:top w:w="1pt" w:type="dxa"/>
              <w:start w:w="1pt" w:type="dxa"/>
              <w:bottom w:w="1pt" w:type="dxa"/>
              <w:end w:w="1pt" w:type="dxa"/>
            </w:tcMar>
            <w:vAlign w:val="center"/>
            <w:hideMark/>
          </w:tcPr>
          <w:p w14:paraId="79FA84B4" w14:textId="77777777" w:rsidR="0074536F" w:rsidRDefault="00B343E0">
            <w:r>
              <w:t> </w:t>
            </w:r>
          </w:p>
        </w:tc>
        <w:tc>
          <w:tcPr>
            <w:tcW w:w="20.0%" w:type="pct"/>
            <w:tcMar>
              <w:top w:w="1pt" w:type="dxa"/>
              <w:start w:w="1pt" w:type="dxa"/>
              <w:bottom w:w="1pt" w:type="dxa"/>
              <w:end w:w="1pt" w:type="dxa"/>
            </w:tcMar>
            <w:vAlign w:val="center"/>
            <w:hideMark/>
          </w:tcPr>
          <w:p w14:paraId="79FA84B5" w14:textId="77777777" w:rsidR="0074536F" w:rsidRDefault="00B343E0">
            <w:r>
              <w:t> </w:t>
            </w:r>
          </w:p>
        </w:tc>
        <w:tc>
          <w:tcPr>
            <w:tcW w:w="20.0%" w:type="pct"/>
            <w:tcMar>
              <w:top w:w="1pt" w:type="dxa"/>
              <w:start w:w="1pt" w:type="dxa"/>
              <w:bottom w:w="1pt" w:type="dxa"/>
              <w:end w:w="1pt" w:type="dxa"/>
            </w:tcMar>
            <w:vAlign w:val="center"/>
            <w:hideMark/>
          </w:tcPr>
          <w:p w14:paraId="79FA84B6" w14:textId="77777777" w:rsidR="0074536F" w:rsidRDefault="00B343E0">
            <w:r>
              <w:t> </w:t>
            </w:r>
          </w:p>
        </w:tc>
      </w:tr>
      <w:tr w:rsidR="0074536F" w14:paraId="79FA84C2" w14:textId="77777777">
        <w:trPr>
          <w:cantSplit/>
          <w:trHeight w:val="270"/>
          <w:tblCellSpacing w:w="-5pt" w:type="dxa"/>
        </w:trPr>
        <w:tc>
          <w:tcPr>
            <w:tcW w:w="20.0%" w:type="pct"/>
            <w:tcMar>
              <w:top w:w="1pt" w:type="dxa"/>
              <w:start w:w="1pt" w:type="dxa"/>
              <w:bottom w:w="1pt" w:type="dxa"/>
              <w:end w:w="1pt" w:type="dxa"/>
            </w:tcMar>
            <w:vAlign w:val="center"/>
            <w:hideMark/>
          </w:tcPr>
          <w:p w14:paraId="79FA84B8" w14:textId="77777777" w:rsidR="0074536F" w:rsidRDefault="00B343E0">
            <w:r>
              <w:t> </w:t>
            </w:r>
          </w:p>
        </w:tc>
        <w:tc>
          <w:tcPr>
            <w:tcW w:w="20.0%" w:type="pct"/>
            <w:tcMar>
              <w:top w:w="1pt" w:type="dxa"/>
              <w:start w:w="1pt" w:type="dxa"/>
              <w:bottom w:w="1pt" w:type="dxa"/>
              <w:end w:w="1pt" w:type="dxa"/>
            </w:tcMar>
            <w:vAlign w:val="center"/>
            <w:hideMark/>
          </w:tcPr>
          <w:p w14:paraId="79FA84B9" w14:textId="77777777" w:rsidR="0074536F" w:rsidRDefault="00B343E0">
            <w:r>
              <w:rPr>
                <w:color w:val="FFFFFF"/>
              </w:rPr>
              <w:t>CLN_4</w:t>
            </w:r>
          </w:p>
          <w:p w14:paraId="79FA84BA" w14:textId="77777777" w:rsidR="0074536F" w:rsidRDefault="00B343E0">
            <w:r>
              <w:t> </w:t>
            </w:r>
          </w:p>
          <w:p w14:paraId="79FA84BB" w14:textId="77777777" w:rsidR="0074536F" w:rsidRDefault="00B343E0">
            <w:r>
              <w:t> </w:t>
            </w:r>
          </w:p>
          <w:p w14:paraId="79FA84BC" w14:textId="77777777" w:rsidR="0074536F" w:rsidRDefault="00B343E0">
            <w:r>
              <w:t> </w:t>
            </w:r>
          </w:p>
          <w:p w14:paraId="79FA84BD" w14:textId="77777777" w:rsidR="0074536F" w:rsidRDefault="00B343E0">
            <w:r>
              <w:t> </w:t>
            </w:r>
          </w:p>
          <w:p w14:paraId="79FA84BE" w14:textId="77777777" w:rsidR="0074536F" w:rsidRDefault="00B343E0">
            <w:r>
              <w:t> </w:t>
            </w:r>
          </w:p>
        </w:tc>
        <w:tc>
          <w:tcPr>
            <w:tcW w:w="20.0%" w:type="pct"/>
            <w:tcMar>
              <w:top w:w="1pt" w:type="dxa"/>
              <w:start w:w="1pt" w:type="dxa"/>
              <w:bottom w:w="1pt" w:type="dxa"/>
              <w:end w:w="1pt" w:type="dxa"/>
            </w:tcMar>
            <w:vAlign w:val="center"/>
            <w:hideMark/>
          </w:tcPr>
          <w:p w14:paraId="79FA84BF" w14:textId="77777777" w:rsidR="0074536F" w:rsidRDefault="00B343E0">
            <w:r>
              <w:t> </w:t>
            </w:r>
          </w:p>
        </w:tc>
        <w:tc>
          <w:tcPr>
            <w:tcW w:w="20.0%" w:type="pct"/>
            <w:tcMar>
              <w:top w:w="1pt" w:type="dxa"/>
              <w:start w:w="1pt" w:type="dxa"/>
              <w:bottom w:w="1pt" w:type="dxa"/>
              <w:end w:w="1pt" w:type="dxa"/>
            </w:tcMar>
            <w:vAlign w:val="center"/>
            <w:hideMark/>
          </w:tcPr>
          <w:p w14:paraId="79FA84C0" w14:textId="77777777" w:rsidR="0074536F" w:rsidRDefault="00B343E0">
            <w:r>
              <w:t> </w:t>
            </w:r>
          </w:p>
        </w:tc>
        <w:tc>
          <w:tcPr>
            <w:tcW w:w="20.0%" w:type="pct"/>
            <w:tcMar>
              <w:top w:w="1pt" w:type="dxa"/>
              <w:start w:w="1pt" w:type="dxa"/>
              <w:bottom w:w="1pt" w:type="dxa"/>
              <w:end w:w="1pt" w:type="dxa"/>
            </w:tcMar>
            <w:vAlign w:val="center"/>
            <w:hideMark/>
          </w:tcPr>
          <w:p w14:paraId="79FA84C1" w14:textId="77777777" w:rsidR="0074536F" w:rsidRDefault="00B343E0">
            <w:r>
              <w:t> </w:t>
            </w:r>
          </w:p>
        </w:tc>
      </w:tr>
    </w:tbl>
    <w:p w14:paraId="79FA84C3" w14:textId="77777777" w:rsidR="0074536F" w:rsidRDefault="0074536F"/>
    <w:sectPr w:rsidR="0074536F">
      <w:headerReference w:type="default" r:id="rId18"/>
      <w:footerReference w:type="default" r:id="rId19"/>
      <w:headerReference w:type="first" r:id="rId20"/>
      <w:footerReference w:type="first" r:id="rId21"/>
      <w:pgSz w:w="595.30pt" w:h="841.90pt"/>
      <w:pgMar w:top="70.85pt" w:right="70.85pt" w:bottom="70.85pt" w:left="70.85pt" w:header="35.40pt" w:footer="35.40pt" w:gutter="0pt"/>
      <w:pgNumType w:start="1"/>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9FA84FE" w14:textId="77777777" w:rsidR="00B343E0" w:rsidRDefault="00B343E0">
      <w:r>
        <w:separator/>
      </w:r>
    </w:p>
  </w:endnote>
  <w:endnote w:type="continuationSeparator" w:id="0">
    <w:p w14:paraId="79FA8500" w14:textId="77777777" w:rsidR="00B343E0" w:rsidRDefault="00B343E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CB" w14:textId="77777777">
      <w:trPr>
        <w:cantSplit/>
        <w:tblCellSpacing w:w="-5pt" w:type="dxa"/>
      </w:trPr>
      <w:tc>
        <w:tcPr>
          <w:tcW w:w="34.0%" w:type="pct"/>
          <w:tcMar>
            <w:top w:w="0.75pt" w:type="dxa"/>
            <w:start w:w="0.75pt" w:type="dxa"/>
            <w:bottom w:w="0.75pt" w:type="dxa"/>
            <w:end w:w="0.75pt" w:type="dxa"/>
          </w:tcMar>
          <w:vAlign w:val="center"/>
          <w:hideMark/>
        </w:tcPr>
        <w:p w14:paraId="79FA84C9"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CA" w14:textId="77777777" w:rsidR="0074536F" w:rsidRDefault="00B343E0">
          <w:pPr>
            <w:jc w:val="end"/>
            <w:rPr>
              <w:sz w:val="18"/>
              <w:szCs w:val="18"/>
            </w:rPr>
          </w:pPr>
          <w:r>
            <w:rPr>
              <w:rStyle w:val="any"/>
              <w:b/>
              <w:bCs/>
            </w:rPr>
            <w:t>Technologie hlavního města Prahy, a.s.</w:t>
          </w:r>
        </w:p>
      </w:tc>
    </w:tr>
  </w:tbl>
  <w:p w14:paraId="79FA84CC" w14:textId="77777777" w:rsidR="0074536F" w:rsidRDefault="0074536F"/>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D4" w14:textId="77777777">
      <w:trPr>
        <w:cantSplit/>
        <w:tblCellSpacing w:w="-5pt" w:type="dxa"/>
      </w:trPr>
      <w:tc>
        <w:tcPr>
          <w:tcW w:w="34.0%" w:type="pct"/>
          <w:tcMar>
            <w:top w:w="0.75pt" w:type="dxa"/>
            <w:start w:w="0.75pt" w:type="dxa"/>
            <w:bottom w:w="0.75pt" w:type="dxa"/>
            <w:end w:w="0.75pt" w:type="dxa"/>
          </w:tcMar>
          <w:vAlign w:val="center"/>
          <w:hideMark/>
        </w:tcPr>
        <w:p w14:paraId="79FA84D2"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D3" w14:textId="77777777" w:rsidR="0074536F" w:rsidRDefault="00B343E0">
          <w:pPr>
            <w:jc w:val="end"/>
            <w:rPr>
              <w:sz w:val="18"/>
              <w:szCs w:val="18"/>
            </w:rPr>
          </w:pPr>
          <w:r>
            <w:rPr>
              <w:rStyle w:val="any"/>
              <w:b/>
              <w:bCs/>
            </w:rPr>
            <w:t>Technologie hlavního města Prahy, a.s.</w:t>
          </w:r>
        </w:p>
      </w:tc>
    </w:tr>
  </w:tbl>
  <w:p w14:paraId="79FA84D5" w14:textId="77777777" w:rsidR="0074536F" w:rsidRDefault="0074536F"/>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DD" w14:textId="77777777">
      <w:trPr>
        <w:cantSplit/>
        <w:tblCellSpacing w:w="-5pt" w:type="dxa"/>
      </w:trPr>
      <w:tc>
        <w:tcPr>
          <w:tcW w:w="34.0%" w:type="pct"/>
          <w:tcMar>
            <w:top w:w="0.75pt" w:type="dxa"/>
            <w:start w:w="0.75pt" w:type="dxa"/>
            <w:bottom w:w="0.75pt" w:type="dxa"/>
            <w:end w:w="0.75pt" w:type="dxa"/>
          </w:tcMar>
          <w:vAlign w:val="center"/>
          <w:hideMark/>
        </w:tcPr>
        <w:p w14:paraId="79FA84DB"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DC" w14:textId="77777777" w:rsidR="0074536F" w:rsidRDefault="00B343E0">
          <w:pPr>
            <w:jc w:val="end"/>
            <w:rPr>
              <w:sz w:val="18"/>
              <w:szCs w:val="18"/>
            </w:rPr>
          </w:pPr>
          <w:r>
            <w:rPr>
              <w:rStyle w:val="any"/>
              <w:b/>
              <w:bCs/>
            </w:rPr>
            <w:t>Technologie hlavního města Prahy, a.s.</w:t>
          </w:r>
        </w:p>
      </w:tc>
    </w:tr>
  </w:tbl>
  <w:p w14:paraId="79FA84DE" w14:textId="77777777" w:rsidR="0074536F" w:rsidRDefault="0074536F"/>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E6" w14:textId="77777777">
      <w:trPr>
        <w:cantSplit/>
        <w:tblCellSpacing w:w="-5pt" w:type="dxa"/>
      </w:trPr>
      <w:tc>
        <w:tcPr>
          <w:tcW w:w="34.0%" w:type="pct"/>
          <w:tcMar>
            <w:top w:w="0.75pt" w:type="dxa"/>
            <w:start w:w="0.75pt" w:type="dxa"/>
            <w:bottom w:w="0.75pt" w:type="dxa"/>
            <w:end w:w="0.75pt" w:type="dxa"/>
          </w:tcMar>
          <w:vAlign w:val="center"/>
          <w:hideMark/>
        </w:tcPr>
        <w:p w14:paraId="79FA84E4"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E5" w14:textId="77777777" w:rsidR="0074536F" w:rsidRDefault="00B343E0">
          <w:pPr>
            <w:jc w:val="end"/>
            <w:rPr>
              <w:sz w:val="18"/>
              <w:szCs w:val="18"/>
            </w:rPr>
          </w:pPr>
          <w:r>
            <w:rPr>
              <w:rStyle w:val="any"/>
              <w:b/>
              <w:bCs/>
            </w:rPr>
            <w:t>Technologie hlavního města Prahy, a.s.</w:t>
          </w:r>
        </w:p>
      </w:tc>
    </w:tr>
  </w:tbl>
  <w:p w14:paraId="79FA84E7" w14:textId="77777777" w:rsidR="0074536F" w:rsidRDefault="0074536F"/>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EF" w14:textId="77777777">
      <w:trPr>
        <w:cantSplit/>
        <w:tblCellSpacing w:w="-5pt" w:type="dxa"/>
      </w:trPr>
      <w:tc>
        <w:tcPr>
          <w:tcW w:w="34.0%" w:type="pct"/>
          <w:tcMar>
            <w:top w:w="0.75pt" w:type="dxa"/>
            <w:start w:w="0.75pt" w:type="dxa"/>
            <w:bottom w:w="0.75pt" w:type="dxa"/>
            <w:end w:w="0.75pt" w:type="dxa"/>
          </w:tcMar>
          <w:vAlign w:val="center"/>
          <w:hideMark/>
        </w:tcPr>
        <w:p w14:paraId="79FA84ED"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EE" w14:textId="77777777" w:rsidR="0074536F" w:rsidRDefault="00B343E0">
          <w:pPr>
            <w:jc w:val="end"/>
            <w:rPr>
              <w:sz w:val="18"/>
              <w:szCs w:val="18"/>
            </w:rPr>
          </w:pPr>
          <w:r>
            <w:rPr>
              <w:rStyle w:val="any"/>
              <w:b/>
              <w:bCs/>
            </w:rPr>
            <w:t>Technologie hlavního města Prahy, a.s.</w:t>
          </w:r>
        </w:p>
      </w:tc>
    </w:tr>
  </w:tbl>
  <w:p w14:paraId="79FA84F0" w14:textId="77777777" w:rsidR="0074536F" w:rsidRDefault="0074536F"/>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3000"/>
      <w:gridCol w:w="6107"/>
    </w:tblGrid>
    <w:tr w:rsidR="0074536F" w14:paraId="79FA84F8" w14:textId="77777777">
      <w:trPr>
        <w:cantSplit/>
        <w:tblCellSpacing w:w="-5pt" w:type="dxa"/>
      </w:trPr>
      <w:tc>
        <w:tcPr>
          <w:tcW w:w="34.0%" w:type="pct"/>
          <w:tcMar>
            <w:top w:w="0.75pt" w:type="dxa"/>
            <w:start w:w="0.75pt" w:type="dxa"/>
            <w:bottom w:w="0.75pt" w:type="dxa"/>
            <w:end w:w="0.75pt" w:type="dxa"/>
          </w:tcMar>
          <w:vAlign w:val="center"/>
          <w:hideMark/>
        </w:tcPr>
        <w:p w14:paraId="79FA84F6" w14:textId="77777777" w:rsidR="0074536F" w:rsidRDefault="00B343E0">
          <w:pPr>
            <w:jc w:val="start"/>
            <w:rPr>
              <w:sz w:val="18"/>
              <w:szCs w:val="18"/>
            </w:rPr>
          </w:pPr>
          <w:r>
            <w:rPr>
              <w:rStyle w:val="any"/>
              <w:b/>
              <w:bCs/>
            </w:rPr>
            <w:t>Československá obchodní banka, a. s.</w:t>
          </w:r>
        </w:p>
      </w:tc>
      <w:tc>
        <w:tcPr>
          <w:tcW w:w="66.0%" w:type="pct"/>
          <w:tcMar>
            <w:top w:w="0.75pt" w:type="dxa"/>
            <w:start w:w="0.75pt" w:type="dxa"/>
            <w:bottom w:w="0.75pt" w:type="dxa"/>
            <w:end w:w="0.75pt" w:type="dxa"/>
          </w:tcMar>
          <w:vAlign w:val="center"/>
          <w:hideMark/>
        </w:tcPr>
        <w:p w14:paraId="79FA84F7" w14:textId="77777777" w:rsidR="0074536F" w:rsidRDefault="00B343E0">
          <w:pPr>
            <w:jc w:val="end"/>
            <w:rPr>
              <w:sz w:val="18"/>
              <w:szCs w:val="18"/>
            </w:rPr>
          </w:pPr>
          <w:r>
            <w:rPr>
              <w:rStyle w:val="any"/>
              <w:b/>
              <w:bCs/>
            </w:rPr>
            <w:t>Technologie hlavního města Prahy, a.s.</w:t>
          </w:r>
        </w:p>
      </w:tc>
    </w:tr>
  </w:tbl>
  <w:p w14:paraId="79FA84F9" w14:textId="77777777" w:rsidR="0074536F" w:rsidRDefault="0074536F"/>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9FA84FA" w14:textId="77777777" w:rsidR="00B343E0" w:rsidRDefault="00B343E0">
      <w:r>
        <w:separator/>
      </w:r>
    </w:p>
  </w:footnote>
  <w:footnote w:type="continuationSeparator" w:id="0">
    <w:p w14:paraId="79FA84FC" w14:textId="77777777" w:rsidR="00B343E0" w:rsidRDefault="00B343E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7951"/>
      <w:gridCol w:w="1156"/>
    </w:tblGrid>
    <w:tr w:rsidR="0074536F" w14:paraId="79FA84C6" w14:textId="77777777">
      <w:trPr>
        <w:cantSplit/>
        <w:tblCellSpacing w:w="-5pt" w:type="dxa"/>
      </w:trPr>
      <w:tc>
        <w:tcPr>
          <w:tcW w:w="85.0%" w:type="pct"/>
          <w:tcMar>
            <w:top w:w="0.75pt" w:type="dxa"/>
            <w:start w:w="0.75pt" w:type="dxa"/>
            <w:bottom w:w="0.75pt" w:type="dxa"/>
            <w:end w:w="0.75pt" w:type="dxa"/>
          </w:tcMar>
          <w:vAlign w:val="center"/>
          <w:hideMark/>
        </w:tcPr>
        <w:p w14:paraId="79FA84C4" w14:textId="77777777" w:rsidR="0074536F" w:rsidRDefault="00B343E0">
          <w:pPr>
            <w:jc w:val="start"/>
            <w:rPr>
              <w:sz w:val="18"/>
              <w:szCs w:val="18"/>
            </w:rPr>
          </w:pPr>
          <w:r>
            <w:rPr>
              <w:rStyle w:val="any"/>
              <w:b/>
              <w:bCs/>
            </w:rPr>
            <w:t>Smlouva č. 2024007507</w:t>
          </w:r>
        </w:p>
      </w:tc>
      <w:tc>
        <w:tcPr>
          <w:tcW w:w="15.0%" w:type="pct"/>
          <w:tcMar>
            <w:top w:w="0.75pt" w:type="dxa"/>
            <w:start w:w="0.75pt" w:type="dxa"/>
            <w:bottom w:w="0.75pt" w:type="dxa"/>
            <w:end w:w="0.75pt" w:type="dxa"/>
          </w:tcMar>
          <w:vAlign w:val="center"/>
          <w:hideMark/>
        </w:tcPr>
        <w:p w14:paraId="79FA84C5"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8</w:t>
          </w:r>
          <w:r>
            <w:rPr>
              <w:rStyle w:val="any"/>
              <w:b/>
              <w:bCs/>
            </w:rPr>
            <w:fldChar w:fldCharType="end"/>
          </w:r>
        </w:p>
      </w:tc>
    </w:tr>
  </w:tbl>
  <w:p w14:paraId="79FA84C8" w14:textId="4C040C75" w:rsidR="0074536F" w:rsidRDefault="0074536F" w:rsidP="00F010B7"/>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7951"/>
      <w:gridCol w:w="1156"/>
    </w:tblGrid>
    <w:tr w:rsidR="0074536F" w14:paraId="79FA84CF" w14:textId="77777777">
      <w:trPr>
        <w:cantSplit/>
        <w:tblCellSpacing w:w="-5pt" w:type="dxa"/>
      </w:trPr>
      <w:tc>
        <w:tcPr>
          <w:tcW w:w="85.0%" w:type="pct"/>
          <w:tcMar>
            <w:top w:w="0.75pt" w:type="dxa"/>
            <w:start w:w="0.75pt" w:type="dxa"/>
            <w:bottom w:w="0.75pt" w:type="dxa"/>
            <w:end w:w="0.75pt" w:type="dxa"/>
          </w:tcMar>
          <w:vAlign w:val="center"/>
          <w:hideMark/>
        </w:tcPr>
        <w:p w14:paraId="79FA84CD" w14:textId="77777777" w:rsidR="0074536F" w:rsidRDefault="00B343E0">
          <w:pPr>
            <w:jc w:val="start"/>
            <w:rPr>
              <w:sz w:val="18"/>
              <w:szCs w:val="18"/>
            </w:rPr>
          </w:pPr>
          <w:r>
            <w:rPr>
              <w:rStyle w:val="any"/>
              <w:b/>
              <w:bCs/>
            </w:rPr>
            <w:t>Smlouva č. 2024007507</w:t>
          </w:r>
        </w:p>
      </w:tc>
      <w:tc>
        <w:tcPr>
          <w:tcW w:w="15.0%" w:type="pct"/>
          <w:tcMar>
            <w:top w:w="0.75pt" w:type="dxa"/>
            <w:start w:w="0.75pt" w:type="dxa"/>
            <w:bottom w:w="0.75pt" w:type="dxa"/>
            <w:end w:w="0.75pt" w:type="dxa"/>
          </w:tcMar>
          <w:vAlign w:val="center"/>
          <w:hideMark/>
        </w:tcPr>
        <w:p w14:paraId="79FA84CE"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1</w:t>
          </w:r>
          <w:r>
            <w:rPr>
              <w:rStyle w:val="any"/>
              <w:b/>
              <w:bCs/>
            </w:rPr>
            <w:fldChar w:fldCharType="end"/>
          </w:r>
        </w:p>
      </w:tc>
    </w:tr>
  </w:tbl>
  <w:p w14:paraId="79FA84D1" w14:textId="7893B8B4" w:rsidR="0074536F" w:rsidRDefault="0074536F" w:rsidP="00F010B7"/>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74536F" w14:paraId="79FA84D8" w14:textId="77777777">
      <w:trPr>
        <w:cantSplit/>
        <w:tblCellSpacing w:w="-5pt" w:type="dxa"/>
      </w:trPr>
      <w:tc>
        <w:tcPr>
          <w:tcW w:w="90.0%" w:type="pct"/>
          <w:tcMar>
            <w:top w:w="0.75pt" w:type="dxa"/>
            <w:start w:w="0.75pt" w:type="dxa"/>
            <w:bottom w:w="0.75pt" w:type="dxa"/>
            <w:end w:w="0.75pt" w:type="dxa"/>
          </w:tcMar>
          <w:vAlign w:val="center"/>
          <w:hideMark/>
        </w:tcPr>
        <w:p w14:paraId="79FA84D6" w14:textId="77777777" w:rsidR="0074536F" w:rsidRDefault="00B343E0">
          <w:pPr>
            <w:jc w:val="start"/>
            <w:rPr>
              <w:sz w:val="18"/>
              <w:szCs w:val="18"/>
            </w:rPr>
          </w:pPr>
          <w:r>
            <w:rPr>
              <w:rStyle w:val="any"/>
              <w:b/>
              <w:bCs/>
            </w:rPr>
            <w:t>Smlouva č. 2024007507 - Příloha č. 1</w:t>
          </w:r>
        </w:p>
      </w:tc>
      <w:tc>
        <w:tcPr>
          <w:tcW w:w="10.0%" w:type="pct"/>
          <w:tcMar>
            <w:top w:w="0.75pt" w:type="dxa"/>
            <w:start w:w="0.75pt" w:type="dxa"/>
            <w:bottom w:w="0.75pt" w:type="dxa"/>
            <w:end w:w="0.75pt" w:type="dxa"/>
          </w:tcMar>
          <w:vAlign w:val="center"/>
          <w:hideMark/>
        </w:tcPr>
        <w:p w14:paraId="79FA84D7"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4</w:t>
          </w:r>
          <w:r>
            <w:rPr>
              <w:rStyle w:val="any"/>
              <w:b/>
              <w:bCs/>
            </w:rPr>
            <w:fldChar w:fldCharType="end"/>
          </w:r>
        </w:p>
      </w:tc>
    </w:tr>
  </w:tbl>
  <w:p w14:paraId="79FA84DA" w14:textId="2DD61F1D" w:rsidR="0074536F" w:rsidRDefault="0074536F" w:rsidP="00F010B7"/>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74536F" w14:paraId="79FA84E1" w14:textId="77777777">
      <w:trPr>
        <w:cantSplit/>
        <w:tblCellSpacing w:w="-5pt" w:type="dxa"/>
      </w:trPr>
      <w:tc>
        <w:tcPr>
          <w:tcW w:w="90.0%" w:type="pct"/>
          <w:tcMar>
            <w:top w:w="0.75pt" w:type="dxa"/>
            <w:start w:w="0.75pt" w:type="dxa"/>
            <w:bottom w:w="0.75pt" w:type="dxa"/>
            <w:end w:w="0.75pt" w:type="dxa"/>
          </w:tcMar>
          <w:vAlign w:val="center"/>
          <w:hideMark/>
        </w:tcPr>
        <w:p w14:paraId="79FA84DF" w14:textId="77777777" w:rsidR="0074536F" w:rsidRDefault="00B343E0">
          <w:pPr>
            <w:jc w:val="start"/>
            <w:rPr>
              <w:sz w:val="18"/>
              <w:szCs w:val="18"/>
            </w:rPr>
          </w:pPr>
          <w:r>
            <w:rPr>
              <w:rStyle w:val="any"/>
              <w:b/>
              <w:bCs/>
            </w:rPr>
            <w:t>Smlouva č. 2024007507 - Příloha č. 1</w:t>
          </w:r>
        </w:p>
      </w:tc>
      <w:tc>
        <w:tcPr>
          <w:tcW w:w="10.0%" w:type="pct"/>
          <w:tcMar>
            <w:top w:w="0.75pt" w:type="dxa"/>
            <w:start w:w="0.75pt" w:type="dxa"/>
            <w:bottom w:w="0.75pt" w:type="dxa"/>
            <w:end w:w="0.75pt" w:type="dxa"/>
          </w:tcMar>
          <w:vAlign w:val="center"/>
          <w:hideMark/>
        </w:tcPr>
        <w:p w14:paraId="79FA84E0"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1</w:t>
          </w:r>
          <w:r>
            <w:rPr>
              <w:rStyle w:val="any"/>
              <w:b/>
              <w:bCs/>
            </w:rPr>
            <w:fldChar w:fldCharType="end"/>
          </w:r>
        </w:p>
      </w:tc>
    </w:tr>
  </w:tbl>
  <w:p w14:paraId="79FA84E3" w14:textId="20401A6F" w:rsidR="0074536F" w:rsidRDefault="0074536F" w:rsidP="00F010B7"/>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74536F" w14:paraId="79FA84EA" w14:textId="77777777">
      <w:trPr>
        <w:cantSplit/>
        <w:tblCellSpacing w:w="-5pt" w:type="dxa"/>
      </w:trPr>
      <w:tc>
        <w:tcPr>
          <w:tcW w:w="90.0%" w:type="pct"/>
          <w:tcMar>
            <w:top w:w="0.75pt" w:type="dxa"/>
            <w:start w:w="0.75pt" w:type="dxa"/>
            <w:bottom w:w="0.75pt" w:type="dxa"/>
            <w:end w:w="0.75pt" w:type="dxa"/>
          </w:tcMar>
          <w:vAlign w:val="center"/>
          <w:hideMark/>
        </w:tcPr>
        <w:p w14:paraId="79FA84E8" w14:textId="77777777" w:rsidR="0074536F" w:rsidRDefault="00B343E0">
          <w:pPr>
            <w:jc w:val="start"/>
            <w:rPr>
              <w:sz w:val="18"/>
              <w:szCs w:val="18"/>
            </w:rPr>
          </w:pPr>
          <w:r>
            <w:rPr>
              <w:rStyle w:val="any"/>
              <w:b/>
              <w:bCs/>
            </w:rPr>
            <w:t>Smlouva č. 2024007507 - Příloha č. 2</w:t>
          </w:r>
        </w:p>
      </w:tc>
      <w:tc>
        <w:tcPr>
          <w:tcW w:w="10.0%" w:type="pct"/>
          <w:tcMar>
            <w:top w:w="0.75pt" w:type="dxa"/>
            <w:start w:w="0.75pt" w:type="dxa"/>
            <w:bottom w:w="0.75pt" w:type="dxa"/>
            <w:end w:w="0.75pt" w:type="dxa"/>
          </w:tcMar>
          <w:vAlign w:val="center"/>
          <w:hideMark/>
        </w:tcPr>
        <w:p w14:paraId="79FA84E9"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2</w:t>
          </w:r>
          <w:r>
            <w:rPr>
              <w:rStyle w:val="any"/>
              <w:b/>
              <w:bCs/>
            </w:rPr>
            <w:fldChar w:fldCharType="end"/>
          </w:r>
        </w:p>
      </w:tc>
    </w:tr>
  </w:tbl>
  <w:p w14:paraId="79FA84EC" w14:textId="657B873D" w:rsidR="0074536F" w:rsidRDefault="0074536F" w:rsidP="00F010B7"/>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anyTable"/>
      <w:tblW w:w="455.35pt" w:type="dxa"/>
      <w:tblCellSpacing w:w="-5pt" w:type="dxa"/>
      <w:tblInd w:w="0.25pt" w:type="dxa"/>
      <w:tblBorders>
        <w:top w:val="single" w:sz="6" w:space="0" w:color="000000"/>
        <w:bottom w:val="single" w:sz="6" w:space="0" w:color="000000"/>
      </w:tblBorders>
      <w:tblCellMar>
        <w:top w:w="0.75pt" w:type="dxa"/>
        <w:start w:w="0.75pt" w:type="dxa"/>
        <w:bottom w:w="0.75pt" w:type="dxa"/>
        <w:end w:w="0.75pt" w:type="dxa"/>
      </w:tblCellMar>
      <w:tblLook w:firstRow="1" w:lastRow="1" w:firstColumn="1" w:lastColumn="1" w:noHBand="0" w:noVBand="1"/>
    </w:tblPr>
    <w:tblGrid>
      <w:gridCol w:w="8436"/>
      <w:gridCol w:w="671"/>
    </w:tblGrid>
    <w:tr w:rsidR="0074536F" w14:paraId="79FA84F3" w14:textId="77777777">
      <w:trPr>
        <w:cantSplit/>
        <w:tblCellSpacing w:w="-5pt" w:type="dxa"/>
      </w:trPr>
      <w:tc>
        <w:tcPr>
          <w:tcW w:w="90.0%" w:type="pct"/>
          <w:tcMar>
            <w:top w:w="0.75pt" w:type="dxa"/>
            <w:start w:w="0.75pt" w:type="dxa"/>
            <w:bottom w:w="0.75pt" w:type="dxa"/>
            <w:end w:w="0.75pt" w:type="dxa"/>
          </w:tcMar>
          <w:vAlign w:val="center"/>
          <w:hideMark/>
        </w:tcPr>
        <w:p w14:paraId="79FA84F1" w14:textId="77777777" w:rsidR="0074536F" w:rsidRDefault="00B343E0">
          <w:pPr>
            <w:jc w:val="start"/>
            <w:rPr>
              <w:sz w:val="18"/>
              <w:szCs w:val="18"/>
            </w:rPr>
          </w:pPr>
          <w:r>
            <w:rPr>
              <w:rStyle w:val="any"/>
              <w:b/>
              <w:bCs/>
            </w:rPr>
            <w:t>Smlouva č. 2024007507 - Příloha č. 2</w:t>
          </w:r>
        </w:p>
      </w:tc>
      <w:tc>
        <w:tcPr>
          <w:tcW w:w="10.0%" w:type="pct"/>
          <w:tcMar>
            <w:top w:w="0.75pt" w:type="dxa"/>
            <w:start w:w="0.75pt" w:type="dxa"/>
            <w:bottom w:w="0.75pt" w:type="dxa"/>
            <w:end w:w="0.75pt" w:type="dxa"/>
          </w:tcMar>
          <w:vAlign w:val="center"/>
          <w:hideMark/>
        </w:tcPr>
        <w:p w14:paraId="79FA84F2" w14:textId="77777777" w:rsidR="0074536F" w:rsidRDefault="00B343E0">
          <w:pPr>
            <w:jc w:val="end"/>
            <w:rPr>
              <w:sz w:val="18"/>
              <w:szCs w:val="18"/>
            </w:rPr>
          </w:pPr>
          <w:r>
            <w:rPr>
              <w:rStyle w:val="any"/>
              <w:b/>
              <w:bCs/>
            </w:rPr>
            <w:t>strana </w:t>
          </w:r>
          <w:r>
            <w:rPr>
              <w:rStyle w:val="any"/>
              <w:b/>
              <w:bCs/>
            </w:rPr>
            <w:fldChar w:fldCharType="begin"/>
          </w:r>
          <w:r>
            <w:rPr>
              <w:rStyle w:val="any"/>
              <w:b/>
              <w:bCs/>
            </w:rPr>
            <w:instrText>PAGE</w:instrText>
          </w:r>
          <w:r>
            <w:rPr>
              <w:rStyle w:val="any"/>
              <w:b/>
              <w:bCs/>
            </w:rPr>
            <w:fldChar w:fldCharType="separate"/>
          </w:r>
          <w:r>
            <w:rPr>
              <w:rStyle w:val="any"/>
              <w:b/>
              <w:bCs/>
            </w:rPr>
            <w:t>1</w:t>
          </w:r>
          <w:r>
            <w:rPr>
              <w:rStyle w:val="any"/>
              <w:b/>
              <w:bCs/>
            </w:rPr>
            <w:fldChar w:fldCharType="end"/>
          </w:r>
        </w:p>
      </w:tc>
    </w:tr>
  </w:tbl>
  <w:p w14:paraId="79FA84F5" w14:textId="00BCB7F9" w:rsidR="0074536F" w:rsidRDefault="0074536F" w:rsidP="00F010B7"/>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000001"/>
    <w:multiLevelType w:val="multilevel"/>
    <w:tmpl w:val="00000001"/>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 w15:restartNumberingAfterBreak="0">
    <w:nsid w:val="00000002"/>
    <w:multiLevelType w:val="multilevel"/>
    <w:tmpl w:val="00000002"/>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2" w15:restartNumberingAfterBreak="0">
    <w:nsid w:val="00000003"/>
    <w:multiLevelType w:val="multilevel"/>
    <w:tmpl w:val="00000003"/>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 w15:restartNumberingAfterBreak="0">
    <w:nsid w:val="00000004"/>
    <w:multiLevelType w:val="multilevel"/>
    <w:tmpl w:val="00000004"/>
    <w:lvl w:ilvl="0">
      <w:start w:val="1"/>
      <w:numFmt w:val="decimal"/>
      <w:lvlText w:val="%1)"/>
      <w:lvlJc w:val="start"/>
      <w:pPr>
        <w:ind w:start="36pt" w:hanging="36pt"/>
      </w:p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4" w15:restartNumberingAfterBreak="0">
    <w:nsid w:val="00000005"/>
    <w:multiLevelType w:val="multilevel"/>
    <w:tmpl w:val="00000005"/>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5" w15:restartNumberingAfterBreak="0">
    <w:nsid w:val="00000006"/>
    <w:multiLevelType w:val="multilevel"/>
    <w:tmpl w:val="00000006"/>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00000007"/>
    <w:multiLevelType w:val="multilevel"/>
    <w:tmpl w:val="00000007"/>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7" w15:restartNumberingAfterBreak="0">
    <w:nsid w:val="00000008"/>
    <w:multiLevelType w:val="multilevel"/>
    <w:tmpl w:val="00000008"/>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8" w15:restartNumberingAfterBreak="0">
    <w:nsid w:val="00000009"/>
    <w:multiLevelType w:val="multilevel"/>
    <w:tmpl w:val="00000009"/>
    <w:lvl w:ilvl="0">
      <w:start w:val="1"/>
      <w:numFmt w:val="decimal"/>
      <w:lvlText w:val="%1."/>
      <w:lvlJc w:val="start"/>
      <w:pPr>
        <w:tabs>
          <w:tab w:val="num" w:pos="36pt"/>
        </w:tabs>
        <w:ind w:start="36pt" w:hanging="18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9" w15:restartNumberingAfterBreak="0">
    <w:nsid w:val="0000000A"/>
    <w:multiLevelType w:val="multilevel"/>
    <w:tmpl w:val="0000000A"/>
    <w:lvl w:ilvl="0">
      <w:start w:val="1"/>
      <w:numFmt w:val="decimal"/>
      <w:lvlText w:val="%1)"/>
      <w:lvlJc w:val="start"/>
      <w:pPr>
        <w:ind w:start="36pt" w:hanging="36pt"/>
      </w:pPr>
    </w:lvl>
    <w:lvl w:ilvl="1">
      <w:start w:val="1"/>
      <w:numFmt w:val="lowerLetter"/>
      <w:lvlText w:val="%2)"/>
      <w:lvlJc w:val="start"/>
      <w:pPr>
        <w:ind w:start="72pt" w:hanging="43.70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num w:numId="1" w16cid:durableId="12651740">
    <w:abstractNumId w:val="0"/>
  </w:num>
  <w:num w:numId="2" w16cid:durableId="1159611801">
    <w:abstractNumId w:val="1"/>
  </w:num>
  <w:num w:numId="3" w16cid:durableId="2138180323">
    <w:abstractNumId w:val="2"/>
  </w:num>
  <w:num w:numId="4" w16cid:durableId="1599369385">
    <w:abstractNumId w:val="3"/>
  </w:num>
  <w:num w:numId="5" w16cid:durableId="2097701590">
    <w:abstractNumId w:val="4"/>
  </w:num>
  <w:num w:numId="6" w16cid:durableId="1590652578">
    <w:abstractNumId w:val="5"/>
  </w:num>
  <w:num w:numId="7" w16cid:durableId="211504950">
    <w:abstractNumId w:val="6"/>
  </w:num>
  <w:num w:numId="8" w16cid:durableId="1803423975">
    <w:abstractNumId w:val="7"/>
  </w:num>
  <w:num w:numId="9" w16cid:durableId="885414073">
    <w:abstractNumId w:val="8"/>
  </w:num>
  <w:num w:numId="10" w16cid:durableId="2124961857">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30pt"/>
  <w:hyphenationZone w:val="21.25pt"/>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6F"/>
    <w:rsid w:val="001A5381"/>
    <w:rsid w:val="0074536F"/>
    <w:rsid w:val="007D2E06"/>
    <w:rsid w:val="00B343E0"/>
    <w:rsid w:val="00B5103A"/>
    <w:rsid w:val="00D4303E"/>
    <w:rsid w:val="00F01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9FA830E"/>
  <w15:docId w15:val="{53C2D836-335C-460B-B1E3-3D49F2591D2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BCE"/>
    <w:pPr>
      <w:jc w:val="both"/>
    </w:pPr>
    <w:rPr>
      <w:color w:val="000000"/>
      <w:sz w:val="22"/>
      <w:szCs w:val="22"/>
    </w:rPr>
  </w:style>
  <w:style w:type="paragraph" w:styleId="Nadpis1">
    <w:name w:val="heading 1"/>
    <w:basedOn w:val="Normln"/>
    <w:next w:val="Normln"/>
    <w:qFormat/>
    <w:rsid w:val="00EF7B96"/>
    <w:pPr>
      <w:keepNext/>
      <w:spacing w:before="12pt" w:after="3pt"/>
      <w:jc w:val="center"/>
      <w:outlineLvl w:val="0"/>
    </w:pPr>
    <w:rPr>
      <w:b/>
      <w:bCs/>
      <w:kern w:val="36"/>
    </w:rPr>
  </w:style>
  <w:style w:type="paragraph" w:styleId="Nadpis2">
    <w:name w:val="heading 2"/>
    <w:basedOn w:val="Normln"/>
    <w:next w:val="Normln"/>
    <w:qFormat/>
    <w:rsid w:val="00EF7B96"/>
    <w:pPr>
      <w:keepNext/>
      <w:spacing w:before="12pt" w:after="3pt"/>
      <w:outlineLvl w:val="1"/>
    </w:pPr>
    <w:rPr>
      <w:b/>
      <w:bCs/>
      <w:iCs/>
    </w:rPr>
  </w:style>
  <w:style w:type="paragraph" w:styleId="Nadpis3">
    <w:name w:val="heading 3"/>
    <w:basedOn w:val="Normln"/>
    <w:next w:val="Normln"/>
    <w:qFormat/>
    <w:rsid w:val="00EF7B96"/>
    <w:pPr>
      <w:keepNext/>
      <w:spacing w:before="12pt" w:after="3pt"/>
      <w:outlineLvl w:val="2"/>
    </w:pPr>
    <w:rPr>
      <w:b/>
      <w:bCs/>
    </w:rPr>
  </w:style>
  <w:style w:type="paragraph" w:styleId="Nadpis4">
    <w:name w:val="heading 4"/>
    <w:basedOn w:val="Normln"/>
    <w:next w:val="Normln"/>
    <w:qFormat/>
    <w:rsid w:val="00EF7B96"/>
    <w:pPr>
      <w:keepNext/>
      <w:spacing w:before="12pt" w:after="3pt"/>
      <w:outlineLvl w:val="3"/>
    </w:pPr>
    <w:rPr>
      <w:b/>
      <w:bCs/>
    </w:rPr>
  </w:style>
  <w:style w:type="paragraph" w:styleId="Nadpis5">
    <w:name w:val="heading 5"/>
    <w:basedOn w:val="Normln"/>
    <w:next w:val="Normln"/>
    <w:qFormat/>
    <w:rsid w:val="00EF7B96"/>
    <w:pPr>
      <w:keepNext/>
      <w:spacing w:before="12pt" w:after="3pt"/>
      <w:outlineLvl w:val="4"/>
    </w:pPr>
    <w:rPr>
      <w:b/>
      <w:bCs/>
      <w:iCs/>
    </w:rPr>
  </w:style>
  <w:style w:type="paragraph" w:styleId="Nadpis6">
    <w:name w:val="heading 6"/>
    <w:basedOn w:val="Normln"/>
    <w:next w:val="Normln"/>
    <w:qFormat/>
    <w:rsid w:val="00EF7B96"/>
    <w:pPr>
      <w:keepNext/>
      <w:spacing w:before="12pt" w:after="3pt"/>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customStyle="1" w:styleId="divWordSection1">
    <w:name w:val="div_WordSection1"/>
    <w:basedOn w:val="Normln"/>
  </w:style>
  <w:style w:type="table" w:customStyle="1" w:styleId="table">
    <w:name w:val="table"/>
    <w:basedOn w:val="Normlntabulka"/>
    <w:tblPr/>
  </w:style>
  <w:style w:type="character" w:customStyle="1" w:styleId="cg3-block-content-condition">
    <w:name w:val="cg3-block-content-condition"/>
    <w:basedOn w:val="Standardnpsmoodstavce"/>
  </w:style>
  <w:style w:type="paragraph" w:customStyle="1" w:styleId="divWordSection2">
    <w:name w:val="div_WordSection2"/>
    <w:basedOn w:val="Normln"/>
  </w:style>
  <w:style w:type="paragraph" w:customStyle="1" w:styleId="divWordSection3">
    <w:name w:val="div_WordSection3"/>
    <w:basedOn w:val="Normln"/>
  </w:style>
  <w:style w:type="character" w:customStyle="1" w:styleId="any">
    <w:name w:val="any"/>
    <w:basedOn w:val="Standardnpsmoodstavce"/>
    <w:rPr>
      <w:sz w:val="18"/>
      <w:szCs w:val="18"/>
    </w:rPr>
  </w:style>
  <w:style w:type="table" w:customStyle="1" w:styleId="anyTable">
    <w:name w:val="any Table"/>
    <w:basedOn w:val="Normlntabulka"/>
    <w:tblPr/>
  </w:style>
  <w:style w:type="paragraph" w:styleId="Zhlav">
    <w:name w:val="header"/>
    <w:basedOn w:val="Normln"/>
    <w:link w:val="ZhlavChar"/>
    <w:uiPriority w:val="99"/>
    <w:unhideWhenUsed/>
    <w:rsid w:val="00F010B7"/>
    <w:pPr>
      <w:tabs>
        <w:tab w:val="center" w:pos="226.80pt"/>
        <w:tab w:val="end" w:pos="453.60pt"/>
      </w:tabs>
    </w:pPr>
  </w:style>
  <w:style w:type="character" w:customStyle="1" w:styleId="ZhlavChar">
    <w:name w:val="Záhlaví Char"/>
    <w:basedOn w:val="Standardnpsmoodstavce"/>
    <w:link w:val="Zhlav"/>
    <w:uiPriority w:val="99"/>
    <w:rsid w:val="00F010B7"/>
    <w:rPr>
      <w:color w:val="000000"/>
      <w:sz w:val="22"/>
      <w:szCs w:val="22"/>
    </w:rPr>
  </w:style>
  <w:style w:type="paragraph" w:styleId="Zpat">
    <w:name w:val="footer"/>
    <w:basedOn w:val="Normln"/>
    <w:link w:val="ZpatChar"/>
    <w:uiPriority w:val="99"/>
    <w:unhideWhenUsed/>
    <w:rsid w:val="00F010B7"/>
    <w:pPr>
      <w:tabs>
        <w:tab w:val="center" w:pos="226.80pt"/>
        <w:tab w:val="end" w:pos="453.60pt"/>
      </w:tabs>
    </w:pPr>
  </w:style>
  <w:style w:type="character" w:customStyle="1" w:styleId="ZpatChar">
    <w:name w:val="Zápatí Char"/>
    <w:basedOn w:val="Standardnpsmoodstavce"/>
    <w:link w:val="Zpat"/>
    <w:uiPriority w:val="99"/>
    <w:rsid w:val="00F010B7"/>
    <w:rPr>
      <w:color w:val="000000"/>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footer" Target="footer2.xml"/><Relationship Id="rId18" Type="http://purl.oclc.org/ooxml/officeDocument/relationships/header" Target="header5.xml"/><Relationship Id="rId3" Type="http://purl.oclc.org/ooxml/officeDocument/relationships/customXml" Target="../customXml/item3.xml"/><Relationship Id="rId21" Type="http://purl.oclc.org/ooxml/officeDocument/relationships/footer" Target="footer6.xml"/><Relationship Id="rId7" Type="http://purl.oclc.org/ooxml/officeDocument/relationships/webSettings" Target="webSettings.xml"/><Relationship Id="rId12" Type="http://purl.oclc.org/ooxml/officeDocument/relationships/header" Target="header2.xml"/><Relationship Id="rId17" Type="http://purl.oclc.org/ooxml/officeDocument/relationships/footer" Target="footer4.xml"/><Relationship Id="rId2" Type="http://purl.oclc.org/ooxml/officeDocument/relationships/customXml" Target="../customXml/item2.xml"/><Relationship Id="rId16" Type="http://purl.oclc.org/ooxml/officeDocument/relationships/header" Target="header4.xml"/><Relationship Id="rId20" Type="http://purl.oclc.org/ooxml/officeDocument/relationships/header" Target="header6.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5" Type="http://purl.oclc.org/ooxml/officeDocument/relationships/footer" Target="footer3.xml"/><Relationship Id="rId23" Type="http://purl.oclc.org/ooxml/officeDocument/relationships/theme" Target="theme/theme1.xml"/><Relationship Id="rId10" Type="http://purl.oclc.org/ooxml/officeDocument/relationships/header" Target="header1.xml"/><Relationship Id="rId19" Type="http://purl.oclc.org/ooxml/officeDocument/relationships/footer" Target="footer5.xml"/><Relationship Id="rId4" Type="http://purl.oclc.org/ooxml/officeDocument/relationships/numbering" Target="numbering.xml"/><Relationship Id="rId9" Type="http://purl.oclc.org/ooxml/officeDocument/relationships/endnotes" Target="endnotes.xml"/><Relationship Id="rId14" Type="http://purl.oclc.org/ooxml/officeDocument/relationships/header" Target="header3.xml"/><Relationship Id="rId22"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27a0d-4c53-4af7-b2f6-aa6fb53af47d" xsi:nil="true"/>
    <lcf76f155ced4ddcb4097134ff3c332f xmlns="c77f6ed5-b798-48fc-969d-0421d4e3bd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49EC292DC784408553BDEA584D02EA" ma:contentTypeVersion="15" ma:contentTypeDescription="Vytvoří nový dokument" ma:contentTypeScope="" ma:versionID="e5dd8fee638d7bd1399e188e4ba940d7">
  <xsd:schema xmlns:xsd="http://www.w3.org/2001/XMLSchema" xmlns:xs="http://www.w3.org/2001/XMLSchema" xmlns:p="http://schemas.microsoft.com/office/2006/metadata/properties" xmlns:ns2="c77f6ed5-b798-48fc-969d-0421d4e3bd67" xmlns:ns3="d2227a0d-4c53-4af7-b2f6-aa6fb53af47d" targetNamespace="http://schemas.microsoft.com/office/2006/metadata/properties" ma:root="true" ma:fieldsID="b7ee42699502c9484fc4378857ba85d6" ns2:_="" ns3:_="">
    <xsd:import namespace="c77f6ed5-b798-48fc-969d-0421d4e3bd67"/>
    <xsd:import namespace="d2227a0d-4c53-4af7-b2f6-aa6fb53af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f6ed5-b798-48fc-969d-0421d4e3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dd2a442-b5ac-41d7-a9d3-5c9eaa3193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27a0d-4c53-4af7-b2f6-aa6fb53af4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904fc7-09b7-49ea-a24b-bb89738dd845}" ma:internalName="TaxCatchAll" ma:showField="CatchAllData" ma:web="d2227a0d-4c53-4af7-b2f6-aa6fb53af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D024DABA-0580-417D-8E3C-F98BDED47391}">
  <ds:schemaRefs>
    <ds:schemaRef ds:uri="http://schemas.microsoft.com/sharepoint/v3/contenttype/forms"/>
  </ds:schemaRefs>
</ds:datastoreItem>
</file>

<file path=customXml/itemProps2.xml><?xml version="1.0" encoding="utf-8"?>
<ds:datastoreItem xmlns:ds="http://purl.oclc.org/ooxml/officeDocument/customXml" ds:itemID="{5A8F3E15-EB91-4B0C-B3B7-7BA6AAF0710E}">
  <ds:schemaRefs>
    <ds:schemaRef ds:uri="http://purl.org/dc/terms/"/>
    <ds:schemaRef ds:uri="c77f6ed5-b798-48fc-969d-0421d4e3bd67"/>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2227a0d-4c53-4af7-b2f6-aa6fb53af47d"/>
    <ds:schemaRef ds:uri="http://www.w3.org/XML/1998/namespace"/>
  </ds:schemaRefs>
</ds:datastoreItem>
</file>

<file path=customXml/itemProps3.xml><?xml version="1.0" encoding="utf-8"?>
<ds:datastoreItem xmlns:ds="http://purl.oclc.org/ooxml/officeDocument/customXml" ds:itemID="{E012CAAF-7436-446E-A09E-F4C29CB83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f6ed5-b798-48fc-969d-0421d4e3bd67"/>
    <ds:schemaRef ds:uri="d2227a0d-4c53-4af7-b2f6-aa6fb53af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Template>
  <TotalTime>0</TotalTime>
  <Pages>14</Pages>
  <Words>5300</Words>
  <Characters>31272</Characters>
  <Application>Microsoft Office Word</Application>
  <DocSecurity>0</DocSecurity>
  <Lines>260</Lines>
  <Paragraphs>72</Paragraphs>
  <ScaleCrop>false</ScaleCrop>
  <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Účelový úvěr</dc:title>
  <cp:lastModifiedBy>ŠTEFKOVÁ Romana</cp:lastModifiedBy>
  <cp:revision>6</cp:revision>
  <dcterms:created xsi:type="dcterms:W3CDTF">2024-11-13T13:46:00Z</dcterms:created>
  <dcterms:modified xsi:type="dcterms:W3CDTF">2024-11-14T12:30:00Z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0x0101000049EC292DC784408553BDEA584D02EA</vt:lpwstr>
  </property>
  <property fmtid="{D5CDD505-2E9C-101B-9397-08002B2CF9AE}" pid="3" name="MSIP_Label_8c6547bf-3669-44b1-9e89-321d0b86b530_Enabled">
    <vt:lpwstr>true</vt:lpwstr>
  </property>
  <property fmtid="{D5CDD505-2E9C-101B-9397-08002B2CF9AE}" pid="4" name="MSIP_Label_8c6547bf-3669-44b1-9e89-321d0b86b530_SetDate">
    <vt:lpwstr>2024-11-13T13:46:11Z</vt:lpwstr>
  </property>
  <property fmtid="{D5CDD505-2E9C-101B-9397-08002B2CF9AE}" pid="5" name="MSIP_Label_8c6547bf-3669-44b1-9e89-321d0b86b530_Method">
    <vt:lpwstr>Privileged</vt:lpwstr>
  </property>
  <property fmtid="{D5CDD505-2E9C-101B-9397-08002B2CF9AE}" pid="6" name="MSIP_Label_8c6547bf-3669-44b1-9e89-321d0b86b530_Name">
    <vt:lpwstr>8c6547bf-3669-44b1-9e89-321d0b86b530</vt:lpwstr>
  </property>
  <property fmtid="{D5CDD505-2E9C-101B-9397-08002B2CF9AE}" pid="7" name="MSIP_Label_8c6547bf-3669-44b1-9e89-321d0b86b530_SiteId">
    <vt:lpwstr>64af2aee-7d6c-49ac-a409-192d3fee73b8</vt:lpwstr>
  </property>
  <property fmtid="{D5CDD505-2E9C-101B-9397-08002B2CF9AE}" pid="8" name="MSIP_Label_8c6547bf-3669-44b1-9e89-321d0b86b530_ActionId">
    <vt:lpwstr>dc067f79-5744-48aa-bebe-6d2975ace8c9</vt:lpwstr>
  </property>
  <property fmtid="{D5CDD505-2E9C-101B-9397-08002B2CF9AE}" pid="9" name="MSIP_Label_8c6547bf-3669-44b1-9e89-321d0b86b530_ContentBits">
    <vt:lpwstr>0</vt:lpwstr>
  </property>
  <property fmtid="{D5CDD505-2E9C-101B-9397-08002B2CF9AE}" pid="10" name="MediaServiceImageTags">
    <vt:lpwstr/>
  </property>
</Properties>
</file>