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1220900041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Jablonec</w:t>
      </w:r>
      <w:r>
        <w:rPr>
          <w:spacing w:val="-7"/>
        </w:rPr>
        <w:t> </w:t>
      </w:r>
      <w:r>
        <w:rPr/>
        <w:t>nad</w:t>
      </w:r>
      <w:r>
        <w:rPr>
          <w:spacing w:val="-8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42"/>
        </w:rPr>
        <w:t> </w:t>
      </w:r>
      <w:r>
        <w:rPr/>
        <w:t>úřad</w:t>
      </w:r>
      <w:r>
        <w:rPr>
          <w:spacing w:val="43"/>
        </w:rPr>
        <w:t> </w:t>
      </w:r>
      <w:r>
        <w:rPr/>
        <w:t>Jablonec</w:t>
      </w:r>
      <w:r>
        <w:rPr>
          <w:spacing w:val="42"/>
        </w:rPr>
        <w:t> </w:t>
      </w:r>
      <w:r>
        <w:rPr/>
        <w:t>nad</w:t>
      </w:r>
      <w:r>
        <w:rPr>
          <w:spacing w:val="42"/>
        </w:rPr>
        <w:t> </w:t>
      </w:r>
      <w:r>
        <w:rPr/>
        <w:t>Jizerou,</w:t>
      </w:r>
      <w:r>
        <w:rPr>
          <w:spacing w:val="43"/>
        </w:rPr>
        <w:t> </w:t>
      </w:r>
      <w:r>
        <w:rPr/>
        <w:t>Jablonec</w:t>
      </w:r>
      <w:r>
        <w:rPr>
          <w:spacing w:val="42"/>
        </w:rPr>
        <w:t> </w:t>
      </w:r>
      <w:r>
        <w:rPr/>
        <w:t>nad</w:t>
      </w:r>
      <w:r>
        <w:rPr>
          <w:spacing w:val="43"/>
        </w:rPr>
        <w:t> </w:t>
      </w:r>
      <w:r>
        <w:rPr/>
        <w:t>Jizerou</w:t>
      </w:r>
      <w:r>
        <w:rPr>
          <w:spacing w:val="42"/>
        </w:rPr>
        <w:t> </w:t>
      </w:r>
      <w:r>
        <w:rPr/>
        <w:t>277,</w:t>
      </w:r>
      <w:r>
        <w:rPr>
          <w:spacing w:val="43"/>
        </w:rPr>
        <w:t> </w:t>
      </w:r>
      <w:r>
        <w:rPr/>
        <w:t>512</w:t>
      </w:r>
      <w:r>
        <w:rPr>
          <w:spacing w:val="43"/>
        </w:rPr>
        <w:t> </w:t>
      </w:r>
      <w:r>
        <w:rPr>
          <w:spacing w:val="-5"/>
        </w:rPr>
        <w:t>43</w:t>
      </w:r>
    </w:p>
    <w:p>
      <w:pPr>
        <w:pStyle w:val="BodyText"/>
        <w:spacing w:line="265" w:lineRule="exact"/>
        <w:ind w:left="3262"/>
      </w:pPr>
      <w:r>
        <w:rPr/>
        <w:t>Jablonec</w:t>
      </w:r>
      <w:r>
        <w:rPr>
          <w:spacing w:val="-6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00275778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14"/>
        </w:rPr>
        <w:t> </w:t>
      </w:r>
      <w:r>
        <w:rPr/>
        <w:t>Miroslavem</w:t>
      </w:r>
      <w:r>
        <w:rPr>
          <w:spacing w:val="-6"/>
        </w:rPr>
        <w:t> </w:t>
      </w:r>
      <w:r>
        <w:rPr/>
        <w:t>K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t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216581/0710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  <w:jc w:val="both"/>
      </w:pPr>
      <w:r>
        <w:rPr/>
        <w:t>„Smlouva“) se uzavírá na základě Rozhodnutí ministra životního prostředí č. 1220900041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46"/>
        <w:jc w:val="left"/>
      </w:pPr>
      <w:r>
        <w:rPr/>
        <w:t>„Oprava</w:t>
      </w:r>
      <w:r>
        <w:rPr>
          <w:spacing w:val="-5"/>
        </w:rPr>
        <w:t> </w:t>
      </w:r>
      <w:r>
        <w:rPr/>
        <w:t>úseku</w:t>
      </w:r>
      <w:r>
        <w:rPr>
          <w:spacing w:val="-6"/>
        </w:rPr>
        <w:t> </w:t>
      </w:r>
      <w:r>
        <w:rPr/>
        <w:t>cesty</w:t>
      </w:r>
      <w:r>
        <w:rPr>
          <w:spacing w:val="-5"/>
        </w:rPr>
        <w:t> </w:t>
      </w:r>
      <w:r>
        <w:rPr/>
        <w:t>Jablonec</w:t>
      </w:r>
      <w:r>
        <w:rPr>
          <w:spacing w:val="-5"/>
        </w:rPr>
        <w:t> </w:t>
      </w:r>
      <w:r>
        <w:rPr/>
        <w:t>nad</w:t>
      </w:r>
      <w:r>
        <w:rPr>
          <w:spacing w:val="-7"/>
        </w:rPr>
        <w:t> </w:t>
      </w:r>
      <w:r>
        <w:rPr/>
        <w:t>Jizerou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Kamenec“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621 961,15 Kč </w:t>
      </w:r>
      <w:r>
        <w:rPr>
          <w:sz w:val="20"/>
        </w:rPr>
        <w:t>(slovy: šest set dvacet jedna tisíc devět set šedesát jedna korun českých a patnáct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731 719,00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2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</w:pPr>
      <w:r>
        <w:rPr>
          <w:spacing w:val="-2"/>
        </w:rPr>
        <w:t>Výzvy.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  <w:jc w:val="both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prováděcí</w:t>
      </w:r>
      <w:r>
        <w:rPr>
          <w:spacing w:val="-6"/>
          <w:sz w:val="20"/>
        </w:rPr>
        <w:t> </w:t>
      </w:r>
      <w:r>
        <w:rPr>
          <w:sz w:val="20"/>
        </w:rPr>
        <w:t>dokumentace</w:t>
      </w:r>
      <w:r>
        <w:rPr>
          <w:spacing w:val="-6"/>
          <w:sz w:val="20"/>
        </w:rPr>
        <w:t> </w:t>
      </w:r>
      <w:r>
        <w:rPr>
          <w:sz w:val="20"/>
        </w:rPr>
        <w:t>"Oprava</w:t>
      </w:r>
      <w:r>
        <w:rPr>
          <w:spacing w:val="-7"/>
          <w:sz w:val="20"/>
        </w:rPr>
        <w:t> </w:t>
      </w:r>
      <w:r>
        <w:rPr>
          <w:sz w:val="20"/>
        </w:rPr>
        <w:t>úseku</w:t>
      </w:r>
      <w:r>
        <w:rPr>
          <w:spacing w:val="-5"/>
          <w:sz w:val="20"/>
        </w:rPr>
        <w:t> </w:t>
      </w:r>
      <w:r>
        <w:rPr>
          <w:sz w:val="20"/>
        </w:rPr>
        <w:t>cesty</w:t>
      </w:r>
      <w:r>
        <w:rPr>
          <w:spacing w:val="-6"/>
          <w:sz w:val="20"/>
        </w:rPr>
        <w:t> </w:t>
      </w:r>
      <w:r>
        <w:rPr>
          <w:sz w:val="20"/>
        </w:rPr>
        <w:t>Jablonec</w:t>
      </w:r>
      <w:r>
        <w:rPr>
          <w:spacing w:val="-7"/>
          <w:sz w:val="20"/>
        </w:rPr>
        <w:t> </w:t>
      </w:r>
      <w:r>
        <w:rPr>
          <w:sz w:val="20"/>
        </w:rPr>
        <w:t>nad</w:t>
      </w:r>
      <w:r>
        <w:rPr>
          <w:spacing w:val="-6"/>
          <w:sz w:val="20"/>
        </w:rPr>
        <w:t> </w:t>
      </w:r>
      <w:r>
        <w:rPr>
          <w:sz w:val="20"/>
        </w:rPr>
        <w:t>Jizerou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-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</w:pPr>
      <w:r>
        <w:rPr/>
        <w:t>Kamenec",</w:t>
      </w:r>
      <w:r>
        <w:rPr>
          <w:spacing w:val="-11"/>
        </w:rPr>
        <w:t> </w:t>
      </w:r>
      <w:r>
        <w:rPr/>
        <w:t>zpracované</w:t>
      </w:r>
      <w:r>
        <w:rPr>
          <w:spacing w:val="-11"/>
        </w:rPr>
        <w:t> </w:t>
      </w:r>
      <w:r>
        <w:rPr/>
        <w:t>Ing.</w:t>
      </w:r>
      <w:r>
        <w:rPr>
          <w:spacing w:val="-6"/>
        </w:rPr>
        <w:t> </w:t>
      </w:r>
      <w:r>
        <w:rPr/>
        <w:t>Miroslavem</w:t>
      </w:r>
      <w:r>
        <w:rPr>
          <w:spacing w:val="-9"/>
        </w:rPr>
        <w:t> </w:t>
      </w:r>
      <w:r>
        <w:rPr/>
        <w:t>Kubátem</w:t>
      </w:r>
      <w:r>
        <w:rPr>
          <w:spacing w:val="-8"/>
        </w:rPr>
        <w:t> </w:t>
      </w:r>
      <w:r>
        <w:rPr>
          <w:spacing w:val="-2"/>
        </w:rPr>
        <w:t>(01/2023),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6"/>
          <w:sz w:val="20"/>
        </w:rPr>
        <w:t> </w:t>
      </w:r>
      <w:r>
        <w:rPr>
          <w:sz w:val="20"/>
        </w:rPr>
        <w:t>rekonstrukci</w:t>
      </w:r>
      <w:r>
        <w:rPr>
          <w:spacing w:val="-6"/>
          <w:sz w:val="20"/>
        </w:rPr>
        <w:t> </w:t>
      </w:r>
      <w:r>
        <w:rPr>
          <w:sz w:val="20"/>
        </w:rPr>
        <w:t>komunikace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městě</w:t>
      </w:r>
      <w:r>
        <w:rPr>
          <w:spacing w:val="-6"/>
          <w:sz w:val="20"/>
        </w:rPr>
        <w:t> </w:t>
      </w:r>
      <w:r>
        <w:rPr>
          <w:sz w:val="20"/>
        </w:rPr>
        <w:t>Jablonec</w:t>
      </w:r>
      <w:r>
        <w:rPr>
          <w:spacing w:val="-6"/>
          <w:sz w:val="20"/>
        </w:rPr>
        <w:t> </w:t>
      </w:r>
      <w:r>
        <w:rPr>
          <w:sz w:val="20"/>
        </w:rPr>
        <w:t>nad</w:t>
      </w:r>
      <w:r>
        <w:rPr>
          <w:spacing w:val="-6"/>
          <w:sz w:val="20"/>
        </w:rPr>
        <w:t> </w:t>
      </w:r>
      <w:r>
        <w:rPr>
          <w:sz w:val="20"/>
        </w:rPr>
        <w:t>Jizerou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290</w:t>
      </w:r>
      <w:r>
        <w:rPr>
          <w:spacing w:val="-5"/>
          <w:sz w:val="20"/>
        </w:rPr>
        <w:t> bm,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626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 se</w:t>
      </w:r>
      <w:r>
        <w:rPr>
          <w:spacing w:val="-5"/>
          <w:sz w:val="20"/>
        </w:rPr>
        <w:t> </w:t>
      </w:r>
      <w:r>
        <w:rPr>
          <w:sz w:val="20"/>
        </w:rPr>
        <w:t>jedná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projekt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4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5.5.A</w:t>
      </w:r>
      <w:r>
        <w:rPr>
          <w:spacing w:val="-2"/>
          <w:sz w:val="20"/>
        </w:rPr>
        <w:t> </w:t>
      </w:r>
      <w:r>
        <w:rPr>
          <w:sz w:val="20"/>
        </w:rPr>
        <w:t>Výzvy) 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na pozemcích ve vlastnictví příjemce podpory, popřípadě na pozemcích, jejichž vlastník vyslovil souhlas s realizací akce a zajištěním udržitelnosti akce (včetně následné péče a údržby</w:t>
      </w:r>
    </w:p>
    <w:p>
      <w:pPr>
        <w:pStyle w:val="BodyText"/>
        <w:spacing w:before="1"/>
        <w:ind w:left="1063" w:right="946"/>
      </w:pPr>
      <w:r>
        <w:rPr/>
        <w:t>realizovaného</w:t>
      </w:r>
      <w:r>
        <w:rPr>
          <w:spacing w:val="-2"/>
        </w:rPr>
        <w:t> </w:t>
      </w:r>
      <w:r>
        <w:rPr/>
        <w:t>opatření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provádění</w:t>
      </w:r>
      <w:r>
        <w:rPr>
          <w:spacing w:val="-4"/>
        </w:rPr>
        <w:t> </w:t>
      </w:r>
      <w:r>
        <w:rPr/>
        <w:t>kontroly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písm.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/>
        <w:t>odrážky</w:t>
      </w:r>
      <w:r>
        <w:rPr>
          <w:spacing w:val="-3"/>
        </w:rPr>
        <w:t> </w:t>
      </w:r>
      <w:r>
        <w:rPr/>
        <w:t>páté)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let od</w:t>
      </w:r>
      <w:r>
        <w:rPr>
          <w:spacing w:val="-7"/>
        </w:rPr>
        <w:t> </w:t>
      </w:r>
      <w:r>
        <w:rPr/>
        <w:t>ukončení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/>
        <w:t>akce</w:t>
      </w:r>
      <w:r>
        <w:rPr>
          <w:spacing w:val="-5"/>
        </w:rPr>
        <w:t> </w:t>
      </w:r>
      <w:r>
        <w:rPr/>
        <w:t>(příslušné</w:t>
      </w:r>
      <w:r>
        <w:rPr>
          <w:spacing w:val="-7"/>
        </w:rPr>
        <w:t> </w:t>
      </w:r>
      <w:r>
        <w:rPr/>
        <w:t>doklady</w:t>
      </w:r>
      <w:r>
        <w:rPr>
          <w:spacing w:val="-7"/>
        </w:rPr>
        <w:t> </w:t>
      </w:r>
      <w:r>
        <w:rPr/>
        <w:t>byly</w:t>
      </w:r>
      <w:r>
        <w:rPr>
          <w:spacing w:val="-7"/>
        </w:rPr>
        <w:t> </w:t>
      </w:r>
      <w:r>
        <w:rPr/>
        <w:t>příjemcem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>
          <w:spacing w:val="-2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  <w:jc w:val="both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09/2024,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01/2025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1"/>
        <w:ind w:left="665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plnění</w:t>
      </w:r>
      <w:r>
        <w:rPr>
          <w:spacing w:val="25"/>
        </w:rPr>
        <w:t> </w:t>
      </w:r>
      <w:r>
        <w:rPr/>
        <w:t>podmínek</w:t>
      </w:r>
      <w:r>
        <w:rPr>
          <w:spacing w:val="24"/>
        </w:rPr>
        <w:t> </w:t>
      </w:r>
      <w:r>
        <w:rPr/>
        <w:t>této</w:t>
      </w:r>
      <w:r>
        <w:rPr>
          <w:spacing w:val="25"/>
        </w:rPr>
        <w:t> </w:t>
      </w:r>
      <w:r>
        <w:rPr/>
        <w:t>Smlouvy</w:t>
      </w:r>
      <w:r>
        <w:rPr>
          <w:spacing w:val="25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případě,</w:t>
      </w:r>
      <w:r>
        <w:rPr>
          <w:spacing w:val="24"/>
        </w:rPr>
        <w:t> </w:t>
      </w:r>
      <w:r>
        <w:rPr/>
        <w:t>že</w:t>
      </w:r>
      <w:r>
        <w:rPr>
          <w:spacing w:val="24"/>
        </w:rPr>
        <w:t> </w:t>
      </w:r>
      <w:r>
        <w:rPr/>
        <w:t>příjemce</w:t>
      </w:r>
      <w:r>
        <w:rPr>
          <w:spacing w:val="26"/>
        </w:rPr>
        <w:t> </w:t>
      </w:r>
      <w:r>
        <w:rPr/>
        <w:t>podpory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v </w:t>
      </w:r>
      <w:r>
        <w:rPr>
          <w:spacing w:val="-2"/>
        </w:rPr>
        <w:t>prodlení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13"/>
        <w:jc w:val="both"/>
      </w:pP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spacing w:before="73"/>
        <w:ind w:left="38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21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2024-11-28T13:37:53Z</dcterms:created>
  <dcterms:modified xsi:type="dcterms:W3CDTF">2024-11-28T13:37:53Z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2024-11-28T00:00:00Z</vt:filetime>
  </property>
</Properties>
</file>