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B120C" w14:textId="77777777" w:rsidR="00251E97" w:rsidRDefault="00B338AE">
      <w:pPr>
        <w:widowControl/>
        <w:pBdr>
          <w:top w:val="nil"/>
          <w:left w:val="nil"/>
          <w:bottom w:val="nil"/>
          <w:right w:val="nil"/>
          <w:between w:val="nil"/>
        </w:pBdr>
        <w:tabs>
          <w:tab w:val="left" w:pos="6902"/>
        </w:tabs>
        <w:jc w:val="center"/>
        <w:rPr>
          <w:rFonts w:ascii="Arial" w:eastAsia="Arial" w:hAnsi="Arial" w:cs="Arial"/>
          <w:b/>
          <w:color w:val="000000"/>
          <w:sz w:val="36"/>
          <w:szCs w:val="36"/>
        </w:rPr>
      </w:pPr>
      <w:r>
        <w:rPr>
          <w:rFonts w:ascii="Arial" w:eastAsia="Arial" w:hAnsi="Arial" w:cs="Arial"/>
          <w:b/>
          <w:sz w:val="36"/>
          <w:szCs w:val="36"/>
        </w:rPr>
        <w:t>Rámcová smlouva o spolupráci</w:t>
      </w:r>
    </w:p>
    <w:p w14:paraId="7987D99C" w14:textId="77777777" w:rsidR="00251E97" w:rsidRDefault="00251E97">
      <w:pPr>
        <w:pBdr>
          <w:top w:val="nil"/>
          <w:left w:val="nil"/>
          <w:bottom w:val="nil"/>
          <w:right w:val="nil"/>
          <w:between w:val="nil"/>
        </w:pBdr>
        <w:jc w:val="both"/>
        <w:rPr>
          <w:rFonts w:ascii="Arial" w:eastAsia="Arial" w:hAnsi="Arial" w:cs="Arial"/>
          <w:b/>
          <w:color w:val="000000"/>
          <w:sz w:val="24"/>
          <w:szCs w:val="24"/>
        </w:rPr>
      </w:pPr>
    </w:p>
    <w:p w14:paraId="6BB44083" w14:textId="77777777" w:rsidR="00251E97" w:rsidRDefault="00B338AE">
      <w:pPr>
        <w:pBdr>
          <w:top w:val="nil"/>
          <w:left w:val="nil"/>
          <w:bottom w:val="nil"/>
          <w:right w:val="nil"/>
          <w:between w:val="nil"/>
        </w:pBdr>
        <w:jc w:val="both"/>
        <w:rPr>
          <w:rFonts w:ascii="Arial" w:eastAsia="Arial" w:hAnsi="Arial" w:cs="Arial"/>
          <w:b/>
          <w:color w:val="000000"/>
          <w:sz w:val="28"/>
          <w:szCs w:val="28"/>
        </w:rPr>
      </w:pPr>
      <w:r>
        <w:rPr>
          <w:rFonts w:ascii="Arial" w:eastAsia="Arial" w:hAnsi="Arial" w:cs="Arial"/>
          <w:b/>
          <w:color w:val="000000"/>
          <w:sz w:val="28"/>
          <w:szCs w:val="28"/>
        </w:rPr>
        <w:t>Smluvní strany:</w:t>
      </w:r>
    </w:p>
    <w:p w14:paraId="7D1BD1C1" w14:textId="77777777" w:rsidR="00251E97" w:rsidRDefault="00251E97">
      <w:pPr>
        <w:pBdr>
          <w:top w:val="nil"/>
          <w:left w:val="nil"/>
          <w:bottom w:val="nil"/>
          <w:right w:val="nil"/>
          <w:between w:val="nil"/>
        </w:pBdr>
        <w:jc w:val="both"/>
        <w:rPr>
          <w:rFonts w:ascii="Arial" w:eastAsia="Arial" w:hAnsi="Arial" w:cs="Arial"/>
          <w:b/>
          <w:color w:val="000000"/>
          <w:sz w:val="24"/>
          <w:szCs w:val="24"/>
        </w:rPr>
      </w:pPr>
    </w:p>
    <w:tbl>
      <w:tblPr>
        <w:tblStyle w:val="a"/>
        <w:tblW w:w="9600" w:type="dxa"/>
        <w:tblInd w:w="-108" w:type="dxa"/>
        <w:tblLayout w:type="fixed"/>
        <w:tblLook w:val="0400" w:firstRow="0" w:lastRow="0" w:firstColumn="0" w:lastColumn="0" w:noHBand="0" w:noVBand="1"/>
      </w:tblPr>
      <w:tblGrid>
        <w:gridCol w:w="2045"/>
        <w:gridCol w:w="7555"/>
      </w:tblGrid>
      <w:tr w:rsidR="00251E97" w14:paraId="65070F9A" w14:textId="77777777" w:rsidTr="002367EB">
        <w:trPr>
          <w:trHeight w:val="360"/>
        </w:trPr>
        <w:tc>
          <w:tcPr>
            <w:tcW w:w="9600" w:type="dxa"/>
            <w:gridSpan w:val="2"/>
            <w:shd w:val="clear" w:color="auto" w:fill="auto"/>
            <w:tcMar>
              <w:top w:w="0" w:type="dxa"/>
              <w:left w:w="108" w:type="dxa"/>
              <w:bottom w:w="0" w:type="dxa"/>
              <w:right w:w="108" w:type="dxa"/>
            </w:tcMar>
          </w:tcPr>
          <w:p w14:paraId="4D69A24A" w14:textId="77777777" w:rsidR="00FC3BE9" w:rsidRDefault="00FC3BE9">
            <w:pPr>
              <w:spacing w:before="60" w:after="60"/>
              <w:jc w:val="both"/>
              <w:rPr>
                <w:rFonts w:ascii="Arial" w:eastAsia="Arial" w:hAnsi="Arial" w:cs="Arial"/>
                <w:b/>
                <w:sz w:val="24"/>
                <w:szCs w:val="24"/>
              </w:rPr>
            </w:pPr>
            <w:r w:rsidRPr="00FC3BE9">
              <w:rPr>
                <w:rFonts w:ascii="Arial" w:eastAsia="Arial" w:hAnsi="Arial" w:cs="Arial"/>
                <w:b/>
                <w:sz w:val="24"/>
                <w:szCs w:val="24"/>
              </w:rPr>
              <w:t>Fakultní Thomayerova nemocnice</w:t>
            </w:r>
          </w:p>
          <w:p w14:paraId="376DD130" w14:textId="77777777" w:rsidR="00FC3BE9" w:rsidRDefault="00FC3BE9">
            <w:pPr>
              <w:spacing w:before="60" w:after="60"/>
              <w:jc w:val="both"/>
              <w:rPr>
                <w:rFonts w:ascii="Arial" w:eastAsia="Arial" w:hAnsi="Arial" w:cs="Arial"/>
                <w:bCs/>
                <w:sz w:val="22"/>
                <w:szCs w:val="22"/>
              </w:rPr>
            </w:pPr>
            <w:proofErr w:type="gramStart"/>
            <w:r>
              <w:rPr>
                <w:rFonts w:ascii="Arial" w:eastAsia="Arial" w:hAnsi="Arial" w:cs="Arial"/>
                <w:bCs/>
                <w:sz w:val="22"/>
                <w:szCs w:val="22"/>
              </w:rPr>
              <w:t xml:space="preserve">Sídlo:   </w:t>
            </w:r>
            <w:proofErr w:type="gramEnd"/>
            <w:r>
              <w:rPr>
                <w:rFonts w:ascii="Arial" w:eastAsia="Arial" w:hAnsi="Arial" w:cs="Arial"/>
                <w:bCs/>
                <w:sz w:val="22"/>
                <w:szCs w:val="22"/>
              </w:rPr>
              <w:t xml:space="preserve">                    Vídeňská 800, 140 59  Praha 4</w:t>
            </w:r>
          </w:p>
          <w:p w14:paraId="79AA3D64" w14:textId="77777777" w:rsidR="00FC3BE9" w:rsidRDefault="00FC3BE9">
            <w:pPr>
              <w:spacing w:before="60" w:after="60"/>
              <w:jc w:val="both"/>
              <w:rPr>
                <w:rFonts w:ascii="Arial" w:eastAsia="Arial" w:hAnsi="Arial" w:cs="Arial"/>
                <w:bCs/>
                <w:sz w:val="22"/>
                <w:szCs w:val="22"/>
              </w:rPr>
            </w:pPr>
            <w:proofErr w:type="gramStart"/>
            <w:r>
              <w:rPr>
                <w:rFonts w:ascii="Arial" w:eastAsia="Arial" w:hAnsi="Arial" w:cs="Arial"/>
                <w:bCs/>
                <w:sz w:val="22"/>
                <w:szCs w:val="22"/>
              </w:rPr>
              <w:t xml:space="preserve">Zastoupená:   </w:t>
            </w:r>
            <w:proofErr w:type="gramEnd"/>
            <w:r>
              <w:rPr>
                <w:rFonts w:ascii="Arial" w:eastAsia="Arial" w:hAnsi="Arial" w:cs="Arial"/>
                <w:bCs/>
                <w:sz w:val="22"/>
                <w:szCs w:val="22"/>
              </w:rPr>
              <w:t xml:space="preserve">         doc. MUDr. Zdeněk Beneš, CSc., ředitel</w:t>
            </w:r>
          </w:p>
          <w:p w14:paraId="3426BD02" w14:textId="77777777" w:rsidR="00FC3BE9" w:rsidRDefault="00FC3BE9">
            <w:pPr>
              <w:spacing w:before="60" w:after="60"/>
              <w:jc w:val="both"/>
              <w:rPr>
                <w:rFonts w:ascii="Arial" w:eastAsia="Arial" w:hAnsi="Arial" w:cs="Arial"/>
                <w:bCs/>
                <w:sz w:val="22"/>
                <w:szCs w:val="22"/>
              </w:rPr>
            </w:pPr>
            <w:proofErr w:type="gramStart"/>
            <w:r>
              <w:rPr>
                <w:rFonts w:ascii="Arial" w:eastAsia="Arial" w:hAnsi="Arial" w:cs="Arial"/>
                <w:bCs/>
                <w:sz w:val="22"/>
                <w:szCs w:val="22"/>
              </w:rPr>
              <w:t xml:space="preserve">DIČ:   </w:t>
            </w:r>
            <w:proofErr w:type="gramEnd"/>
            <w:r>
              <w:rPr>
                <w:rFonts w:ascii="Arial" w:eastAsia="Arial" w:hAnsi="Arial" w:cs="Arial"/>
                <w:bCs/>
                <w:sz w:val="22"/>
                <w:szCs w:val="22"/>
              </w:rPr>
              <w:t xml:space="preserve">                      CZ00064190</w:t>
            </w:r>
          </w:p>
          <w:p w14:paraId="2F4AD62C" w14:textId="2AD13F77" w:rsidR="00FC3BE9" w:rsidRPr="00FC3BE9" w:rsidRDefault="00FC3BE9">
            <w:pPr>
              <w:spacing w:before="60" w:after="60"/>
              <w:jc w:val="both"/>
              <w:rPr>
                <w:rFonts w:ascii="Arial" w:eastAsia="Arial" w:hAnsi="Arial" w:cs="Arial"/>
                <w:bCs/>
                <w:sz w:val="22"/>
                <w:szCs w:val="22"/>
              </w:rPr>
            </w:pPr>
            <w:proofErr w:type="gramStart"/>
            <w:r>
              <w:rPr>
                <w:rFonts w:ascii="Arial" w:eastAsia="Arial" w:hAnsi="Arial" w:cs="Arial"/>
                <w:bCs/>
                <w:sz w:val="22"/>
                <w:szCs w:val="22"/>
              </w:rPr>
              <w:t xml:space="preserve">IČ:   </w:t>
            </w:r>
            <w:proofErr w:type="gramEnd"/>
            <w:r>
              <w:rPr>
                <w:rFonts w:ascii="Arial" w:eastAsia="Arial" w:hAnsi="Arial" w:cs="Arial"/>
                <w:bCs/>
                <w:sz w:val="22"/>
                <w:szCs w:val="22"/>
              </w:rPr>
              <w:t xml:space="preserve">                         00064190</w:t>
            </w:r>
          </w:p>
        </w:tc>
      </w:tr>
      <w:tr w:rsidR="00251E97" w14:paraId="09267E4C" w14:textId="77777777" w:rsidTr="002367EB">
        <w:tc>
          <w:tcPr>
            <w:tcW w:w="2045" w:type="dxa"/>
            <w:shd w:val="clear" w:color="auto" w:fill="auto"/>
            <w:tcMar>
              <w:top w:w="0" w:type="dxa"/>
              <w:left w:w="108" w:type="dxa"/>
              <w:bottom w:w="0" w:type="dxa"/>
              <w:right w:w="108" w:type="dxa"/>
            </w:tcMar>
          </w:tcPr>
          <w:p w14:paraId="5AEE7AEF" w14:textId="47BF9B55" w:rsidR="00251E97" w:rsidRDefault="00FC3BE9">
            <w:pPr>
              <w:widowControl/>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Číslo účtu:</w:t>
            </w:r>
          </w:p>
        </w:tc>
        <w:tc>
          <w:tcPr>
            <w:tcW w:w="7555" w:type="dxa"/>
            <w:shd w:val="clear" w:color="auto" w:fill="auto"/>
            <w:tcMar>
              <w:top w:w="0" w:type="dxa"/>
              <w:left w:w="108" w:type="dxa"/>
              <w:bottom w:w="0" w:type="dxa"/>
              <w:right w:w="108" w:type="dxa"/>
            </w:tcMar>
          </w:tcPr>
          <w:p w14:paraId="31684B88" w14:textId="169C2EC8" w:rsidR="00FC3BE9" w:rsidRDefault="00F01747">
            <w:pPr>
              <w:widowControl/>
              <w:pBdr>
                <w:top w:val="nil"/>
                <w:left w:val="nil"/>
                <w:bottom w:val="nil"/>
                <w:right w:val="nil"/>
                <w:between w:val="nil"/>
              </w:pBdr>
              <w:spacing w:before="60" w:after="60"/>
              <w:jc w:val="both"/>
              <w:rPr>
                <w:rFonts w:ascii="Arial" w:eastAsia="Arial" w:hAnsi="Arial" w:cs="Arial"/>
                <w:sz w:val="22"/>
                <w:szCs w:val="22"/>
              </w:rPr>
            </w:pPr>
            <w:r>
              <w:rPr>
                <w:rFonts w:ascii="Arial" w:eastAsia="Arial" w:hAnsi="Arial" w:cs="Arial"/>
                <w:sz w:val="22"/>
                <w:szCs w:val="22"/>
              </w:rPr>
              <w:t>XXX</w:t>
            </w:r>
          </w:p>
        </w:tc>
      </w:tr>
      <w:tr w:rsidR="00251E97" w14:paraId="20266170" w14:textId="77777777" w:rsidTr="002367EB">
        <w:tc>
          <w:tcPr>
            <w:tcW w:w="9600" w:type="dxa"/>
            <w:gridSpan w:val="2"/>
            <w:shd w:val="clear" w:color="auto" w:fill="auto"/>
            <w:tcMar>
              <w:top w:w="0" w:type="dxa"/>
              <w:left w:w="108" w:type="dxa"/>
              <w:bottom w:w="0" w:type="dxa"/>
              <w:right w:w="108" w:type="dxa"/>
            </w:tcMar>
          </w:tcPr>
          <w:p w14:paraId="24C7CD94" w14:textId="5BB1B28A" w:rsidR="00251E97" w:rsidRDefault="00FC3BE9">
            <w:pPr>
              <w:widowControl/>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color w:val="000000"/>
                <w:sz w:val="22"/>
                <w:szCs w:val="22"/>
              </w:rPr>
              <w:t xml:space="preserve">Státní příspěvková organizace zřízená Ministerstvem zdravotnictví ČR, zapsaná v obchodním rejstříku u Městského soudu v Praze, oddíl </w:t>
            </w:r>
            <w:proofErr w:type="spellStart"/>
            <w:r>
              <w:rPr>
                <w:rFonts w:ascii="Arial" w:eastAsia="Arial" w:hAnsi="Arial" w:cs="Arial"/>
                <w:color w:val="000000"/>
                <w:sz w:val="22"/>
                <w:szCs w:val="22"/>
              </w:rPr>
              <w:t>Pr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vl</w:t>
            </w:r>
            <w:proofErr w:type="spellEnd"/>
            <w:r>
              <w:rPr>
                <w:rFonts w:ascii="Arial" w:eastAsia="Arial" w:hAnsi="Arial" w:cs="Arial"/>
                <w:color w:val="000000"/>
                <w:sz w:val="22"/>
                <w:szCs w:val="22"/>
              </w:rPr>
              <w:t>. 1043</w:t>
            </w:r>
          </w:p>
        </w:tc>
      </w:tr>
      <w:tr w:rsidR="00251E97" w14:paraId="73258259" w14:textId="77777777" w:rsidTr="002367EB">
        <w:tc>
          <w:tcPr>
            <w:tcW w:w="2045" w:type="dxa"/>
            <w:shd w:val="clear" w:color="auto" w:fill="auto"/>
            <w:tcMar>
              <w:top w:w="0" w:type="dxa"/>
              <w:left w:w="108" w:type="dxa"/>
              <w:bottom w:w="0" w:type="dxa"/>
              <w:right w:w="108" w:type="dxa"/>
            </w:tcMar>
          </w:tcPr>
          <w:p w14:paraId="7B74C1C7" w14:textId="08282BF2" w:rsidR="00251E97" w:rsidRDefault="00FC3BE9">
            <w:pPr>
              <w:widowControl/>
              <w:pBdr>
                <w:top w:val="nil"/>
                <w:left w:val="nil"/>
                <w:bottom w:val="nil"/>
                <w:right w:val="nil"/>
                <w:between w:val="nil"/>
              </w:pBdr>
              <w:spacing w:before="60" w:after="60"/>
              <w:jc w:val="both"/>
              <w:rPr>
                <w:rFonts w:ascii="Arial" w:eastAsia="Arial" w:hAnsi="Arial" w:cs="Arial"/>
                <w:color w:val="000000"/>
                <w:sz w:val="22"/>
                <w:szCs w:val="22"/>
              </w:rPr>
            </w:pPr>
            <w:r>
              <w:rPr>
                <w:rFonts w:ascii="Arial" w:eastAsia="Arial" w:hAnsi="Arial" w:cs="Arial"/>
                <w:sz w:val="22"/>
                <w:szCs w:val="22"/>
              </w:rPr>
              <w:t>Vyřizuje:</w:t>
            </w:r>
          </w:p>
        </w:tc>
        <w:tc>
          <w:tcPr>
            <w:tcW w:w="7555" w:type="dxa"/>
            <w:shd w:val="clear" w:color="auto" w:fill="auto"/>
            <w:tcMar>
              <w:top w:w="0" w:type="dxa"/>
              <w:left w:w="108" w:type="dxa"/>
              <w:bottom w:w="0" w:type="dxa"/>
              <w:right w:w="108" w:type="dxa"/>
            </w:tcMar>
          </w:tcPr>
          <w:p w14:paraId="493AE30F" w14:textId="65471AA6" w:rsidR="00FC3BE9" w:rsidRDefault="00F01747">
            <w:pPr>
              <w:widowControl/>
              <w:spacing w:before="60" w:after="60"/>
              <w:jc w:val="both"/>
              <w:rPr>
                <w:rFonts w:ascii="Arial" w:eastAsia="Arial" w:hAnsi="Arial" w:cs="Arial"/>
                <w:sz w:val="22"/>
                <w:szCs w:val="22"/>
              </w:rPr>
            </w:pPr>
            <w:r>
              <w:rPr>
                <w:rFonts w:ascii="Arial" w:eastAsia="Arial" w:hAnsi="Arial" w:cs="Arial"/>
                <w:sz w:val="22"/>
                <w:szCs w:val="22"/>
              </w:rPr>
              <w:t xml:space="preserve">OU </w:t>
            </w:r>
            <w:proofErr w:type="spellStart"/>
            <w:r>
              <w:rPr>
                <w:rFonts w:ascii="Arial" w:eastAsia="Arial" w:hAnsi="Arial" w:cs="Arial"/>
                <w:sz w:val="22"/>
                <w:szCs w:val="22"/>
              </w:rPr>
              <w:t>OU</w:t>
            </w:r>
            <w:proofErr w:type="spellEnd"/>
          </w:p>
        </w:tc>
      </w:tr>
    </w:tbl>
    <w:p w14:paraId="465FF59A" w14:textId="73D63E0C" w:rsidR="002367EB" w:rsidRDefault="002367EB" w:rsidP="002367EB">
      <w:pPr>
        <w:widowControl/>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Telefon:</w:t>
      </w:r>
      <w:r>
        <w:rPr>
          <w:rFonts w:ascii="Arial" w:eastAsia="Arial" w:hAnsi="Arial" w:cs="Arial"/>
          <w:color w:val="000000"/>
          <w:sz w:val="22"/>
          <w:szCs w:val="22"/>
        </w:rPr>
        <w:tab/>
      </w:r>
    </w:p>
    <w:p w14:paraId="15506C27" w14:textId="7D175A33" w:rsidR="002367EB" w:rsidRDefault="002367EB" w:rsidP="002367EB">
      <w:pPr>
        <w:widowControl/>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E-mail:            </w:t>
      </w:r>
      <w:r>
        <w:rPr>
          <w:rFonts w:ascii="Arial" w:eastAsia="Arial" w:hAnsi="Arial" w:cs="Arial"/>
          <w:color w:val="000000"/>
          <w:sz w:val="22"/>
          <w:szCs w:val="22"/>
        </w:rPr>
        <w:tab/>
      </w:r>
    </w:p>
    <w:p w14:paraId="31959B92" w14:textId="77777777" w:rsidR="002367EB" w:rsidRDefault="002367EB">
      <w:pPr>
        <w:widowControl/>
        <w:pBdr>
          <w:top w:val="nil"/>
          <w:left w:val="nil"/>
          <w:bottom w:val="nil"/>
          <w:right w:val="nil"/>
          <w:between w:val="nil"/>
        </w:pBdr>
        <w:ind w:left="142"/>
        <w:jc w:val="both"/>
        <w:rPr>
          <w:rFonts w:ascii="Arial" w:eastAsia="Arial" w:hAnsi="Arial" w:cs="Arial"/>
          <w:color w:val="000000"/>
          <w:sz w:val="22"/>
          <w:szCs w:val="22"/>
        </w:rPr>
      </w:pPr>
    </w:p>
    <w:p w14:paraId="073D9F2E" w14:textId="537E0049" w:rsidR="00251E97" w:rsidRDefault="00B338AE">
      <w:pPr>
        <w:widowControl/>
        <w:pBdr>
          <w:top w:val="nil"/>
          <w:left w:val="nil"/>
          <w:bottom w:val="nil"/>
          <w:right w:val="nil"/>
          <w:between w:val="nil"/>
        </w:pBdr>
        <w:ind w:left="142"/>
        <w:jc w:val="both"/>
        <w:rPr>
          <w:rFonts w:ascii="Arial" w:eastAsia="Arial" w:hAnsi="Arial" w:cs="Arial"/>
          <w:color w:val="000000"/>
          <w:sz w:val="22"/>
          <w:szCs w:val="22"/>
        </w:rPr>
      </w:pPr>
      <w:r>
        <w:rPr>
          <w:rFonts w:ascii="Arial" w:eastAsia="Arial" w:hAnsi="Arial" w:cs="Arial"/>
          <w:color w:val="000000"/>
          <w:sz w:val="22"/>
          <w:szCs w:val="22"/>
        </w:rPr>
        <w:t>(dále jen „Objednatel“)</w:t>
      </w:r>
    </w:p>
    <w:p w14:paraId="62104C20" w14:textId="77777777" w:rsidR="00251E97" w:rsidRDefault="00251E97">
      <w:pPr>
        <w:widowControl/>
        <w:pBdr>
          <w:top w:val="nil"/>
          <w:left w:val="nil"/>
          <w:bottom w:val="nil"/>
          <w:right w:val="nil"/>
          <w:between w:val="nil"/>
        </w:pBdr>
        <w:jc w:val="both"/>
        <w:rPr>
          <w:rFonts w:ascii="Arial" w:eastAsia="Arial" w:hAnsi="Arial" w:cs="Arial"/>
          <w:color w:val="000000"/>
          <w:sz w:val="22"/>
          <w:szCs w:val="22"/>
        </w:rPr>
      </w:pPr>
    </w:p>
    <w:p w14:paraId="26454C1B" w14:textId="77777777" w:rsidR="00251E97" w:rsidRDefault="00B338AE">
      <w:pPr>
        <w:widowControl/>
        <w:pBdr>
          <w:top w:val="nil"/>
          <w:left w:val="nil"/>
          <w:bottom w:val="nil"/>
          <w:right w:val="nil"/>
          <w:between w:val="nil"/>
        </w:pBdr>
        <w:ind w:left="142"/>
        <w:jc w:val="both"/>
        <w:rPr>
          <w:rFonts w:ascii="Arial" w:eastAsia="Arial" w:hAnsi="Arial" w:cs="Arial"/>
          <w:color w:val="000000"/>
          <w:sz w:val="22"/>
          <w:szCs w:val="22"/>
        </w:rPr>
      </w:pPr>
      <w:r>
        <w:rPr>
          <w:rFonts w:ascii="Arial" w:eastAsia="Arial" w:hAnsi="Arial" w:cs="Arial"/>
          <w:color w:val="000000"/>
          <w:sz w:val="22"/>
          <w:szCs w:val="22"/>
        </w:rPr>
        <w:t>a</w:t>
      </w:r>
    </w:p>
    <w:p w14:paraId="4B85718A" w14:textId="77777777" w:rsidR="00251E97" w:rsidRDefault="00251E97">
      <w:pPr>
        <w:widowControl/>
        <w:pBdr>
          <w:top w:val="nil"/>
          <w:left w:val="nil"/>
          <w:bottom w:val="nil"/>
          <w:right w:val="nil"/>
          <w:between w:val="nil"/>
        </w:pBdr>
        <w:jc w:val="both"/>
        <w:rPr>
          <w:rFonts w:ascii="Arial" w:eastAsia="Arial" w:hAnsi="Arial" w:cs="Arial"/>
          <w:color w:val="000000"/>
          <w:sz w:val="22"/>
          <w:szCs w:val="22"/>
        </w:rPr>
      </w:pPr>
    </w:p>
    <w:tbl>
      <w:tblPr>
        <w:tblStyle w:val="a0"/>
        <w:tblW w:w="9606" w:type="dxa"/>
        <w:tblInd w:w="-108" w:type="dxa"/>
        <w:tblLayout w:type="fixed"/>
        <w:tblLook w:val="0400" w:firstRow="0" w:lastRow="0" w:firstColumn="0" w:lastColumn="0" w:noHBand="0" w:noVBand="1"/>
      </w:tblPr>
      <w:tblGrid>
        <w:gridCol w:w="1950"/>
        <w:gridCol w:w="7656"/>
      </w:tblGrid>
      <w:tr w:rsidR="00251E97" w:rsidRPr="002367EB" w14:paraId="0E15F7B8" w14:textId="77777777">
        <w:tc>
          <w:tcPr>
            <w:tcW w:w="9606" w:type="dxa"/>
            <w:gridSpan w:val="2"/>
            <w:shd w:val="clear" w:color="auto" w:fill="auto"/>
            <w:tcMar>
              <w:top w:w="0" w:type="dxa"/>
              <w:left w:w="108" w:type="dxa"/>
              <w:bottom w:w="0" w:type="dxa"/>
              <w:right w:w="108" w:type="dxa"/>
            </w:tcMar>
          </w:tcPr>
          <w:p w14:paraId="59618AC8" w14:textId="1AC67F2B" w:rsidR="00251E97" w:rsidRPr="002367EB" w:rsidRDefault="002367EB">
            <w:pPr>
              <w:pBdr>
                <w:top w:val="nil"/>
                <w:left w:val="nil"/>
                <w:bottom w:val="nil"/>
                <w:right w:val="nil"/>
                <w:between w:val="nil"/>
              </w:pBdr>
              <w:spacing w:before="20" w:after="20"/>
              <w:jc w:val="both"/>
              <w:rPr>
                <w:rFonts w:ascii="Arial" w:eastAsia="Arial" w:hAnsi="Arial" w:cs="Arial"/>
                <w:b/>
                <w:color w:val="000000"/>
                <w:sz w:val="24"/>
                <w:szCs w:val="24"/>
              </w:rPr>
            </w:pPr>
            <w:r w:rsidRPr="002367EB">
              <w:rPr>
                <w:rFonts w:ascii="Arial" w:eastAsia="Arial" w:hAnsi="Arial" w:cs="Arial"/>
                <w:b/>
                <w:color w:val="000000"/>
                <w:sz w:val="24"/>
                <w:szCs w:val="24"/>
              </w:rPr>
              <w:t>BIOXSYS s.r.o.</w:t>
            </w:r>
          </w:p>
        </w:tc>
      </w:tr>
      <w:tr w:rsidR="00251E97" w:rsidRPr="002367EB" w14:paraId="4A1CB2CD" w14:textId="77777777">
        <w:tc>
          <w:tcPr>
            <w:tcW w:w="1950" w:type="dxa"/>
            <w:shd w:val="clear" w:color="auto" w:fill="auto"/>
            <w:tcMar>
              <w:top w:w="0" w:type="dxa"/>
              <w:left w:w="108" w:type="dxa"/>
              <w:bottom w:w="0" w:type="dxa"/>
              <w:right w:w="108" w:type="dxa"/>
            </w:tcMar>
          </w:tcPr>
          <w:p w14:paraId="7BCD183F" w14:textId="77777777" w:rsidR="00251E97" w:rsidRPr="002367EB" w:rsidRDefault="00B338AE">
            <w:pPr>
              <w:widowControl/>
              <w:pBdr>
                <w:top w:val="nil"/>
                <w:left w:val="nil"/>
                <w:bottom w:val="nil"/>
                <w:right w:val="nil"/>
                <w:between w:val="nil"/>
              </w:pBdr>
              <w:spacing w:before="60" w:after="60"/>
              <w:jc w:val="both"/>
              <w:rPr>
                <w:rFonts w:ascii="Arial" w:eastAsia="Arial" w:hAnsi="Arial" w:cs="Arial"/>
                <w:color w:val="000000"/>
                <w:sz w:val="22"/>
                <w:szCs w:val="22"/>
              </w:rPr>
            </w:pPr>
            <w:r w:rsidRPr="002367EB">
              <w:rPr>
                <w:rFonts w:ascii="Arial" w:eastAsia="Arial" w:hAnsi="Arial" w:cs="Arial"/>
                <w:color w:val="000000"/>
                <w:sz w:val="22"/>
                <w:szCs w:val="22"/>
              </w:rPr>
              <w:t>sídlo:</w:t>
            </w:r>
          </w:p>
        </w:tc>
        <w:tc>
          <w:tcPr>
            <w:tcW w:w="7656" w:type="dxa"/>
            <w:shd w:val="clear" w:color="auto" w:fill="auto"/>
            <w:tcMar>
              <w:top w:w="0" w:type="dxa"/>
              <w:left w:w="108" w:type="dxa"/>
              <w:bottom w:w="0" w:type="dxa"/>
              <w:right w:w="108" w:type="dxa"/>
            </w:tcMar>
          </w:tcPr>
          <w:p w14:paraId="062810E4" w14:textId="5935C838" w:rsidR="00251E97" w:rsidRPr="002367EB" w:rsidRDefault="002367EB">
            <w:pPr>
              <w:widowControl/>
              <w:pBdr>
                <w:top w:val="nil"/>
                <w:left w:val="nil"/>
                <w:bottom w:val="nil"/>
                <w:right w:val="nil"/>
                <w:between w:val="nil"/>
              </w:pBdr>
              <w:spacing w:before="60" w:after="60"/>
              <w:jc w:val="both"/>
              <w:rPr>
                <w:rFonts w:ascii="Arial" w:eastAsia="Arial" w:hAnsi="Arial" w:cs="Arial"/>
                <w:color w:val="000000"/>
                <w:sz w:val="22"/>
                <w:szCs w:val="22"/>
              </w:rPr>
            </w:pPr>
            <w:r w:rsidRPr="002367EB">
              <w:rPr>
                <w:rFonts w:ascii="Arial" w:eastAsia="Arial" w:hAnsi="Arial" w:cs="Arial"/>
                <w:color w:val="000000"/>
                <w:sz w:val="22"/>
                <w:szCs w:val="22"/>
              </w:rPr>
              <w:t xml:space="preserve">Na Kopečku 3439/15, Severní Terasa, 400 </w:t>
            </w:r>
            <w:proofErr w:type="gramStart"/>
            <w:r w:rsidRPr="002367EB">
              <w:rPr>
                <w:rFonts w:ascii="Arial" w:eastAsia="Arial" w:hAnsi="Arial" w:cs="Arial"/>
                <w:color w:val="000000"/>
                <w:sz w:val="22"/>
                <w:szCs w:val="22"/>
              </w:rPr>
              <w:t>11  Ústí</w:t>
            </w:r>
            <w:proofErr w:type="gramEnd"/>
            <w:r w:rsidRPr="002367EB">
              <w:rPr>
                <w:rFonts w:ascii="Arial" w:eastAsia="Arial" w:hAnsi="Arial" w:cs="Arial"/>
                <w:color w:val="000000"/>
                <w:sz w:val="22"/>
                <w:szCs w:val="22"/>
              </w:rPr>
              <w:t xml:space="preserve"> nad Labem</w:t>
            </w:r>
          </w:p>
        </w:tc>
      </w:tr>
      <w:tr w:rsidR="00251E97" w:rsidRPr="002367EB" w14:paraId="1DBBCF8F" w14:textId="77777777">
        <w:tc>
          <w:tcPr>
            <w:tcW w:w="9606" w:type="dxa"/>
            <w:gridSpan w:val="2"/>
            <w:shd w:val="clear" w:color="auto" w:fill="auto"/>
            <w:tcMar>
              <w:top w:w="0" w:type="dxa"/>
              <w:left w:w="108" w:type="dxa"/>
              <w:bottom w:w="0" w:type="dxa"/>
              <w:right w:w="108" w:type="dxa"/>
            </w:tcMar>
          </w:tcPr>
          <w:p w14:paraId="4A04303F" w14:textId="593E93A8" w:rsidR="00251E97" w:rsidRPr="002367EB" w:rsidRDefault="00B338AE">
            <w:pPr>
              <w:widowControl/>
              <w:pBdr>
                <w:top w:val="nil"/>
                <w:left w:val="nil"/>
                <w:bottom w:val="nil"/>
                <w:right w:val="nil"/>
                <w:between w:val="nil"/>
              </w:pBdr>
              <w:spacing w:before="60" w:after="60"/>
              <w:jc w:val="both"/>
              <w:rPr>
                <w:rFonts w:ascii="Arial" w:eastAsia="Arial" w:hAnsi="Arial" w:cs="Arial"/>
                <w:color w:val="000000"/>
                <w:sz w:val="22"/>
                <w:szCs w:val="22"/>
              </w:rPr>
            </w:pPr>
            <w:r w:rsidRPr="002367EB">
              <w:rPr>
                <w:rFonts w:ascii="Arial" w:eastAsia="Arial" w:hAnsi="Arial" w:cs="Arial"/>
                <w:color w:val="000000"/>
                <w:sz w:val="22"/>
                <w:szCs w:val="22"/>
              </w:rPr>
              <w:t xml:space="preserve">zapsaná v obchodním rejstříku </w:t>
            </w:r>
            <w:r w:rsidR="002367EB" w:rsidRPr="002367EB">
              <w:rPr>
                <w:rFonts w:ascii="Arial" w:eastAsia="Arial" w:hAnsi="Arial" w:cs="Arial"/>
                <w:color w:val="000000"/>
                <w:sz w:val="22"/>
                <w:szCs w:val="22"/>
              </w:rPr>
              <w:t>vedeném u Krajského soudu v Ústí nad Labem, oddíl C, vložka43825</w:t>
            </w:r>
          </w:p>
        </w:tc>
      </w:tr>
      <w:tr w:rsidR="00251E97" w:rsidRPr="002367EB" w14:paraId="48E6499A" w14:textId="77777777">
        <w:tc>
          <w:tcPr>
            <w:tcW w:w="1950" w:type="dxa"/>
            <w:shd w:val="clear" w:color="auto" w:fill="auto"/>
            <w:tcMar>
              <w:top w:w="0" w:type="dxa"/>
              <w:left w:w="108" w:type="dxa"/>
              <w:bottom w:w="0" w:type="dxa"/>
              <w:right w:w="108" w:type="dxa"/>
            </w:tcMar>
          </w:tcPr>
          <w:p w14:paraId="49165F4A" w14:textId="77777777" w:rsidR="00251E97" w:rsidRPr="002367EB" w:rsidRDefault="00B338AE">
            <w:pPr>
              <w:widowControl/>
              <w:pBdr>
                <w:top w:val="nil"/>
                <w:left w:val="nil"/>
                <w:bottom w:val="nil"/>
                <w:right w:val="nil"/>
                <w:between w:val="nil"/>
              </w:pBdr>
              <w:spacing w:before="60" w:after="60"/>
              <w:jc w:val="both"/>
              <w:rPr>
                <w:rFonts w:ascii="Arial" w:eastAsia="Arial" w:hAnsi="Arial" w:cs="Arial"/>
                <w:color w:val="000000"/>
                <w:sz w:val="22"/>
                <w:szCs w:val="22"/>
              </w:rPr>
            </w:pPr>
            <w:r w:rsidRPr="002367EB">
              <w:rPr>
                <w:rFonts w:ascii="Arial" w:eastAsia="Arial" w:hAnsi="Arial" w:cs="Arial"/>
                <w:color w:val="000000"/>
                <w:sz w:val="22"/>
                <w:szCs w:val="22"/>
              </w:rPr>
              <w:t>IČ:</w:t>
            </w:r>
          </w:p>
        </w:tc>
        <w:tc>
          <w:tcPr>
            <w:tcW w:w="7656" w:type="dxa"/>
            <w:shd w:val="clear" w:color="auto" w:fill="auto"/>
            <w:tcMar>
              <w:top w:w="0" w:type="dxa"/>
              <w:left w:w="108" w:type="dxa"/>
              <w:bottom w:w="0" w:type="dxa"/>
              <w:right w:w="108" w:type="dxa"/>
            </w:tcMar>
          </w:tcPr>
          <w:p w14:paraId="7A527884" w14:textId="31EA50CB" w:rsidR="00251E97" w:rsidRPr="002367EB" w:rsidRDefault="002367EB">
            <w:pPr>
              <w:widowControl/>
              <w:pBdr>
                <w:top w:val="nil"/>
                <w:left w:val="nil"/>
                <w:bottom w:val="nil"/>
                <w:right w:val="nil"/>
                <w:between w:val="nil"/>
              </w:pBdr>
              <w:spacing w:before="60" w:after="60"/>
              <w:jc w:val="both"/>
              <w:rPr>
                <w:rFonts w:ascii="Arial" w:eastAsia="Arial" w:hAnsi="Arial" w:cs="Arial"/>
                <w:color w:val="000000"/>
                <w:sz w:val="22"/>
                <w:szCs w:val="22"/>
              </w:rPr>
            </w:pPr>
            <w:r w:rsidRPr="002367EB">
              <w:rPr>
                <w:rFonts w:ascii="Arial" w:eastAsia="Arial" w:hAnsi="Arial" w:cs="Arial"/>
                <w:color w:val="000000"/>
                <w:sz w:val="22"/>
                <w:szCs w:val="22"/>
              </w:rPr>
              <w:t>08280231</w:t>
            </w:r>
          </w:p>
        </w:tc>
      </w:tr>
      <w:tr w:rsidR="00251E97" w:rsidRPr="002367EB" w14:paraId="5A96E321" w14:textId="77777777">
        <w:tc>
          <w:tcPr>
            <w:tcW w:w="1950" w:type="dxa"/>
            <w:shd w:val="clear" w:color="auto" w:fill="auto"/>
            <w:tcMar>
              <w:top w:w="0" w:type="dxa"/>
              <w:left w:w="108" w:type="dxa"/>
              <w:bottom w:w="0" w:type="dxa"/>
              <w:right w:w="108" w:type="dxa"/>
            </w:tcMar>
          </w:tcPr>
          <w:p w14:paraId="45A27748" w14:textId="77777777" w:rsidR="00251E97" w:rsidRPr="002367EB" w:rsidRDefault="00B338AE">
            <w:pPr>
              <w:widowControl/>
              <w:pBdr>
                <w:top w:val="nil"/>
                <w:left w:val="nil"/>
                <w:bottom w:val="nil"/>
                <w:right w:val="nil"/>
                <w:between w:val="nil"/>
              </w:pBdr>
              <w:spacing w:before="60" w:after="60"/>
              <w:jc w:val="both"/>
              <w:rPr>
                <w:rFonts w:ascii="Arial" w:eastAsia="Arial" w:hAnsi="Arial" w:cs="Arial"/>
                <w:color w:val="000000"/>
                <w:sz w:val="22"/>
                <w:szCs w:val="22"/>
              </w:rPr>
            </w:pPr>
            <w:r w:rsidRPr="002367EB">
              <w:rPr>
                <w:rFonts w:ascii="Arial" w:eastAsia="Arial" w:hAnsi="Arial" w:cs="Arial"/>
                <w:color w:val="000000"/>
                <w:sz w:val="22"/>
                <w:szCs w:val="22"/>
              </w:rPr>
              <w:t>DIČ:</w:t>
            </w:r>
          </w:p>
        </w:tc>
        <w:tc>
          <w:tcPr>
            <w:tcW w:w="7656" w:type="dxa"/>
            <w:shd w:val="clear" w:color="auto" w:fill="auto"/>
            <w:tcMar>
              <w:top w:w="0" w:type="dxa"/>
              <w:left w:w="108" w:type="dxa"/>
              <w:bottom w:w="0" w:type="dxa"/>
              <w:right w:w="108" w:type="dxa"/>
            </w:tcMar>
          </w:tcPr>
          <w:p w14:paraId="04C6D2F0" w14:textId="13D27757" w:rsidR="00251E97" w:rsidRPr="002367EB" w:rsidRDefault="002367EB">
            <w:pPr>
              <w:widowControl/>
              <w:pBdr>
                <w:top w:val="nil"/>
                <w:left w:val="nil"/>
                <w:bottom w:val="nil"/>
                <w:right w:val="nil"/>
                <w:between w:val="nil"/>
              </w:pBdr>
              <w:spacing w:before="60" w:after="60"/>
              <w:jc w:val="both"/>
              <w:rPr>
                <w:rFonts w:ascii="Arial" w:eastAsia="Arial" w:hAnsi="Arial" w:cs="Arial"/>
                <w:color w:val="000000"/>
                <w:sz w:val="22"/>
                <w:szCs w:val="22"/>
              </w:rPr>
            </w:pPr>
            <w:r w:rsidRPr="002367EB">
              <w:rPr>
                <w:rFonts w:ascii="Arial" w:eastAsia="Arial" w:hAnsi="Arial" w:cs="Arial"/>
                <w:color w:val="000000"/>
                <w:sz w:val="22"/>
                <w:szCs w:val="22"/>
              </w:rPr>
              <w:t>CZ08280231</w:t>
            </w:r>
          </w:p>
        </w:tc>
      </w:tr>
      <w:tr w:rsidR="00251E97" w14:paraId="1D3D974B" w14:textId="77777777">
        <w:tc>
          <w:tcPr>
            <w:tcW w:w="1950" w:type="dxa"/>
            <w:shd w:val="clear" w:color="auto" w:fill="auto"/>
            <w:tcMar>
              <w:top w:w="0" w:type="dxa"/>
              <w:left w:w="108" w:type="dxa"/>
              <w:bottom w:w="0" w:type="dxa"/>
              <w:right w:w="108" w:type="dxa"/>
            </w:tcMar>
          </w:tcPr>
          <w:p w14:paraId="69944DB1" w14:textId="77777777" w:rsidR="00251E97" w:rsidRPr="002367EB" w:rsidRDefault="00B338AE">
            <w:pPr>
              <w:widowControl/>
              <w:pBdr>
                <w:top w:val="nil"/>
                <w:left w:val="nil"/>
                <w:bottom w:val="nil"/>
                <w:right w:val="nil"/>
                <w:between w:val="nil"/>
              </w:pBdr>
              <w:spacing w:before="60" w:after="60"/>
              <w:jc w:val="both"/>
              <w:rPr>
                <w:rFonts w:ascii="Arial" w:eastAsia="Arial" w:hAnsi="Arial" w:cs="Arial"/>
                <w:color w:val="000000"/>
                <w:sz w:val="22"/>
                <w:szCs w:val="22"/>
              </w:rPr>
            </w:pPr>
            <w:r w:rsidRPr="002367EB">
              <w:rPr>
                <w:rFonts w:ascii="Arial" w:eastAsia="Arial" w:hAnsi="Arial" w:cs="Arial"/>
                <w:color w:val="000000"/>
                <w:sz w:val="22"/>
                <w:szCs w:val="22"/>
              </w:rPr>
              <w:t>zastoupená:</w:t>
            </w:r>
          </w:p>
        </w:tc>
        <w:tc>
          <w:tcPr>
            <w:tcW w:w="7656" w:type="dxa"/>
            <w:shd w:val="clear" w:color="auto" w:fill="auto"/>
            <w:tcMar>
              <w:top w:w="0" w:type="dxa"/>
              <w:left w:w="108" w:type="dxa"/>
              <w:bottom w:w="0" w:type="dxa"/>
              <w:right w:w="108" w:type="dxa"/>
            </w:tcMar>
          </w:tcPr>
          <w:p w14:paraId="79755DEF" w14:textId="66A39D4A" w:rsidR="00251E97" w:rsidRPr="002367EB" w:rsidRDefault="002367EB">
            <w:pPr>
              <w:widowControl/>
              <w:pBdr>
                <w:top w:val="nil"/>
                <w:left w:val="nil"/>
                <w:bottom w:val="nil"/>
                <w:right w:val="nil"/>
                <w:between w:val="nil"/>
              </w:pBdr>
              <w:spacing w:before="60" w:after="60"/>
              <w:jc w:val="both"/>
              <w:rPr>
                <w:rFonts w:ascii="Arial" w:eastAsia="Arial" w:hAnsi="Arial" w:cs="Arial"/>
                <w:color w:val="000000"/>
                <w:sz w:val="22"/>
                <w:szCs w:val="22"/>
              </w:rPr>
            </w:pPr>
            <w:r w:rsidRPr="002367EB">
              <w:rPr>
                <w:rFonts w:ascii="Arial" w:eastAsia="Arial" w:hAnsi="Arial" w:cs="Arial"/>
                <w:color w:val="000000"/>
                <w:sz w:val="22"/>
                <w:szCs w:val="22"/>
              </w:rPr>
              <w:t>Petrem Brožem, jednatelem</w:t>
            </w:r>
          </w:p>
          <w:p w14:paraId="06F0A7D4" w14:textId="423C91A7" w:rsidR="002367EB" w:rsidRPr="002367EB" w:rsidRDefault="002367EB">
            <w:pPr>
              <w:widowControl/>
              <w:pBdr>
                <w:top w:val="nil"/>
                <w:left w:val="nil"/>
                <w:bottom w:val="nil"/>
                <w:right w:val="nil"/>
                <w:between w:val="nil"/>
              </w:pBdr>
              <w:spacing w:before="60" w:after="60"/>
              <w:jc w:val="both"/>
              <w:rPr>
                <w:rFonts w:ascii="Arial" w:eastAsia="Arial" w:hAnsi="Arial" w:cs="Arial"/>
                <w:color w:val="000000"/>
                <w:sz w:val="22"/>
                <w:szCs w:val="22"/>
              </w:rPr>
            </w:pPr>
            <w:proofErr w:type="spellStart"/>
            <w:r w:rsidRPr="002367EB">
              <w:rPr>
                <w:rFonts w:ascii="Arial" w:eastAsia="Arial" w:hAnsi="Arial" w:cs="Arial"/>
                <w:color w:val="000000"/>
                <w:sz w:val="22"/>
                <w:szCs w:val="22"/>
              </w:rPr>
              <w:t>JosefemSteigerem</w:t>
            </w:r>
            <w:proofErr w:type="spellEnd"/>
            <w:r w:rsidRPr="002367EB">
              <w:rPr>
                <w:rFonts w:ascii="Arial" w:eastAsia="Arial" w:hAnsi="Arial" w:cs="Arial"/>
                <w:color w:val="000000"/>
                <w:sz w:val="22"/>
                <w:szCs w:val="22"/>
              </w:rPr>
              <w:t>, jednatelem</w:t>
            </w:r>
          </w:p>
          <w:p w14:paraId="26A1837A" w14:textId="2FF8134A" w:rsidR="00251E97" w:rsidRPr="002367EB" w:rsidRDefault="00251E97">
            <w:pPr>
              <w:widowControl/>
              <w:pBdr>
                <w:top w:val="nil"/>
                <w:left w:val="nil"/>
                <w:bottom w:val="nil"/>
                <w:right w:val="nil"/>
                <w:between w:val="nil"/>
              </w:pBdr>
              <w:spacing w:before="60" w:after="60"/>
              <w:jc w:val="both"/>
              <w:rPr>
                <w:rFonts w:ascii="Arial" w:eastAsia="Arial" w:hAnsi="Arial" w:cs="Arial"/>
                <w:sz w:val="22"/>
                <w:szCs w:val="22"/>
              </w:rPr>
            </w:pPr>
          </w:p>
        </w:tc>
      </w:tr>
    </w:tbl>
    <w:p w14:paraId="1B423C7D" w14:textId="77777777" w:rsidR="00251E97" w:rsidRDefault="00B338AE">
      <w:pPr>
        <w:widowControl/>
        <w:pBdr>
          <w:top w:val="nil"/>
          <w:left w:val="nil"/>
          <w:bottom w:val="nil"/>
          <w:right w:val="nil"/>
          <w:between w:val="nil"/>
        </w:pBdr>
        <w:ind w:left="142"/>
        <w:jc w:val="both"/>
        <w:rPr>
          <w:rFonts w:ascii="Arial" w:eastAsia="Arial" w:hAnsi="Arial" w:cs="Arial"/>
          <w:color w:val="000000"/>
        </w:rPr>
      </w:pPr>
      <w:r>
        <w:rPr>
          <w:rFonts w:ascii="Arial" w:eastAsia="Arial" w:hAnsi="Arial" w:cs="Arial"/>
          <w:color w:val="000000"/>
          <w:sz w:val="22"/>
          <w:szCs w:val="22"/>
        </w:rPr>
        <w:t>(dále jen „Dodavatel“)</w:t>
      </w:r>
    </w:p>
    <w:p w14:paraId="571745C0" w14:textId="77777777" w:rsidR="00251E97" w:rsidRDefault="00251E97">
      <w:pPr>
        <w:widowControl/>
        <w:pBdr>
          <w:top w:val="nil"/>
          <w:left w:val="nil"/>
          <w:bottom w:val="nil"/>
          <w:right w:val="nil"/>
          <w:between w:val="nil"/>
        </w:pBdr>
        <w:jc w:val="both"/>
        <w:rPr>
          <w:rFonts w:ascii="Arial" w:eastAsia="Arial" w:hAnsi="Arial" w:cs="Arial"/>
          <w:color w:val="000000"/>
        </w:rPr>
      </w:pPr>
    </w:p>
    <w:p w14:paraId="32DBB563" w14:textId="77777777" w:rsidR="00251E97" w:rsidRDefault="00251E97">
      <w:pPr>
        <w:widowControl/>
        <w:pBdr>
          <w:top w:val="nil"/>
          <w:left w:val="nil"/>
          <w:bottom w:val="nil"/>
          <w:right w:val="nil"/>
          <w:between w:val="nil"/>
        </w:pBdr>
        <w:jc w:val="both"/>
        <w:rPr>
          <w:rFonts w:ascii="Arial" w:eastAsia="Arial" w:hAnsi="Arial" w:cs="Arial"/>
          <w:color w:val="000000"/>
        </w:rPr>
      </w:pPr>
    </w:p>
    <w:p w14:paraId="31CA5A40" w14:textId="77777777" w:rsidR="00251E97" w:rsidRDefault="00251E97">
      <w:pPr>
        <w:widowControl/>
        <w:pBdr>
          <w:top w:val="nil"/>
          <w:left w:val="nil"/>
          <w:bottom w:val="nil"/>
          <w:right w:val="nil"/>
          <w:between w:val="nil"/>
        </w:pBdr>
        <w:jc w:val="both"/>
        <w:rPr>
          <w:rFonts w:ascii="Arial" w:eastAsia="Arial" w:hAnsi="Arial" w:cs="Arial"/>
          <w:color w:val="000000"/>
        </w:rPr>
      </w:pPr>
    </w:p>
    <w:p w14:paraId="3AF5276F" w14:textId="77777777" w:rsidR="00251E97" w:rsidRDefault="00B338AE">
      <w:pPr>
        <w:widowControl/>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u z a v í r a j í</w:t>
      </w:r>
    </w:p>
    <w:p w14:paraId="69F6B386" w14:textId="238E1BDF" w:rsidR="00251E97" w:rsidRDefault="00B338AE">
      <w:pPr>
        <w:widowControl/>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tuto smlouvu </w:t>
      </w:r>
      <w:r>
        <w:rPr>
          <w:rFonts w:ascii="Arial" w:eastAsia="Arial" w:hAnsi="Arial" w:cs="Arial"/>
          <w:b/>
          <w:color w:val="000000"/>
        </w:rPr>
        <w:t xml:space="preserve">o vzájemné </w:t>
      </w:r>
      <w:r>
        <w:rPr>
          <w:rFonts w:ascii="Arial" w:eastAsia="Arial" w:hAnsi="Arial" w:cs="Arial"/>
          <w:b/>
        </w:rPr>
        <w:t xml:space="preserve">spolupráci v oblastech, </w:t>
      </w:r>
      <w:proofErr w:type="spellStart"/>
      <w:r>
        <w:rPr>
          <w:rFonts w:ascii="Arial" w:eastAsia="Arial" w:hAnsi="Arial" w:cs="Arial"/>
          <w:b/>
        </w:rPr>
        <w:t>Bioinformatické</w:t>
      </w:r>
      <w:proofErr w:type="spellEnd"/>
      <w:r>
        <w:rPr>
          <w:rFonts w:ascii="Arial" w:eastAsia="Arial" w:hAnsi="Arial" w:cs="Arial"/>
          <w:b/>
        </w:rPr>
        <w:t xml:space="preserve"> služby, IT služby, Vývoj aplikací, Aplikační, systémová a projektová podpora, školení</w:t>
      </w:r>
      <w:r>
        <w:rPr>
          <w:rFonts w:ascii="Arial" w:eastAsia="Arial" w:hAnsi="Arial" w:cs="Arial"/>
          <w:b/>
          <w:color w:val="000000"/>
        </w:rPr>
        <w:t xml:space="preserve"> </w:t>
      </w:r>
      <w:r>
        <w:rPr>
          <w:rFonts w:ascii="Arial" w:eastAsia="Arial" w:hAnsi="Arial" w:cs="Arial"/>
          <w:color w:val="000000"/>
        </w:rPr>
        <w:t>(dále jen „Smlouva“) v souladu s ustanovením § 1746 odst. 2 zákona č. 89/2012 Sb., občanský zákoník, v platném znění.</w:t>
      </w:r>
    </w:p>
    <w:p w14:paraId="38521297" w14:textId="77777777" w:rsidR="00251E97" w:rsidRDefault="00251E97">
      <w:pPr>
        <w:widowControl/>
        <w:pBdr>
          <w:top w:val="nil"/>
          <w:left w:val="nil"/>
          <w:bottom w:val="nil"/>
          <w:right w:val="nil"/>
          <w:between w:val="nil"/>
        </w:pBdr>
        <w:jc w:val="both"/>
        <w:rPr>
          <w:rFonts w:ascii="Arial" w:eastAsia="Arial" w:hAnsi="Arial" w:cs="Arial"/>
          <w:color w:val="000000"/>
        </w:rPr>
      </w:pPr>
    </w:p>
    <w:p w14:paraId="3FA00ECF" w14:textId="77777777" w:rsidR="00251E97" w:rsidRDefault="00B338AE">
      <w:pPr>
        <w:pStyle w:val="Nadpis1"/>
        <w:numPr>
          <w:ilvl w:val="0"/>
          <w:numId w:val="3"/>
        </w:numPr>
        <w:ind w:hanging="708"/>
      </w:pPr>
      <w:r>
        <w:t>Předmět smlouvy</w:t>
      </w:r>
    </w:p>
    <w:p w14:paraId="1A119736" w14:textId="1AFF9E33" w:rsidR="004274BB" w:rsidRDefault="00B338AE" w:rsidP="004274BB">
      <w:pPr>
        <w:pStyle w:val="Nadpis2"/>
        <w:numPr>
          <w:ilvl w:val="1"/>
          <w:numId w:val="3"/>
        </w:numPr>
        <w:ind w:left="709"/>
      </w:pPr>
      <w:r>
        <w:tab/>
      </w:r>
      <w:proofErr w:type="spellStart"/>
      <w:r w:rsidR="004274BB">
        <w:rPr>
          <w:b/>
        </w:rPr>
        <w:t>Bioinformatické</w:t>
      </w:r>
      <w:proofErr w:type="spellEnd"/>
      <w:r w:rsidR="004274BB">
        <w:rPr>
          <w:b/>
        </w:rPr>
        <w:t xml:space="preserve"> analýzy dat a zpracování vzorků</w:t>
      </w:r>
    </w:p>
    <w:p w14:paraId="4210CFD8" w14:textId="77777777" w:rsidR="008C2628" w:rsidRDefault="00B338AE" w:rsidP="004274BB">
      <w:pPr>
        <w:pStyle w:val="Nadpis2"/>
        <w:ind w:left="709" w:firstLine="0"/>
      </w:pPr>
      <w:r>
        <w:t xml:space="preserve">Předmětem rámcové smlouvy jsou </w:t>
      </w:r>
      <w:bookmarkStart w:id="0" w:name="_Hlk175220382"/>
      <w:proofErr w:type="spellStart"/>
      <w:r>
        <w:t>bioinformatické</w:t>
      </w:r>
      <w:proofErr w:type="spellEnd"/>
      <w:r>
        <w:t xml:space="preserve"> analýzy dat a zpracování vzorků z NGS </w:t>
      </w:r>
      <w:proofErr w:type="spellStart"/>
      <w:r>
        <w:t>sekvenátorů</w:t>
      </w:r>
      <w:bookmarkEnd w:id="0"/>
      <w:proofErr w:type="spellEnd"/>
      <w:r>
        <w:t xml:space="preserve"> pro genetickou laboratoř. Analýza sestává z následujících </w:t>
      </w:r>
      <w:proofErr w:type="spellStart"/>
      <w:r>
        <w:t>bioinformatických</w:t>
      </w:r>
      <w:proofErr w:type="spellEnd"/>
      <w:r>
        <w:t xml:space="preserve"> </w:t>
      </w:r>
      <w:proofErr w:type="gramStart"/>
      <w:r>
        <w:t>kroků - mapování</w:t>
      </w:r>
      <w:proofErr w:type="gramEnd"/>
      <w:r>
        <w:t xml:space="preserve"> k referenční sekvenci (hg38), kontrola kvality FASTQ souborů a jejich filtrace, hledání variant a jejich anotace, ukládání dat do databáze, záloha </w:t>
      </w:r>
      <w:proofErr w:type="spellStart"/>
      <w:r>
        <w:t>sekvenačních</w:t>
      </w:r>
      <w:proofErr w:type="spellEnd"/>
      <w:r>
        <w:t xml:space="preserve"> dat. </w:t>
      </w:r>
    </w:p>
    <w:p w14:paraId="691DCFE8" w14:textId="77777777" w:rsidR="008C2628" w:rsidRDefault="008C2628" w:rsidP="004274BB">
      <w:pPr>
        <w:pStyle w:val="Nadpis2"/>
        <w:ind w:left="709" w:firstLine="0"/>
      </w:pPr>
    </w:p>
    <w:p w14:paraId="2F28099B" w14:textId="47114BF7" w:rsidR="009634B7" w:rsidRDefault="008C2628" w:rsidP="004274BB">
      <w:pPr>
        <w:pStyle w:val="Nadpis2"/>
        <w:ind w:left="709" w:firstLine="0"/>
      </w:pPr>
      <w:r>
        <w:lastRenderedPageBreak/>
        <w:t xml:space="preserve">Objednatel požaduje členění využívaných služeb </w:t>
      </w:r>
      <w:proofErr w:type="spellStart"/>
      <w:r w:rsidR="009634B7" w:rsidRPr="009634B7">
        <w:t>bioinformatick</w:t>
      </w:r>
      <w:r w:rsidR="009634B7">
        <w:t>ých</w:t>
      </w:r>
      <w:proofErr w:type="spellEnd"/>
      <w:r w:rsidR="009634B7" w:rsidRPr="009634B7">
        <w:t xml:space="preserve"> analýz dat a zpracování vzorků </w:t>
      </w:r>
      <w:r w:rsidR="009634B7">
        <w:t>dle následujícího členění velikosti analyzovaného regionu a velikosti dat:</w:t>
      </w:r>
      <w:r w:rsidR="005634E2">
        <w:t xml:space="preserve"> </w:t>
      </w:r>
    </w:p>
    <w:p w14:paraId="6B8D615A" w14:textId="77777777" w:rsidR="005634E2" w:rsidRPr="005634E2" w:rsidRDefault="005634E2" w:rsidP="005634E2"/>
    <w:tbl>
      <w:tblPr>
        <w:tblW w:w="56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65"/>
        <w:gridCol w:w="3894"/>
      </w:tblGrid>
      <w:tr w:rsidR="005634E2" w14:paraId="37C587CF" w14:textId="77777777" w:rsidTr="005634E2">
        <w:trPr>
          <w:trHeight w:val="780"/>
          <w:jc w:val="center"/>
        </w:trPr>
        <w:tc>
          <w:tcPr>
            <w:tcW w:w="1765" w:type="dxa"/>
            <w:tcBorders>
              <w:top w:val="single" w:sz="6" w:space="0" w:color="000000"/>
              <w:left w:val="single" w:sz="6" w:space="0" w:color="000000"/>
              <w:bottom w:val="single" w:sz="6" w:space="0" w:color="000000"/>
              <w:right w:val="single" w:sz="6" w:space="0" w:color="000000"/>
            </w:tcBorders>
            <w:shd w:val="clear" w:color="auto" w:fill="6FA8DC"/>
            <w:tcMar>
              <w:top w:w="40" w:type="dxa"/>
              <w:left w:w="40" w:type="dxa"/>
              <w:bottom w:w="40" w:type="dxa"/>
              <w:right w:w="40" w:type="dxa"/>
            </w:tcMar>
            <w:vAlign w:val="center"/>
          </w:tcPr>
          <w:p w14:paraId="76AA1B43" w14:textId="77777777" w:rsidR="005634E2" w:rsidRPr="009B0100" w:rsidRDefault="005634E2" w:rsidP="0013157C">
            <w:pPr>
              <w:spacing w:line="276" w:lineRule="auto"/>
              <w:jc w:val="center"/>
              <w:rPr>
                <w:rFonts w:ascii="Arial" w:eastAsia="Arial" w:hAnsi="Arial" w:cs="Arial"/>
                <w:b/>
                <w:bCs/>
              </w:rPr>
            </w:pPr>
            <w:r w:rsidRPr="009B0100">
              <w:rPr>
                <w:rFonts w:ascii="Arial" w:eastAsia="Arial" w:hAnsi="Arial" w:cs="Arial"/>
                <w:b/>
                <w:bCs/>
              </w:rPr>
              <w:t>Služba</w:t>
            </w:r>
          </w:p>
        </w:tc>
        <w:tc>
          <w:tcPr>
            <w:tcW w:w="3894" w:type="dxa"/>
            <w:tcBorders>
              <w:top w:val="single" w:sz="6" w:space="0" w:color="000000"/>
              <w:bottom w:val="single" w:sz="6" w:space="0" w:color="000000"/>
              <w:right w:val="single" w:sz="6" w:space="0" w:color="000000"/>
            </w:tcBorders>
            <w:shd w:val="clear" w:color="auto" w:fill="6FA8DC"/>
            <w:tcMar>
              <w:top w:w="40" w:type="dxa"/>
              <w:left w:w="40" w:type="dxa"/>
              <w:bottom w:w="40" w:type="dxa"/>
              <w:right w:w="40" w:type="dxa"/>
            </w:tcMar>
            <w:vAlign w:val="center"/>
          </w:tcPr>
          <w:p w14:paraId="76E4D412" w14:textId="77777777" w:rsidR="005634E2" w:rsidRDefault="005634E2" w:rsidP="0013157C">
            <w:pPr>
              <w:spacing w:line="276" w:lineRule="auto"/>
              <w:jc w:val="center"/>
              <w:rPr>
                <w:rFonts w:ascii="Arial" w:eastAsia="Arial" w:hAnsi="Arial" w:cs="Arial"/>
              </w:rPr>
            </w:pPr>
            <w:r>
              <w:rPr>
                <w:rFonts w:ascii="Arial" w:eastAsia="Arial" w:hAnsi="Arial" w:cs="Arial"/>
                <w:b/>
              </w:rPr>
              <w:t>Velikost regionu</w:t>
            </w:r>
          </w:p>
        </w:tc>
      </w:tr>
      <w:tr w:rsidR="005634E2" w14:paraId="00A6C8BB" w14:textId="77777777" w:rsidTr="005634E2">
        <w:trPr>
          <w:trHeight w:val="315"/>
          <w:jc w:val="center"/>
        </w:trPr>
        <w:tc>
          <w:tcPr>
            <w:tcW w:w="1765"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FF7E82B" w14:textId="77777777" w:rsidR="005634E2" w:rsidRDefault="005634E2" w:rsidP="0013157C">
            <w:pPr>
              <w:spacing w:line="276" w:lineRule="auto"/>
              <w:jc w:val="center"/>
              <w:rPr>
                <w:rFonts w:ascii="Arial" w:eastAsia="Arial" w:hAnsi="Arial" w:cs="Arial"/>
              </w:rPr>
            </w:pPr>
            <w:r>
              <w:rPr>
                <w:rFonts w:ascii="Arial" w:eastAsia="Arial" w:hAnsi="Arial" w:cs="Arial"/>
              </w:rPr>
              <w:t>Region 1</w:t>
            </w:r>
          </w:p>
        </w:tc>
        <w:tc>
          <w:tcPr>
            <w:tcW w:w="3894" w:type="dxa"/>
            <w:tcBorders>
              <w:bottom w:val="single" w:sz="6" w:space="0" w:color="000000"/>
              <w:right w:val="single" w:sz="6" w:space="0" w:color="000000"/>
            </w:tcBorders>
            <w:tcMar>
              <w:top w:w="40" w:type="dxa"/>
              <w:left w:w="40" w:type="dxa"/>
              <w:bottom w:w="40" w:type="dxa"/>
              <w:right w:w="40" w:type="dxa"/>
            </w:tcMar>
            <w:vAlign w:val="bottom"/>
          </w:tcPr>
          <w:p w14:paraId="54927689" w14:textId="77777777" w:rsidR="005634E2" w:rsidRDefault="005634E2" w:rsidP="0013157C">
            <w:pPr>
              <w:spacing w:line="276" w:lineRule="auto"/>
              <w:jc w:val="center"/>
              <w:rPr>
                <w:rFonts w:ascii="Arial" w:eastAsia="Arial" w:hAnsi="Arial" w:cs="Arial"/>
              </w:rPr>
            </w:pPr>
            <w:proofErr w:type="gramStart"/>
            <w:r>
              <w:rPr>
                <w:rFonts w:ascii="Arial" w:eastAsia="Arial" w:hAnsi="Arial" w:cs="Arial"/>
              </w:rPr>
              <w:t>&lt; 15</w:t>
            </w:r>
            <w:proofErr w:type="gramEnd"/>
            <w:r>
              <w:rPr>
                <w:rFonts w:ascii="Arial" w:eastAsia="Arial" w:hAnsi="Arial" w:cs="Arial"/>
              </w:rPr>
              <w:t xml:space="preserve"> </w:t>
            </w:r>
            <w:proofErr w:type="spellStart"/>
            <w:r>
              <w:rPr>
                <w:rFonts w:ascii="Arial" w:eastAsia="Arial" w:hAnsi="Arial" w:cs="Arial"/>
              </w:rPr>
              <w:t>Mb</w:t>
            </w:r>
            <w:proofErr w:type="spellEnd"/>
          </w:p>
        </w:tc>
      </w:tr>
      <w:tr w:rsidR="005634E2" w14:paraId="16B0CF43" w14:textId="77777777" w:rsidTr="005634E2">
        <w:trPr>
          <w:trHeight w:val="315"/>
          <w:jc w:val="center"/>
        </w:trPr>
        <w:tc>
          <w:tcPr>
            <w:tcW w:w="1765"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96F5EA4" w14:textId="77777777" w:rsidR="005634E2" w:rsidRDefault="005634E2" w:rsidP="0013157C">
            <w:pPr>
              <w:spacing w:line="276" w:lineRule="auto"/>
              <w:jc w:val="center"/>
              <w:rPr>
                <w:rFonts w:ascii="Arial" w:eastAsia="Arial" w:hAnsi="Arial" w:cs="Arial"/>
              </w:rPr>
            </w:pPr>
            <w:r>
              <w:rPr>
                <w:rFonts w:ascii="Arial" w:eastAsia="Arial" w:hAnsi="Arial" w:cs="Arial"/>
              </w:rPr>
              <w:t>Region 2</w:t>
            </w:r>
          </w:p>
        </w:tc>
        <w:tc>
          <w:tcPr>
            <w:tcW w:w="3894" w:type="dxa"/>
            <w:tcBorders>
              <w:bottom w:val="single" w:sz="6" w:space="0" w:color="000000"/>
              <w:right w:val="single" w:sz="6" w:space="0" w:color="000000"/>
            </w:tcBorders>
            <w:tcMar>
              <w:top w:w="40" w:type="dxa"/>
              <w:left w:w="40" w:type="dxa"/>
              <w:bottom w:w="40" w:type="dxa"/>
              <w:right w:w="40" w:type="dxa"/>
            </w:tcMar>
            <w:vAlign w:val="bottom"/>
          </w:tcPr>
          <w:p w14:paraId="608E6F9A" w14:textId="77777777" w:rsidR="005634E2" w:rsidRDefault="005634E2" w:rsidP="0013157C">
            <w:pPr>
              <w:spacing w:line="276" w:lineRule="auto"/>
              <w:jc w:val="center"/>
              <w:rPr>
                <w:rFonts w:ascii="Arial" w:eastAsia="Arial" w:hAnsi="Arial" w:cs="Arial"/>
              </w:rPr>
            </w:pPr>
            <w:r>
              <w:rPr>
                <w:rFonts w:ascii="Arial" w:eastAsia="Arial" w:hAnsi="Arial" w:cs="Arial"/>
              </w:rPr>
              <w:t xml:space="preserve">&gt;15 </w:t>
            </w:r>
            <w:proofErr w:type="spellStart"/>
            <w:r>
              <w:rPr>
                <w:rFonts w:ascii="Arial" w:eastAsia="Arial" w:hAnsi="Arial" w:cs="Arial"/>
              </w:rPr>
              <w:t>Mb</w:t>
            </w:r>
            <w:proofErr w:type="spellEnd"/>
            <w:r>
              <w:rPr>
                <w:rFonts w:ascii="Arial" w:eastAsia="Arial" w:hAnsi="Arial" w:cs="Arial"/>
              </w:rPr>
              <w:t xml:space="preserve"> </w:t>
            </w:r>
            <w:proofErr w:type="gramStart"/>
            <w:r>
              <w:rPr>
                <w:rFonts w:ascii="Arial" w:eastAsia="Arial" w:hAnsi="Arial" w:cs="Arial"/>
              </w:rPr>
              <w:t>&lt; 60</w:t>
            </w:r>
            <w:proofErr w:type="gramEnd"/>
            <w:r>
              <w:rPr>
                <w:rFonts w:ascii="Arial" w:eastAsia="Arial" w:hAnsi="Arial" w:cs="Arial"/>
              </w:rPr>
              <w:t xml:space="preserve"> </w:t>
            </w:r>
            <w:proofErr w:type="spellStart"/>
            <w:r>
              <w:rPr>
                <w:rFonts w:ascii="Arial" w:eastAsia="Arial" w:hAnsi="Arial" w:cs="Arial"/>
              </w:rPr>
              <w:t>Mb</w:t>
            </w:r>
            <w:proofErr w:type="spellEnd"/>
            <w:r>
              <w:rPr>
                <w:rFonts w:ascii="Arial" w:eastAsia="Arial" w:hAnsi="Arial" w:cs="Arial"/>
              </w:rPr>
              <w:t xml:space="preserve"> (WES)</w:t>
            </w:r>
          </w:p>
        </w:tc>
      </w:tr>
    </w:tbl>
    <w:p w14:paraId="1C9BEB1A" w14:textId="77777777" w:rsidR="009634B7" w:rsidRDefault="009634B7" w:rsidP="004274BB">
      <w:pPr>
        <w:pStyle w:val="Nadpis2"/>
        <w:ind w:left="709" w:firstLine="0"/>
      </w:pPr>
    </w:p>
    <w:p w14:paraId="4694A26F" w14:textId="77777777" w:rsidR="009634B7" w:rsidRDefault="009634B7" w:rsidP="009634B7"/>
    <w:p w14:paraId="5C21DC89" w14:textId="77777777" w:rsidR="009634B7" w:rsidRPr="009634B7" w:rsidRDefault="009634B7" w:rsidP="009634B7"/>
    <w:p w14:paraId="0FDF7DE0" w14:textId="36879A0D" w:rsidR="00251E97" w:rsidRDefault="00F27C5D">
      <w:pPr>
        <w:pStyle w:val="Nadpis2"/>
        <w:numPr>
          <w:ilvl w:val="1"/>
          <w:numId w:val="3"/>
        </w:numPr>
        <w:ind w:left="709"/>
      </w:pPr>
      <w:r>
        <w:rPr>
          <w:b/>
        </w:rPr>
        <w:t>Další oblasti spolupráce</w:t>
      </w:r>
    </w:p>
    <w:p w14:paraId="0BECAE74" w14:textId="77777777" w:rsidR="00251E97" w:rsidRDefault="00B338AE">
      <w:pPr>
        <w:ind w:left="709"/>
        <w:rPr>
          <w:rFonts w:ascii="Arial" w:eastAsia="Arial" w:hAnsi="Arial" w:cs="Arial"/>
        </w:rPr>
      </w:pPr>
      <w:r>
        <w:rPr>
          <w:rFonts w:ascii="Arial" w:eastAsia="Arial" w:hAnsi="Arial" w:cs="Arial"/>
        </w:rPr>
        <w:t>Smluvní strany se zavazují spolupracovat zejména v těchto oblastech:</w:t>
      </w:r>
    </w:p>
    <w:p w14:paraId="11ED54D6" w14:textId="77777777" w:rsidR="00251E97" w:rsidRDefault="00251E97">
      <w:pPr>
        <w:rPr>
          <w:rFonts w:ascii="Arial" w:eastAsia="Arial" w:hAnsi="Arial" w:cs="Arial"/>
        </w:rPr>
      </w:pPr>
    </w:p>
    <w:p w14:paraId="58DC4E29" w14:textId="77777777" w:rsidR="00251E97" w:rsidRDefault="00B338AE">
      <w:pPr>
        <w:numPr>
          <w:ilvl w:val="0"/>
          <w:numId w:val="1"/>
        </w:numPr>
        <w:rPr>
          <w:rFonts w:ascii="Arial" w:eastAsia="Arial" w:hAnsi="Arial" w:cs="Arial"/>
        </w:rPr>
      </w:pPr>
      <w:r>
        <w:rPr>
          <w:rFonts w:ascii="Arial" w:eastAsia="Arial" w:hAnsi="Arial" w:cs="Arial"/>
        </w:rPr>
        <w:t>Aplikační podpora</w:t>
      </w:r>
    </w:p>
    <w:p w14:paraId="16AF727C" w14:textId="77777777" w:rsidR="00251E97" w:rsidRDefault="00B338AE">
      <w:pPr>
        <w:numPr>
          <w:ilvl w:val="0"/>
          <w:numId w:val="1"/>
        </w:numPr>
        <w:rPr>
          <w:rFonts w:ascii="Arial" w:eastAsia="Arial" w:hAnsi="Arial" w:cs="Arial"/>
        </w:rPr>
      </w:pPr>
      <w:r>
        <w:rPr>
          <w:rFonts w:ascii="Arial" w:eastAsia="Arial" w:hAnsi="Arial" w:cs="Arial"/>
        </w:rPr>
        <w:t xml:space="preserve">Analýzy software GENOVESA pro </w:t>
      </w:r>
      <w:proofErr w:type="spellStart"/>
      <w:r>
        <w:rPr>
          <w:rFonts w:ascii="Arial" w:eastAsia="Arial" w:hAnsi="Arial" w:cs="Arial"/>
        </w:rPr>
        <w:t>bioinformatickou</w:t>
      </w:r>
      <w:proofErr w:type="spellEnd"/>
      <w:r>
        <w:rPr>
          <w:rFonts w:ascii="Arial" w:eastAsia="Arial" w:hAnsi="Arial" w:cs="Arial"/>
        </w:rPr>
        <w:t xml:space="preserve"> analýzu</w:t>
      </w:r>
    </w:p>
    <w:p w14:paraId="63C7AEA0" w14:textId="77777777" w:rsidR="00251E97" w:rsidRDefault="00B338AE">
      <w:pPr>
        <w:numPr>
          <w:ilvl w:val="0"/>
          <w:numId w:val="1"/>
        </w:numPr>
        <w:rPr>
          <w:rFonts w:ascii="Arial" w:eastAsia="Arial" w:hAnsi="Arial" w:cs="Arial"/>
        </w:rPr>
      </w:pPr>
      <w:r>
        <w:rPr>
          <w:rFonts w:ascii="Arial" w:eastAsia="Arial" w:hAnsi="Arial" w:cs="Arial"/>
        </w:rPr>
        <w:t xml:space="preserve">Vývoj </w:t>
      </w:r>
      <w:proofErr w:type="spellStart"/>
      <w:r>
        <w:rPr>
          <w:rFonts w:ascii="Arial" w:eastAsia="Arial" w:hAnsi="Arial" w:cs="Arial"/>
        </w:rPr>
        <w:t>bioinformatické</w:t>
      </w:r>
      <w:proofErr w:type="spellEnd"/>
      <w:r>
        <w:rPr>
          <w:rFonts w:ascii="Arial" w:eastAsia="Arial" w:hAnsi="Arial" w:cs="Arial"/>
        </w:rPr>
        <w:t xml:space="preserve"> </w:t>
      </w:r>
      <w:proofErr w:type="spellStart"/>
      <w:r>
        <w:rPr>
          <w:rFonts w:ascii="Arial" w:eastAsia="Arial" w:hAnsi="Arial" w:cs="Arial"/>
        </w:rPr>
        <w:t>worfklow</w:t>
      </w:r>
      <w:proofErr w:type="spellEnd"/>
    </w:p>
    <w:p w14:paraId="7E831713" w14:textId="77777777" w:rsidR="00251E97" w:rsidRDefault="00B338AE">
      <w:pPr>
        <w:numPr>
          <w:ilvl w:val="0"/>
          <w:numId w:val="1"/>
        </w:numPr>
        <w:rPr>
          <w:rFonts w:ascii="Arial" w:eastAsia="Arial" w:hAnsi="Arial" w:cs="Arial"/>
        </w:rPr>
      </w:pPr>
      <w:r>
        <w:rPr>
          <w:rFonts w:ascii="Arial" w:eastAsia="Arial" w:hAnsi="Arial" w:cs="Arial"/>
        </w:rPr>
        <w:t>Zajištění výpočetní kapacity pro zpracování dat</w:t>
      </w:r>
    </w:p>
    <w:p w14:paraId="061923C6" w14:textId="77777777" w:rsidR="00251E97" w:rsidRDefault="00251E97">
      <w:pPr>
        <w:rPr>
          <w:rFonts w:ascii="Arial" w:eastAsia="Arial" w:hAnsi="Arial" w:cs="Arial"/>
        </w:rPr>
      </w:pPr>
    </w:p>
    <w:p w14:paraId="0D7E1DC0" w14:textId="77777777" w:rsidR="00251E97" w:rsidRDefault="00251E97">
      <w:pPr>
        <w:rPr>
          <w:rFonts w:ascii="Arial" w:eastAsia="Arial" w:hAnsi="Arial" w:cs="Arial"/>
        </w:rPr>
      </w:pPr>
    </w:p>
    <w:p w14:paraId="54184698" w14:textId="39BC9875" w:rsidR="00CA609D" w:rsidRPr="00CA609D" w:rsidRDefault="00CA609D" w:rsidP="00CA609D">
      <w:pPr>
        <w:ind w:left="709"/>
        <w:rPr>
          <w:rFonts w:ascii="Arial" w:eastAsia="Arial" w:hAnsi="Arial" w:cs="Arial"/>
          <w:b/>
          <w:bCs/>
        </w:rPr>
      </w:pPr>
      <w:r w:rsidRPr="00CA609D">
        <w:rPr>
          <w:rFonts w:ascii="Arial" w:eastAsia="Arial" w:hAnsi="Arial" w:cs="Arial"/>
          <w:b/>
          <w:bCs/>
        </w:rPr>
        <w:t xml:space="preserve">Podrobné specifikace a požadavky na </w:t>
      </w:r>
      <w:proofErr w:type="spellStart"/>
      <w:r w:rsidRPr="00CA609D">
        <w:rPr>
          <w:rFonts w:ascii="Arial" w:eastAsia="Arial" w:hAnsi="Arial" w:cs="Arial"/>
          <w:b/>
          <w:bCs/>
        </w:rPr>
        <w:t>bioinformatické</w:t>
      </w:r>
      <w:proofErr w:type="spellEnd"/>
      <w:r w:rsidRPr="00CA609D">
        <w:rPr>
          <w:rFonts w:ascii="Arial" w:eastAsia="Arial" w:hAnsi="Arial" w:cs="Arial"/>
          <w:b/>
          <w:bCs/>
        </w:rPr>
        <w:t xml:space="preserve"> analýzy dat</w:t>
      </w:r>
      <w:r w:rsidR="00C80BB1">
        <w:rPr>
          <w:rFonts w:ascii="Arial" w:eastAsia="Arial" w:hAnsi="Arial" w:cs="Arial"/>
          <w:b/>
          <w:bCs/>
        </w:rPr>
        <w:t>,</w:t>
      </w:r>
      <w:r w:rsidRPr="00CA609D">
        <w:rPr>
          <w:rFonts w:ascii="Arial" w:eastAsia="Arial" w:hAnsi="Arial" w:cs="Arial"/>
          <w:b/>
          <w:bCs/>
        </w:rPr>
        <w:t xml:space="preserve"> zpracování vzorků z NGS </w:t>
      </w:r>
      <w:proofErr w:type="spellStart"/>
      <w:r w:rsidRPr="00CA609D">
        <w:rPr>
          <w:rFonts w:ascii="Arial" w:eastAsia="Arial" w:hAnsi="Arial" w:cs="Arial"/>
          <w:b/>
          <w:bCs/>
        </w:rPr>
        <w:t>sekvenátorů</w:t>
      </w:r>
      <w:proofErr w:type="spellEnd"/>
      <w:r w:rsidR="00C80BB1">
        <w:rPr>
          <w:rFonts w:ascii="Arial" w:eastAsia="Arial" w:hAnsi="Arial" w:cs="Arial"/>
          <w:b/>
          <w:bCs/>
        </w:rPr>
        <w:t xml:space="preserve"> a další služby</w:t>
      </w:r>
      <w:r w:rsidRPr="00CA609D">
        <w:rPr>
          <w:rFonts w:ascii="Arial" w:eastAsia="Arial" w:hAnsi="Arial" w:cs="Arial"/>
          <w:b/>
          <w:bCs/>
        </w:rPr>
        <w:t xml:space="preserve"> </w:t>
      </w:r>
      <w:r w:rsidRPr="005D79EB">
        <w:rPr>
          <w:rFonts w:ascii="Arial" w:eastAsia="Arial" w:hAnsi="Arial" w:cs="Arial"/>
          <w:b/>
          <w:bCs/>
        </w:rPr>
        <w:t>viz Příloha č. 1</w:t>
      </w:r>
    </w:p>
    <w:p w14:paraId="06396113" w14:textId="77777777" w:rsidR="00CA609D" w:rsidRDefault="00CA609D">
      <w:pPr>
        <w:rPr>
          <w:rFonts w:ascii="Arial" w:eastAsia="Arial" w:hAnsi="Arial" w:cs="Arial"/>
        </w:rPr>
      </w:pPr>
    </w:p>
    <w:p w14:paraId="714C99F5" w14:textId="77777777" w:rsidR="00CA609D" w:rsidRDefault="00CA609D">
      <w:pPr>
        <w:rPr>
          <w:rFonts w:ascii="Arial" w:eastAsia="Arial" w:hAnsi="Arial" w:cs="Arial"/>
        </w:rPr>
      </w:pPr>
    </w:p>
    <w:p w14:paraId="3A4818C8" w14:textId="77777777" w:rsidR="00251E97" w:rsidRDefault="00B338AE">
      <w:pPr>
        <w:pStyle w:val="Nadpis2"/>
        <w:numPr>
          <w:ilvl w:val="1"/>
          <w:numId w:val="3"/>
        </w:numPr>
        <w:ind w:left="709"/>
      </w:pPr>
      <w:r>
        <w:rPr>
          <w:b/>
        </w:rPr>
        <w:t>Formy Spolupráce</w:t>
      </w:r>
    </w:p>
    <w:p w14:paraId="7AEB75D0" w14:textId="5644D650" w:rsidR="00251E97" w:rsidRDefault="00251E97">
      <w:pPr>
        <w:ind w:left="709"/>
        <w:rPr>
          <w:rFonts w:ascii="Arial" w:eastAsia="Arial" w:hAnsi="Arial" w:cs="Arial"/>
        </w:rPr>
      </w:pPr>
    </w:p>
    <w:p w14:paraId="36139F81" w14:textId="77777777" w:rsidR="00251E97" w:rsidRDefault="00B338AE">
      <w:pPr>
        <w:spacing w:before="120" w:after="240"/>
        <w:ind w:left="720"/>
        <w:jc w:val="both"/>
        <w:rPr>
          <w:rFonts w:ascii="Arial" w:eastAsia="Arial" w:hAnsi="Arial" w:cs="Arial"/>
        </w:rPr>
      </w:pPr>
      <w:r>
        <w:rPr>
          <w:rFonts w:ascii="Arial" w:eastAsia="Arial" w:hAnsi="Arial" w:cs="Arial"/>
        </w:rPr>
        <w:t>Formy spolupráce budou vycházet z přímého kontaktu odborníků a pracovních týmů Smluvních stran v souvislosti s charakterem jednotlivých zadání a společné vědecko-výzkumné práce. Jde zejména o tyto formy spolupráce:</w:t>
      </w:r>
    </w:p>
    <w:p w14:paraId="29DAE3EB" w14:textId="77777777" w:rsidR="00251E97" w:rsidRDefault="00B338AE">
      <w:pPr>
        <w:pStyle w:val="Nadpis1"/>
        <w:numPr>
          <w:ilvl w:val="0"/>
          <w:numId w:val="3"/>
        </w:numPr>
        <w:ind w:hanging="708"/>
      </w:pPr>
      <w:r>
        <w:t>Platnost smlouvy</w:t>
      </w:r>
    </w:p>
    <w:p w14:paraId="2E077A05" w14:textId="396E5BD4" w:rsidR="00B20D2A" w:rsidRPr="005D79EB" w:rsidRDefault="00B338AE" w:rsidP="00B20D2A">
      <w:pPr>
        <w:pStyle w:val="Nadpis2"/>
        <w:numPr>
          <w:ilvl w:val="1"/>
          <w:numId w:val="3"/>
        </w:numPr>
        <w:ind w:left="709"/>
      </w:pPr>
      <w:r>
        <w:t xml:space="preserve">Smlouva se uzavírá na </w:t>
      </w:r>
      <w:r w:rsidRPr="005D79EB">
        <w:t xml:space="preserve">dobu </w:t>
      </w:r>
      <w:r w:rsidR="008E405B" w:rsidRPr="005D79EB">
        <w:t>36</w:t>
      </w:r>
      <w:r w:rsidR="004425DB" w:rsidRPr="005D79EB">
        <w:t xml:space="preserve"> měsíců</w:t>
      </w:r>
      <w:r w:rsidRPr="005D79EB">
        <w:t>,</w:t>
      </w:r>
      <w:r w:rsidR="004425DB" w:rsidRPr="005D79EB">
        <w:rPr>
          <w:b/>
        </w:rPr>
        <w:t xml:space="preserve"> </w:t>
      </w:r>
      <w:r w:rsidR="004425DB" w:rsidRPr="005D79EB">
        <w:rPr>
          <w:bCs/>
        </w:rPr>
        <w:t xml:space="preserve">maximální cena plnění je stanovena na </w:t>
      </w:r>
      <w:proofErr w:type="gramStart"/>
      <w:r w:rsidR="00BA4F63" w:rsidRPr="005D79EB">
        <w:rPr>
          <w:bCs/>
        </w:rPr>
        <w:t>1.900.</w:t>
      </w:r>
      <w:r w:rsidR="004425DB" w:rsidRPr="005D79EB">
        <w:rPr>
          <w:bCs/>
        </w:rPr>
        <w:t>000,-</w:t>
      </w:r>
      <w:proofErr w:type="gramEnd"/>
      <w:r w:rsidR="004425DB" w:rsidRPr="005D79EB">
        <w:rPr>
          <w:bCs/>
        </w:rPr>
        <w:t xml:space="preserve"> Kč </w:t>
      </w:r>
      <w:r w:rsidR="00B20D2A" w:rsidRPr="005D79EB">
        <w:rPr>
          <w:bCs/>
        </w:rPr>
        <w:t>bez DPH</w:t>
      </w:r>
    </w:p>
    <w:p w14:paraId="7905EC6B" w14:textId="7A33AB51" w:rsidR="00B20D2A" w:rsidRPr="005D79EB" w:rsidRDefault="00B20D2A" w:rsidP="00B20D2A">
      <w:pPr>
        <w:pStyle w:val="Nadpis2"/>
        <w:numPr>
          <w:ilvl w:val="1"/>
          <w:numId w:val="3"/>
        </w:numPr>
        <w:ind w:left="709"/>
      </w:pPr>
      <w:r w:rsidRPr="005D79EB">
        <w:rPr>
          <w:bCs/>
        </w:rPr>
        <w:t>Smlouva nabývá účinnosti dnem jejího zveřejnění v registru smluv</w:t>
      </w:r>
    </w:p>
    <w:p w14:paraId="6DDE1B51" w14:textId="6A166AA3" w:rsidR="00251E97" w:rsidRDefault="00B338AE" w:rsidP="00B20D2A">
      <w:pPr>
        <w:pStyle w:val="Nadpis2"/>
        <w:numPr>
          <w:ilvl w:val="1"/>
          <w:numId w:val="3"/>
        </w:numPr>
        <w:ind w:left="709"/>
      </w:pPr>
      <w:r>
        <w:t xml:space="preserve">Kterákoliv ze smluvních stran je oprávněna písemně vypovědět tuto Smlouvu bez uvedení důvodu v tříměsíční výpovědní době, která začne běžet prvním dnem kalendářního měsíce následujícím po měsíci, v němž byla písemná výpověď doručena druhé smluvní straně. </w:t>
      </w:r>
    </w:p>
    <w:p w14:paraId="7CCAEECE" w14:textId="77777777" w:rsidR="00251E97" w:rsidRDefault="00B338AE">
      <w:pPr>
        <w:pStyle w:val="Nadpis1"/>
        <w:numPr>
          <w:ilvl w:val="0"/>
          <w:numId w:val="3"/>
        </w:numPr>
        <w:ind w:hanging="708"/>
      </w:pPr>
      <w:r>
        <w:t>Cena Služeb</w:t>
      </w:r>
    </w:p>
    <w:p w14:paraId="103842C2" w14:textId="56B6BB10" w:rsidR="00251E97" w:rsidRPr="005D79EB" w:rsidRDefault="00B338AE" w:rsidP="00E61628">
      <w:pPr>
        <w:pStyle w:val="Odstavecseseznamem"/>
        <w:numPr>
          <w:ilvl w:val="1"/>
          <w:numId w:val="3"/>
        </w:numPr>
        <w:pBdr>
          <w:top w:val="nil"/>
          <w:left w:val="nil"/>
          <w:bottom w:val="nil"/>
          <w:right w:val="nil"/>
          <w:between w:val="nil"/>
        </w:pBdr>
        <w:ind w:left="709"/>
        <w:rPr>
          <w:rFonts w:ascii="Arial" w:eastAsia="Arial" w:hAnsi="Arial" w:cs="Arial"/>
        </w:rPr>
      </w:pPr>
      <w:r w:rsidRPr="005D79EB">
        <w:rPr>
          <w:rFonts w:ascii="Arial" w:eastAsia="Arial" w:hAnsi="Arial" w:cs="Arial"/>
        </w:rPr>
        <w:t xml:space="preserve">Cena služby je viz. </w:t>
      </w:r>
      <w:r w:rsidR="00CA609D" w:rsidRPr="005D79EB">
        <w:rPr>
          <w:rFonts w:ascii="Arial" w:eastAsia="Arial" w:hAnsi="Arial" w:cs="Arial"/>
          <w:b/>
          <w:bCs/>
        </w:rPr>
        <w:t>P</w:t>
      </w:r>
      <w:r w:rsidRPr="005D79EB">
        <w:rPr>
          <w:rFonts w:ascii="Arial" w:eastAsia="Arial" w:hAnsi="Arial" w:cs="Arial"/>
          <w:b/>
          <w:bCs/>
        </w:rPr>
        <w:t xml:space="preserve">říloha </w:t>
      </w:r>
      <w:r w:rsidR="00CA609D" w:rsidRPr="005D79EB">
        <w:rPr>
          <w:rFonts w:ascii="Arial" w:eastAsia="Arial" w:hAnsi="Arial" w:cs="Arial"/>
          <w:b/>
          <w:bCs/>
        </w:rPr>
        <w:t xml:space="preserve">č. </w:t>
      </w:r>
      <w:r w:rsidR="00C80ADD" w:rsidRPr="005D79EB">
        <w:rPr>
          <w:rFonts w:ascii="Arial" w:eastAsia="Arial" w:hAnsi="Arial" w:cs="Arial"/>
          <w:b/>
          <w:bCs/>
        </w:rPr>
        <w:t>2</w:t>
      </w:r>
      <w:r w:rsidRPr="005D79EB">
        <w:rPr>
          <w:rFonts w:ascii="Arial" w:eastAsia="Arial" w:hAnsi="Arial" w:cs="Arial"/>
        </w:rPr>
        <w:t xml:space="preserve"> </w:t>
      </w:r>
    </w:p>
    <w:p w14:paraId="5965D1EF" w14:textId="77777777" w:rsidR="00251E97" w:rsidRDefault="00251E97">
      <w:pPr>
        <w:pBdr>
          <w:top w:val="nil"/>
          <w:left w:val="nil"/>
          <w:bottom w:val="nil"/>
          <w:right w:val="nil"/>
          <w:between w:val="nil"/>
        </w:pBdr>
        <w:rPr>
          <w:rFonts w:ascii="Arial" w:eastAsia="Arial" w:hAnsi="Arial" w:cs="Arial"/>
        </w:rPr>
      </w:pPr>
    </w:p>
    <w:p w14:paraId="3233A647" w14:textId="77777777" w:rsidR="00251E97" w:rsidRDefault="00251E97">
      <w:pPr>
        <w:rPr>
          <w:rFonts w:ascii="Arial" w:eastAsia="Arial" w:hAnsi="Arial" w:cs="Arial"/>
        </w:rPr>
      </w:pPr>
    </w:p>
    <w:p w14:paraId="027EAD37" w14:textId="1F4441FC" w:rsidR="00251E97" w:rsidRDefault="00B338AE">
      <w:pPr>
        <w:rPr>
          <w:rFonts w:ascii="Arial" w:eastAsia="Arial" w:hAnsi="Arial" w:cs="Arial"/>
        </w:rPr>
      </w:pPr>
      <w:bookmarkStart w:id="1" w:name="_Hlk175220194"/>
      <w:bookmarkStart w:id="2" w:name="_Hlk175220209"/>
      <w:r>
        <w:rPr>
          <w:rFonts w:ascii="Arial" w:eastAsia="Arial" w:hAnsi="Arial" w:cs="Arial"/>
        </w:rPr>
        <w:t xml:space="preserve">Cena služby </w:t>
      </w:r>
      <w:r w:rsidR="003F4A4E">
        <w:rPr>
          <w:rFonts w:ascii="Arial" w:eastAsia="Arial" w:hAnsi="Arial" w:cs="Arial"/>
        </w:rPr>
        <w:t xml:space="preserve">v sobě </w:t>
      </w:r>
      <w:r>
        <w:rPr>
          <w:rFonts w:ascii="Arial" w:eastAsia="Arial" w:hAnsi="Arial" w:cs="Arial"/>
        </w:rPr>
        <w:t>dále zahrnuje:</w:t>
      </w:r>
    </w:p>
    <w:p w14:paraId="50C7CC07" w14:textId="77777777" w:rsidR="00251E97" w:rsidRDefault="00B338AE">
      <w:pPr>
        <w:numPr>
          <w:ilvl w:val="1"/>
          <w:numId w:val="2"/>
        </w:numPr>
      </w:pPr>
      <w:r>
        <w:rPr>
          <w:rFonts w:ascii="Arial" w:eastAsia="Arial" w:hAnsi="Arial" w:cs="Arial"/>
        </w:rPr>
        <w:t xml:space="preserve">Vývoj </w:t>
      </w:r>
      <w:proofErr w:type="spellStart"/>
      <w:r>
        <w:rPr>
          <w:rFonts w:ascii="Arial" w:eastAsia="Arial" w:hAnsi="Arial" w:cs="Arial"/>
        </w:rPr>
        <w:t>workflow</w:t>
      </w:r>
      <w:proofErr w:type="spellEnd"/>
      <w:r>
        <w:rPr>
          <w:rFonts w:ascii="Arial" w:eastAsia="Arial" w:hAnsi="Arial" w:cs="Arial"/>
        </w:rPr>
        <w:t xml:space="preserve"> podle specifikací kliniky</w:t>
      </w:r>
    </w:p>
    <w:p w14:paraId="1BEB1977" w14:textId="77777777" w:rsidR="00251E97" w:rsidRDefault="00B338AE">
      <w:pPr>
        <w:numPr>
          <w:ilvl w:val="1"/>
          <w:numId w:val="2"/>
        </w:numPr>
        <w:rPr>
          <w:rFonts w:ascii="Arial" w:eastAsia="Arial" w:hAnsi="Arial" w:cs="Arial"/>
        </w:rPr>
      </w:pPr>
      <w:r>
        <w:rPr>
          <w:rFonts w:ascii="Arial" w:eastAsia="Arial" w:hAnsi="Arial" w:cs="Arial"/>
        </w:rPr>
        <w:t>Technická podpora</w:t>
      </w:r>
    </w:p>
    <w:p w14:paraId="253CAA72" w14:textId="77777777" w:rsidR="00251E97" w:rsidRDefault="00B338AE">
      <w:pPr>
        <w:numPr>
          <w:ilvl w:val="1"/>
          <w:numId w:val="2"/>
        </w:numPr>
        <w:rPr>
          <w:rFonts w:ascii="Arial" w:eastAsia="Arial" w:hAnsi="Arial" w:cs="Arial"/>
        </w:rPr>
      </w:pPr>
      <w:proofErr w:type="spellStart"/>
      <w:r>
        <w:rPr>
          <w:rFonts w:ascii="Arial" w:eastAsia="Arial" w:hAnsi="Arial" w:cs="Arial"/>
        </w:rPr>
        <w:t>Bioinformatická</w:t>
      </w:r>
      <w:proofErr w:type="spellEnd"/>
      <w:r>
        <w:rPr>
          <w:rFonts w:ascii="Arial" w:eastAsia="Arial" w:hAnsi="Arial" w:cs="Arial"/>
        </w:rPr>
        <w:t xml:space="preserve"> podpora</w:t>
      </w:r>
    </w:p>
    <w:p w14:paraId="2363A471" w14:textId="77777777" w:rsidR="00251E97" w:rsidRDefault="00B338AE">
      <w:pPr>
        <w:numPr>
          <w:ilvl w:val="1"/>
          <w:numId w:val="2"/>
        </w:numPr>
      </w:pPr>
      <w:r>
        <w:rPr>
          <w:rFonts w:ascii="Arial" w:eastAsia="Arial" w:hAnsi="Arial" w:cs="Arial"/>
        </w:rPr>
        <w:t xml:space="preserve">Testování a optimalizace </w:t>
      </w:r>
      <w:proofErr w:type="spellStart"/>
      <w:r>
        <w:rPr>
          <w:rFonts w:ascii="Arial" w:eastAsia="Arial" w:hAnsi="Arial" w:cs="Arial"/>
        </w:rPr>
        <w:t>workflow</w:t>
      </w:r>
      <w:proofErr w:type="spellEnd"/>
    </w:p>
    <w:p w14:paraId="40A85266" w14:textId="77777777" w:rsidR="00251E97" w:rsidRDefault="00B338AE">
      <w:pPr>
        <w:numPr>
          <w:ilvl w:val="1"/>
          <w:numId w:val="2"/>
        </w:numPr>
        <w:spacing w:after="240"/>
      </w:pPr>
      <w:r>
        <w:rPr>
          <w:rFonts w:ascii="Arial" w:eastAsia="Arial" w:hAnsi="Arial" w:cs="Arial"/>
        </w:rPr>
        <w:t xml:space="preserve">Konzultace a poradenství pro efektivní využití </w:t>
      </w:r>
      <w:proofErr w:type="spellStart"/>
      <w:r>
        <w:rPr>
          <w:rFonts w:ascii="Arial" w:eastAsia="Arial" w:hAnsi="Arial" w:cs="Arial"/>
        </w:rPr>
        <w:t>bioinformatických</w:t>
      </w:r>
      <w:proofErr w:type="spellEnd"/>
      <w:r>
        <w:rPr>
          <w:rFonts w:ascii="Arial" w:eastAsia="Arial" w:hAnsi="Arial" w:cs="Arial"/>
        </w:rPr>
        <w:t xml:space="preserve"> nástrojů</w:t>
      </w:r>
      <w:bookmarkEnd w:id="1"/>
    </w:p>
    <w:bookmarkEnd w:id="2"/>
    <w:p w14:paraId="146DFA9C" w14:textId="294FB6AF" w:rsidR="00251E97" w:rsidRPr="00E61628" w:rsidRDefault="00B338AE" w:rsidP="00E61628">
      <w:pPr>
        <w:pStyle w:val="Odstavecseseznamem"/>
        <w:numPr>
          <w:ilvl w:val="1"/>
          <w:numId w:val="3"/>
        </w:numPr>
        <w:spacing w:after="240"/>
        <w:ind w:left="709"/>
        <w:rPr>
          <w:rFonts w:ascii="Arial" w:eastAsia="Arial" w:hAnsi="Arial" w:cs="Arial"/>
        </w:rPr>
      </w:pPr>
      <w:r w:rsidRPr="00E61628">
        <w:rPr>
          <w:rFonts w:ascii="Arial" w:eastAsia="Arial" w:hAnsi="Arial" w:cs="Arial"/>
        </w:rPr>
        <w:t>Konzultace jsou k dispozici jak po telefonu, tak prostřednictvím e-mailu nebo online konference</w:t>
      </w:r>
      <w:r w:rsidR="00E61628">
        <w:rPr>
          <w:rFonts w:ascii="Arial" w:eastAsia="Arial" w:hAnsi="Arial" w:cs="Arial"/>
        </w:rPr>
        <w:br/>
      </w:r>
    </w:p>
    <w:p w14:paraId="329DE255" w14:textId="6B0A0C29" w:rsidR="00E61628" w:rsidRPr="00E61628" w:rsidRDefault="00E61628" w:rsidP="00E61628">
      <w:pPr>
        <w:pStyle w:val="Odstavecseseznamem"/>
        <w:numPr>
          <w:ilvl w:val="1"/>
          <w:numId w:val="3"/>
        </w:numPr>
        <w:spacing w:after="240"/>
        <w:ind w:left="709"/>
        <w:rPr>
          <w:rFonts w:ascii="Arial" w:eastAsia="Arial" w:hAnsi="Arial" w:cs="Arial"/>
        </w:rPr>
      </w:pPr>
      <w:r w:rsidRPr="00E61628">
        <w:rPr>
          <w:rFonts w:ascii="Arial" w:eastAsia="Arial" w:hAnsi="Arial" w:cs="Arial"/>
        </w:rPr>
        <w:lastRenderedPageBreak/>
        <w:t xml:space="preserve">Dodavatel se zavazuje provádět jednotlivé </w:t>
      </w:r>
      <w:proofErr w:type="spellStart"/>
      <w:r w:rsidRPr="00E61628">
        <w:rPr>
          <w:rFonts w:ascii="Arial" w:eastAsia="Arial" w:hAnsi="Arial" w:cs="Arial"/>
        </w:rPr>
        <w:t>bioinformatické</w:t>
      </w:r>
      <w:proofErr w:type="spellEnd"/>
      <w:r w:rsidRPr="00E61628">
        <w:rPr>
          <w:rFonts w:ascii="Arial" w:eastAsia="Arial" w:hAnsi="Arial" w:cs="Arial"/>
        </w:rPr>
        <w:t xml:space="preserve"> analýzy dat a zpracování vzorků maximálně do 24 hodin od jejich předání ze strany objednatele.</w:t>
      </w:r>
      <w:r>
        <w:rPr>
          <w:rFonts w:ascii="Arial" w:eastAsia="Arial" w:hAnsi="Arial" w:cs="Arial"/>
        </w:rPr>
        <w:br/>
      </w:r>
    </w:p>
    <w:p w14:paraId="5A33E732" w14:textId="7B817674" w:rsidR="00251E97" w:rsidRPr="005D79EB" w:rsidRDefault="00B338AE" w:rsidP="00E61628">
      <w:pPr>
        <w:pStyle w:val="Odstavecseseznamem"/>
        <w:numPr>
          <w:ilvl w:val="1"/>
          <w:numId w:val="3"/>
        </w:numPr>
        <w:spacing w:after="240"/>
        <w:ind w:left="709" w:hanging="709"/>
        <w:rPr>
          <w:rFonts w:ascii="Arial" w:eastAsia="Arial" w:hAnsi="Arial" w:cs="Arial"/>
        </w:rPr>
      </w:pPr>
      <w:r w:rsidRPr="00E61628">
        <w:rPr>
          <w:rFonts w:ascii="Arial" w:eastAsia="Arial" w:hAnsi="Arial" w:cs="Arial"/>
        </w:rPr>
        <w:t xml:space="preserve">Fakturace probíhá zpětně měsíčně dle </w:t>
      </w:r>
      <w:r w:rsidR="00525A71" w:rsidRPr="00E61628">
        <w:rPr>
          <w:rFonts w:ascii="Arial" w:eastAsia="Arial" w:hAnsi="Arial" w:cs="Arial"/>
        </w:rPr>
        <w:t>skutečného počtu provedených analýz</w:t>
      </w:r>
      <w:r w:rsidR="00F27C5D" w:rsidRPr="00E61628">
        <w:rPr>
          <w:rFonts w:ascii="Arial" w:eastAsia="Arial" w:hAnsi="Arial" w:cs="Arial"/>
        </w:rPr>
        <w:t xml:space="preserve"> a zpracování vzorků</w:t>
      </w:r>
      <w:r w:rsidR="007B461D" w:rsidRPr="00E61628">
        <w:rPr>
          <w:rFonts w:ascii="Arial" w:eastAsia="Arial" w:hAnsi="Arial" w:cs="Arial"/>
        </w:rPr>
        <w:t xml:space="preserve"> za příslušné období</w:t>
      </w:r>
      <w:r w:rsidRPr="00E61628">
        <w:rPr>
          <w:rFonts w:ascii="Arial" w:eastAsia="Arial" w:hAnsi="Arial" w:cs="Arial"/>
        </w:rPr>
        <w:t xml:space="preserve">. </w:t>
      </w:r>
      <w:r w:rsidRPr="005D79EB">
        <w:rPr>
          <w:rFonts w:ascii="Arial" w:eastAsia="Arial" w:hAnsi="Arial" w:cs="Arial"/>
        </w:rPr>
        <w:t xml:space="preserve">Splatnost faktury </w:t>
      </w:r>
      <w:r w:rsidR="00A52C25" w:rsidRPr="005D79EB">
        <w:rPr>
          <w:rFonts w:ascii="Arial" w:eastAsia="Arial" w:hAnsi="Arial" w:cs="Arial"/>
        </w:rPr>
        <w:t>60</w:t>
      </w:r>
      <w:r w:rsidRPr="005D79EB">
        <w:rPr>
          <w:rFonts w:ascii="Arial" w:eastAsia="Arial" w:hAnsi="Arial" w:cs="Arial"/>
        </w:rPr>
        <w:t xml:space="preserve"> dní.</w:t>
      </w:r>
      <w:r w:rsidR="000758CC" w:rsidRPr="005D79EB">
        <w:rPr>
          <w:rFonts w:ascii="Arial" w:eastAsia="Arial" w:hAnsi="Arial" w:cs="Arial"/>
        </w:rPr>
        <w:t xml:space="preserve"> </w:t>
      </w:r>
      <w:r w:rsidR="00A35B5F" w:rsidRPr="005D79EB">
        <w:rPr>
          <w:rFonts w:ascii="Arial" w:eastAsia="Arial" w:hAnsi="Arial" w:cs="Arial"/>
        </w:rPr>
        <w:t>Dodavatel</w:t>
      </w:r>
      <w:r w:rsidR="000758CC" w:rsidRPr="005D79EB">
        <w:rPr>
          <w:rFonts w:ascii="Arial" w:eastAsia="Arial" w:hAnsi="Arial" w:cs="Arial"/>
          <w:lang w:val="cs-CZ"/>
        </w:rPr>
        <w:t xml:space="preserve"> se zavazuje nepenalizovat zadavatele, pokud je ve zpoždění s úhradou menší než 60 dní po lhůtě splatnosti. Faktura musí obsahovat všechny náležitosti řádného účetního a daňového dokladu ve smyslu příslušných právních předpisů, zejména dle §106a odst. 6, z. č. 235/2004 Sb., o dani z přidané hodnoty, ve znění pozdějších předpisů. Úhrada DPH bude v souladu s §109 odst. 3 ZDPH provedena za poskytovatele jeho správci daně dle §109a ZDPH.</w:t>
      </w:r>
      <w:r w:rsidR="00E61628" w:rsidRPr="005D79EB">
        <w:rPr>
          <w:rFonts w:ascii="Arial" w:eastAsia="Arial" w:hAnsi="Arial" w:cs="Arial"/>
          <w:lang w:val="cs-CZ"/>
        </w:rPr>
        <w:br/>
      </w:r>
    </w:p>
    <w:p w14:paraId="14394FAB" w14:textId="4D6EA442" w:rsidR="00251E97" w:rsidRPr="00E61628" w:rsidRDefault="00B338AE" w:rsidP="00E61628">
      <w:pPr>
        <w:pStyle w:val="Odstavecseseznamem"/>
        <w:numPr>
          <w:ilvl w:val="1"/>
          <w:numId w:val="3"/>
        </w:numPr>
        <w:spacing w:after="240"/>
        <w:ind w:left="709"/>
        <w:rPr>
          <w:rFonts w:ascii="Arial" w:eastAsia="Arial" w:hAnsi="Arial" w:cs="Arial"/>
        </w:rPr>
      </w:pPr>
      <w:r w:rsidRPr="005D79EB">
        <w:rPr>
          <w:rFonts w:ascii="Arial" w:eastAsia="Arial" w:hAnsi="Arial" w:cs="Arial"/>
        </w:rPr>
        <w:t xml:space="preserve">Doplňující služby </w:t>
      </w:r>
      <w:r w:rsidR="000D2613" w:rsidRPr="005D79EB">
        <w:rPr>
          <w:rFonts w:ascii="Arial" w:eastAsia="Arial" w:hAnsi="Arial" w:cs="Arial"/>
        </w:rPr>
        <w:t xml:space="preserve">nad rámec bodu 3.1. budou fakturovány na základě vystavené objednávky, dle hodinové sazby za práci servisního technika (programátora, vývojáře) </w:t>
      </w:r>
      <w:r w:rsidR="00C80ADD" w:rsidRPr="005D79EB">
        <w:rPr>
          <w:rFonts w:ascii="Arial" w:eastAsia="Arial" w:hAnsi="Arial" w:cs="Arial"/>
        </w:rPr>
        <w:t xml:space="preserve">viz. </w:t>
      </w:r>
      <w:r w:rsidR="00CA609D" w:rsidRPr="005D79EB">
        <w:rPr>
          <w:rFonts w:ascii="Arial" w:eastAsia="Arial" w:hAnsi="Arial" w:cs="Arial"/>
          <w:b/>
          <w:bCs/>
        </w:rPr>
        <w:t>Příloha č. 2</w:t>
      </w:r>
      <w:r w:rsidR="00E61628">
        <w:rPr>
          <w:rFonts w:ascii="Arial" w:eastAsia="Arial" w:hAnsi="Arial" w:cs="Arial"/>
          <w:b/>
          <w:bCs/>
        </w:rPr>
        <w:br/>
      </w:r>
    </w:p>
    <w:p w14:paraId="75B2192D" w14:textId="51686244" w:rsidR="00251E97" w:rsidRPr="00E61628" w:rsidRDefault="00B338AE" w:rsidP="00E61628">
      <w:pPr>
        <w:pStyle w:val="Odstavecseseznamem"/>
        <w:numPr>
          <w:ilvl w:val="1"/>
          <w:numId w:val="3"/>
        </w:numPr>
        <w:spacing w:after="240"/>
        <w:ind w:left="709"/>
        <w:rPr>
          <w:rFonts w:ascii="Arial" w:eastAsia="Arial" w:hAnsi="Arial" w:cs="Arial"/>
          <w:b/>
        </w:rPr>
      </w:pPr>
      <w:r w:rsidRPr="00E61628">
        <w:rPr>
          <w:rFonts w:ascii="Arial" w:eastAsia="Arial" w:hAnsi="Arial" w:cs="Arial"/>
        </w:rPr>
        <w:t xml:space="preserve">Reakční doba technické podpory je do 24 hodin. Požadavky se </w:t>
      </w:r>
      <w:proofErr w:type="gramStart"/>
      <w:r w:rsidRPr="00E61628">
        <w:rPr>
          <w:rFonts w:ascii="Arial" w:eastAsia="Arial" w:hAnsi="Arial" w:cs="Arial"/>
        </w:rPr>
        <w:t>píší</w:t>
      </w:r>
      <w:proofErr w:type="gramEnd"/>
      <w:r w:rsidRPr="00E61628">
        <w:rPr>
          <w:rFonts w:ascii="Arial" w:eastAsia="Arial" w:hAnsi="Arial" w:cs="Arial"/>
        </w:rPr>
        <w:t xml:space="preserve"> na email: </w:t>
      </w:r>
      <w:r w:rsidR="002367EB" w:rsidRPr="002367EB">
        <w:rPr>
          <w:rFonts w:ascii="Arial" w:eastAsia="Arial" w:hAnsi="Arial" w:cs="Arial"/>
          <w:bCs/>
        </w:rPr>
        <w:t>broz@bioxsys.cz</w:t>
      </w:r>
    </w:p>
    <w:p w14:paraId="4C7CCD2E" w14:textId="77777777" w:rsidR="00251E97" w:rsidRDefault="00251E97">
      <w:pPr>
        <w:pStyle w:val="Nadpis2"/>
        <w:ind w:left="709" w:firstLine="0"/>
      </w:pPr>
    </w:p>
    <w:p w14:paraId="6AD84509" w14:textId="77777777" w:rsidR="00251E97" w:rsidRDefault="00B338AE">
      <w:pPr>
        <w:pStyle w:val="Nadpis1"/>
        <w:numPr>
          <w:ilvl w:val="0"/>
          <w:numId w:val="3"/>
        </w:numPr>
        <w:ind w:hanging="708"/>
      </w:pPr>
      <w:r>
        <w:t>Jiná ustanovení</w:t>
      </w:r>
    </w:p>
    <w:p w14:paraId="05DD569F" w14:textId="6CFD1A10" w:rsidR="00251E97" w:rsidRPr="005D79EB" w:rsidRDefault="00B338AE">
      <w:pPr>
        <w:numPr>
          <w:ilvl w:val="1"/>
          <w:numId w:val="3"/>
        </w:numPr>
        <w:ind w:left="720" w:hanging="705"/>
      </w:pPr>
      <w:r>
        <w:rPr>
          <w:rFonts w:ascii="Arial" w:eastAsia="Arial" w:hAnsi="Arial" w:cs="Arial"/>
        </w:rPr>
        <w:t>Souhlasíme s elektronickou fakturací s</w:t>
      </w:r>
      <w:r w:rsidR="00771476">
        <w:rPr>
          <w:rFonts w:ascii="Arial" w:eastAsia="Arial" w:hAnsi="Arial" w:cs="Arial"/>
        </w:rPr>
        <w:t>e</w:t>
      </w:r>
      <w:r>
        <w:rPr>
          <w:rFonts w:ascii="Arial" w:eastAsia="Arial" w:hAnsi="Arial" w:cs="Arial"/>
        </w:rPr>
        <w:t xml:space="preserve"> zasíláním na email:</w:t>
      </w:r>
      <w:r>
        <w:rPr>
          <w:rFonts w:ascii="Arial" w:eastAsia="Arial" w:hAnsi="Arial" w:cs="Arial"/>
          <w:sz w:val="18"/>
          <w:szCs w:val="18"/>
        </w:rPr>
        <w:t xml:space="preserve"> </w:t>
      </w:r>
      <w:r w:rsidR="00771476" w:rsidRPr="005D79EB">
        <w:rPr>
          <w:rFonts w:ascii="Arial" w:eastAsia="Arial" w:hAnsi="Arial" w:cs="Arial"/>
        </w:rPr>
        <w:t>faktura</w:t>
      </w:r>
      <w:r w:rsidRPr="005D79EB">
        <w:rPr>
          <w:rFonts w:ascii="Arial" w:eastAsia="Arial" w:hAnsi="Arial" w:cs="Arial"/>
        </w:rPr>
        <w:t>@ftn.cz</w:t>
      </w:r>
    </w:p>
    <w:p w14:paraId="1750B80E" w14:textId="77777777" w:rsidR="00251E97" w:rsidRDefault="00B338AE">
      <w:pPr>
        <w:pStyle w:val="Nadpis2"/>
        <w:numPr>
          <w:ilvl w:val="1"/>
          <w:numId w:val="3"/>
        </w:numPr>
        <w:ind w:left="709"/>
      </w:pPr>
      <w:r>
        <w:t>Kontaktními osobami smluvních stran pro účely plnění této Smlouvy (provádění analýzy vzorků) jsou:</w:t>
      </w:r>
    </w:p>
    <w:p w14:paraId="0EB19D99" w14:textId="530E4C6F" w:rsidR="00251E97" w:rsidRDefault="00B338AE">
      <w:pPr>
        <w:pStyle w:val="Nadpis2"/>
        <w:ind w:left="0" w:firstLine="720"/>
        <w:rPr>
          <w:color w:val="1155CC"/>
          <w:u w:val="single"/>
        </w:rPr>
      </w:pPr>
      <w:r>
        <w:t xml:space="preserve">Za Objednatele: </w:t>
      </w:r>
      <w:proofErr w:type="gramStart"/>
      <w:r w:rsidR="00F01747">
        <w:t xml:space="preserve">OU  </w:t>
      </w:r>
      <w:proofErr w:type="spellStart"/>
      <w:r w:rsidR="00F01747">
        <w:t>OU</w:t>
      </w:r>
      <w:proofErr w:type="spellEnd"/>
      <w:proofErr w:type="gramEnd"/>
    </w:p>
    <w:p w14:paraId="0DA89A1C" w14:textId="05109016" w:rsidR="00251E97" w:rsidRDefault="00B338AE" w:rsidP="002367EB">
      <w:pPr>
        <w:pStyle w:val="Nadpis2"/>
        <w:ind w:left="0" w:firstLine="720"/>
      </w:pPr>
      <w:r>
        <w:t>Za Dodavatele</w:t>
      </w:r>
      <w:r w:rsidRPr="005D79EB">
        <w:t xml:space="preserve">: </w:t>
      </w:r>
      <w:proofErr w:type="gramStart"/>
      <w:r w:rsidR="00F01747">
        <w:t xml:space="preserve">OU  </w:t>
      </w:r>
      <w:proofErr w:type="spellStart"/>
      <w:r w:rsidR="00F01747">
        <w:t>OU</w:t>
      </w:r>
      <w:proofErr w:type="spellEnd"/>
      <w:proofErr w:type="gramEnd"/>
    </w:p>
    <w:p w14:paraId="182CCF8F" w14:textId="77777777" w:rsidR="00251E97" w:rsidRDefault="00B338AE">
      <w:pPr>
        <w:pStyle w:val="Nadpis1"/>
        <w:numPr>
          <w:ilvl w:val="0"/>
          <w:numId w:val="3"/>
        </w:numPr>
        <w:ind w:hanging="708"/>
      </w:pPr>
      <w:r>
        <w:t>povinnost mlčenlivosti</w:t>
      </w:r>
    </w:p>
    <w:p w14:paraId="0A235AF3" w14:textId="77777777" w:rsidR="00251E97" w:rsidRDefault="00B338AE">
      <w:pPr>
        <w:pStyle w:val="Nadpis2"/>
        <w:numPr>
          <w:ilvl w:val="1"/>
          <w:numId w:val="3"/>
        </w:numPr>
        <w:ind w:left="709"/>
      </w:pPr>
      <w:r>
        <w:t>Smluvní strany označují veškeré informace, které obsahuje tato Smlouva, jakož i informace, které vzniknou v souvislosti s realizací této Smlouvy, za důvěrné.</w:t>
      </w:r>
    </w:p>
    <w:p w14:paraId="0964C006" w14:textId="77777777" w:rsidR="00251E97" w:rsidRDefault="00B338AE">
      <w:pPr>
        <w:pStyle w:val="Nadpis2"/>
        <w:numPr>
          <w:ilvl w:val="1"/>
          <w:numId w:val="3"/>
        </w:numPr>
        <w:ind w:left="709"/>
      </w:pPr>
      <w:r>
        <w:t>Důvěrnými informacemi se rozumí veškeré ústní, dokumentární nebo písemné informace obchodní, právní, finanční, technické či jiné povahy, které se týkají smluvních stran a jejich činnosti, postupů, služeb, zaměstnanců, klientů a budoucích klientů, anebo informací týkajících se majetku anebo práv duševního vlastnictví, pracovních informací, plánů, obchodního tajemství, návrhů, know-how, cen a nákladů, získaných smluvními stranami při realizaci této smlouvy, s výjimkou informací, které jsou v den uzavření této Smlouvy veřejně známými nebo které se už v tento den daly získat z běžně dostupných zdrojů nebo které se veřejně známými stanou.</w:t>
      </w:r>
    </w:p>
    <w:p w14:paraId="79274BF1" w14:textId="77777777" w:rsidR="00251E97" w:rsidRDefault="00B338AE">
      <w:pPr>
        <w:pStyle w:val="Nadpis2"/>
        <w:numPr>
          <w:ilvl w:val="1"/>
          <w:numId w:val="3"/>
        </w:numPr>
        <w:ind w:left="709"/>
      </w:pPr>
      <w:r>
        <w:t>Veškeré důvěrné informace získané smluvními stranami před uzavřením této Smlouvy jsou mezi smluvními stranami rovněž považovány za důvěrné informace a bude se s nimi zacházeno jako s informacemi, které byly poskytnuty po uzavření této Smlouvy.</w:t>
      </w:r>
    </w:p>
    <w:p w14:paraId="73994B5E" w14:textId="77777777" w:rsidR="00251E97" w:rsidRDefault="00B338AE">
      <w:pPr>
        <w:pStyle w:val="Nadpis2"/>
        <w:numPr>
          <w:ilvl w:val="1"/>
          <w:numId w:val="3"/>
        </w:numPr>
        <w:ind w:left="709"/>
      </w:pPr>
      <w:r>
        <w:t xml:space="preserve">V případě pochybnosti ohledně důvěrného rázu informací získaných smluvními stranami se strany zavazují s těmito zacházet jako s důvěrnými informacemi, pokud se nedohodnou jinak. </w:t>
      </w:r>
    </w:p>
    <w:p w14:paraId="5AED47DD" w14:textId="77777777" w:rsidR="00251E97" w:rsidRDefault="00B338AE">
      <w:pPr>
        <w:pStyle w:val="Nadpis2"/>
        <w:numPr>
          <w:ilvl w:val="1"/>
          <w:numId w:val="3"/>
        </w:numPr>
        <w:ind w:left="709"/>
      </w:pPr>
      <w:r>
        <w:t xml:space="preserve">Ochraně dle této Smlouvy nepodléhají informace, které jsou obecně známy veřejnosti; informace, které byly legálně získány od třetí strany a informace, které byly kteroukoli ze smluvních stran písemně schváleny k uvolnění pro veřejnost. </w:t>
      </w:r>
    </w:p>
    <w:p w14:paraId="5BEAC6B8" w14:textId="77777777" w:rsidR="00251E97" w:rsidRDefault="00B338AE">
      <w:pPr>
        <w:pStyle w:val="Nadpis2"/>
        <w:numPr>
          <w:ilvl w:val="1"/>
          <w:numId w:val="3"/>
        </w:numPr>
        <w:ind w:left="709"/>
      </w:pPr>
      <w:r>
        <w:t xml:space="preserve">Smluvní strany se zavazují zachovávat získané informace jako důvěrné a nebudou je poskytovat žádné osobě, pokud k tomu nebudou mít předem písemný souhlas druhé strany, nebo pokud to nebude povoleno jinak dle této Smlouvy. Získané informace budou smluvní strany používat výhradně pro účely realizace této Smlouvy. </w:t>
      </w:r>
    </w:p>
    <w:p w14:paraId="58D66E17" w14:textId="77777777" w:rsidR="00251E97" w:rsidRDefault="00B338AE">
      <w:pPr>
        <w:pStyle w:val="Nadpis2"/>
        <w:numPr>
          <w:ilvl w:val="1"/>
          <w:numId w:val="3"/>
        </w:numPr>
        <w:ind w:left="709"/>
      </w:pPr>
      <w:r>
        <w:t>Pokud kterákoli ze smluvních stran poruší mlčenlivost dle této Smlouvy, má druhá strana nárok na náhradu vzniklé škody, a to za podmínek stanovených příslušnými právními předpisy.</w:t>
      </w:r>
    </w:p>
    <w:p w14:paraId="354A3BC0" w14:textId="77777777" w:rsidR="00251E97" w:rsidRDefault="00251E97">
      <w:pPr>
        <w:ind w:left="4110"/>
      </w:pPr>
    </w:p>
    <w:p w14:paraId="7BE314F4" w14:textId="77777777" w:rsidR="00251E97" w:rsidRDefault="00B338AE">
      <w:pPr>
        <w:pStyle w:val="Nadpis1"/>
        <w:numPr>
          <w:ilvl w:val="0"/>
          <w:numId w:val="3"/>
        </w:numPr>
        <w:ind w:hanging="708"/>
      </w:pPr>
      <w:r>
        <w:lastRenderedPageBreak/>
        <w:t>ochrana osobních údajů</w:t>
      </w:r>
    </w:p>
    <w:p w14:paraId="51A7DD89" w14:textId="5ACE9243" w:rsidR="00251E97" w:rsidRDefault="00B338AE">
      <w:pPr>
        <w:pStyle w:val="Nadpis2"/>
        <w:numPr>
          <w:ilvl w:val="1"/>
          <w:numId w:val="3"/>
        </w:numPr>
        <w:ind w:left="709"/>
      </w:pPr>
      <w:r>
        <w:t>Smluvní strany prohlašují a berou na vědomí, že za účelem plnění této Smlouvy budou zpracovávány osobní údaje klientů Objednatele ve formě počítačového kódu. (dále jen „</w:t>
      </w:r>
      <w:r>
        <w:rPr>
          <w:b/>
          <w:i/>
        </w:rPr>
        <w:t>Osobní údaje</w:t>
      </w:r>
      <w:r>
        <w:t>“).</w:t>
      </w:r>
    </w:p>
    <w:p w14:paraId="145AC0D2" w14:textId="17982F97" w:rsidR="002D1288" w:rsidRPr="002D1288" w:rsidRDefault="002D1288" w:rsidP="002D1288">
      <w:pPr>
        <w:pStyle w:val="Nadpis2"/>
        <w:numPr>
          <w:ilvl w:val="1"/>
          <w:numId w:val="3"/>
        </w:numPr>
        <w:ind w:left="709"/>
      </w:pPr>
      <w:r>
        <w:t xml:space="preserve">Veškeré zpracování musí probíhat v souladu s platnou legislativou, zejména Zákonem </w:t>
      </w:r>
      <w:r w:rsidRPr="002D1288">
        <w:t>č. 110/2019 Sb., o zpracování osobních údajů</w:t>
      </w:r>
      <w:r>
        <w:t>.</w:t>
      </w:r>
    </w:p>
    <w:p w14:paraId="2FEAA537" w14:textId="77777777" w:rsidR="00251E97" w:rsidRDefault="00B338AE">
      <w:pPr>
        <w:pStyle w:val="Nadpis2"/>
        <w:numPr>
          <w:ilvl w:val="1"/>
          <w:numId w:val="3"/>
        </w:numPr>
        <w:ind w:left="709"/>
      </w:pPr>
      <w:r>
        <w:t>Smluvní strany prohlašují a berou na vědomí, že Osobní údaje budou Dodavatelem zpracovávány pouze za účelem plnění této Smlouvy.</w:t>
      </w:r>
    </w:p>
    <w:p w14:paraId="57D0FDA7" w14:textId="77777777" w:rsidR="00251E97" w:rsidRDefault="00B338AE">
      <w:pPr>
        <w:pStyle w:val="Nadpis2"/>
        <w:numPr>
          <w:ilvl w:val="1"/>
          <w:numId w:val="3"/>
        </w:numPr>
        <w:ind w:left="709"/>
      </w:pPr>
      <w:r>
        <w:t>Osobní údaje budou Dodavatelem zpracovávány pouze po dobu nezbytnou pro plnění této Smlouvy s tím, že pomine-li tento důvod (tj. zejména po provedení řádné analýzy vzorků dle této Smlouvy a jejím předání Objednateli), budou Osobní údaje Dodavatelem smazány (zničeny).</w:t>
      </w:r>
    </w:p>
    <w:p w14:paraId="079FE53C" w14:textId="77777777" w:rsidR="00251E97" w:rsidRDefault="00B338AE">
      <w:pPr>
        <w:pStyle w:val="Nadpis2"/>
        <w:numPr>
          <w:ilvl w:val="1"/>
          <w:numId w:val="3"/>
        </w:numPr>
        <w:ind w:left="709"/>
      </w:pPr>
      <w:r>
        <w:t>Dodavatel se na základě této Smlouvy zejména zavazuje zpracovávat pouze Osobní údaje odpovídající stanovenému účelu a v rozsahu nezbytném pro naplnění stanoveného účelu, nesdružovat Osobní údaje, které byly získány k rozdílným účelům, jakož i uchovávat Osobní údaje pouze po dobu, která je nezbytná k účelu jejich zpracování.</w:t>
      </w:r>
    </w:p>
    <w:p w14:paraId="1C29E20D" w14:textId="77777777" w:rsidR="00251E97" w:rsidRDefault="00B338AE">
      <w:pPr>
        <w:pStyle w:val="Nadpis2"/>
        <w:numPr>
          <w:ilvl w:val="1"/>
          <w:numId w:val="3"/>
        </w:numPr>
        <w:ind w:left="709"/>
      </w:pPr>
      <w:r>
        <w:t>Dodavatel se dále touto Smlouvou zavazuje přijmout taková organizační, technická, personální a jiná potřebná bezpečnostní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platnosti této Smlouvy.</w:t>
      </w:r>
    </w:p>
    <w:p w14:paraId="0DD1C97E" w14:textId="77777777" w:rsidR="00251E97" w:rsidRDefault="00B338AE">
      <w:pPr>
        <w:pStyle w:val="Nadpis2"/>
        <w:numPr>
          <w:ilvl w:val="1"/>
          <w:numId w:val="3"/>
        </w:numPr>
        <w:ind w:left="709"/>
      </w:pPr>
      <w:r>
        <w:t>Dodavatel se rovněž zavazuje zpracovat a dokumentovat přijatá a provedená organizační a technická opatření k zajištění ochrany Osobních údajů v souladu se zákonem a jinými právními předpisy, přičemž zajišťuje, kontroluje a odpovídá za</w:t>
      </w:r>
    </w:p>
    <w:p w14:paraId="442BA62A" w14:textId="77777777" w:rsidR="00251E97" w:rsidRDefault="00B338AE" w:rsidP="002F6B05">
      <w:pPr>
        <w:pStyle w:val="Nadpis2"/>
        <w:numPr>
          <w:ilvl w:val="2"/>
          <w:numId w:val="4"/>
        </w:numPr>
      </w:pPr>
      <w:r>
        <w:t>plnění pokynů pro zpracování Osobních údajů pouze k tomu oprávněnými osobami, které k osobním údajům mají bezprostřední přístup,</w:t>
      </w:r>
    </w:p>
    <w:p w14:paraId="5992665C" w14:textId="77777777" w:rsidR="00251E97" w:rsidRDefault="00B338AE" w:rsidP="002F6B05">
      <w:pPr>
        <w:pStyle w:val="Nadpis2"/>
        <w:numPr>
          <w:ilvl w:val="2"/>
          <w:numId w:val="4"/>
        </w:numPr>
      </w:pPr>
      <w:r>
        <w:t>zabránění neoprávněným osobám přistupovat k Osobním údajům a k prostředkům pro jejich zpracování,</w:t>
      </w:r>
    </w:p>
    <w:p w14:paraId="606DADBD" w14:textId="77777777" w:rsidR="00251E97" w:rsidRDefault="00B338AE" w:rsidP="002F6B05">
      <w:pPr>
        <w:pStyle w:val="Nadpis2"/>
        <w:numPr>
          <w:ilvl w:val="2"/>
          <w:numId w:val="4"/>
        </w:numPr>
      </w:pPr>
      <w:r>
        <w:t>zabránění neoprávněnému čtení, vytváření, kopírování, přenosu, úpravě či vymazání záznamů obsahujících Osobní údaje,</w:t>
      </w:r>
    </w:p>
    <w:p w14:paraId="6AAF0F16" w14:textId="77777777" w:rsidR="00251E97" w:rsidRDefault="00B338AE" w:rsidP="002F6B05">
      <w:pPr>
        <w:pStyle w:val="Nadpis2"/>
        <w:numPr>
          <w:ilvl w:val="2"/>
          <w:numId w:val="4"/>
        </w:numPr>
      </w:pPr>
      <w:r>
        <w:t>opatření, která umožní určit a ověřit, komu byly Osobní údaje předány, kým byly zpracovány, pozměněny nebo smazány.</w:t>
      </w:r>
    </w:p>
    <w:p w14:paraId="58E2C09E" w14:textId="77777777" w:rsidR="00251E97" w:rsidRDefault="00B338AE">
      <w:pPr>
        <w:pStyle w:val="Nadpis2"/>
        <w:numPr>
          <w:ilvl w:val="1"/>
          <w:numId w:val="3"/>
        </w:numPr>
        <w:ind w:left="709"/>
      </w:pPr>
      <w:bookmarkStart w:id="3" w:name="_Hlk176250916"/>
      <w:r>
        <w:t>Dodavatel se zavazuje vydáním vlastních vnitřních předpisů, příp. prostřednictvím zvláštních smluvních ujednání či školení, zajistit, že jeho zaměstnanci a jiné osoby, které budou zpracovávat Osobní údaje na základě smlouvy u Dodavatele, budou zpracovávat Osobní údaje pouze za podmínek a v rozsahu Dodavatelem stanoveném a odpovídajícím této Smlouvě a příslušným právním předpisům, zejména bude sám (a závazně uloží i těmto uvedeným osobám) zachovávat mlčenlivost o Osobních údajích a o bezpečnostních opatřeních, jejichž zveřejnění by ohrozilo zabezpečení Osobních údajů, a to i po skončení zaměstnání nebo příslušných prací u Dodavatele.</w:t>
      </w:r>
      <w:bookmarkEnd w:id="3"/>
      <w:r>
        <w:t xml:space="preserve"> </w:t>
      </w:r>
    </w:p>
    <w:p w14:paraId="0E045062" w14:textId="0FF9C128" w:rsidR="00251E97" w:rsidRDefault="00B338AE">
      <w:pPr>
        <w:pStyle w:val="Nadpis2"/>
        <w:numPr>
          <w:ilvl w:val="1"/>
          <w:numId w:val="3"/>
        </w:numPr>
        <w:ind w:left="709"/>
      </w:pPr>
      <w:r>
        <w:t>Dodavatel je povinen bez zbytečného odkladu oznámit Objednateli veškeré případy náhodného nebo neoprávněného přístupu k Osobním údajům</w:t>
      </w:r>
      <w:r w:rsidR="002D1288">
        <w:t xml:space="preserve"> a to emailem na adresu </w:t>
      </w:r>
      <w:proofErr w:type="gramStart"/>
      <w:r w:rsidR="002D1288" w:rsidRPr="002D1288">
        <w:t>poverenec.gdpr@ftn.cz</w:t>
      </w:r>
      <w:r w:rsidR="002D1288">
        <w:t>.</w:t>
      </w:r>
      <w:r>
        <w:t>.</w:t>
      </w:r>
      <w:proofErr w:type="gramEnd"/>
    </w:p>
    <w:p w14:paraId="568C710E" w14:textId="3090A287" w:rsidR="00251E97" w:rsidRDefault="00BE5772" w:rsidP="00BE5772">
      <w:pPr>
        <w:pStyle w:val="Nadpis1"/>
        <w:numPr>
          <w:ilvl w:val="0"/>
          <w:numId w:val="3"/>
        </w:numPr>
        <w:rPr>
          <w:bCs/>
          <w:lang w:val="cs-CZ"/>
        </w:rPr>
      </w:pPr>
      <w:r w:rsidRPr="00BE5772">
        <w:rPr>
          <w:bCs/>
          <w:lang w:val="cs-CZ"/>
        </w:rPr>
        <w:lastRenderedPageBreak/>
        <w:t xml:space="preserve">Upozornění ohledně zákona č. 181/2014 </w:t>
      </w:r>
      <w:r w:rsidR="00E43677" w:rsidRPr="00BE5772">
        <w:rPr>
          <w:bCs/>
          <w:lang w:val="cs-CZ"/>
        </w:rPr>
        <w:t>S</w:t>
      </w:r>
      <w:r w:rsidR="00E43677">
        <w:rPr>
          <w:bCs/>
          <w:lang w:val="cs-CZ"/>
        </w:rPr>
        <w:t>b.</w:t>
      </w:r>
    </w:p>
    <w:p w14:paraId="69B49134" w14:textId="647CD810" w:rsidR="00BE5772" w:rsidRPr="00BE5772" w:rsidRDefault="00BE5772" w:rsidP="00BE5772">
      <w:pPr>
        <w:pStyle w:val="Nadpis2"/>
        <w:numPr>
          <w:ilvl w:val="1"/>
          <w:numId w:val="3"/>
        </w:numPr>
        <w:ind w:left="851" w:hanging="851"/>
        <w:rPr>
          <w:lang w:val="cs-CZ"/>
        </w:rPr>
      </w:pPr>
      <w:r>
        <w:rPr>
          <w:lang w:val="cs-CZ"/>
        </w:rPr>
        <w:t>Objednatel</w:t>
      </w:r>
      <w:r w:rsidRPr="00BE5772">
        <w:rPr>
          <w:lang w:val="cs-CZ"/>
        </w:rPr>
        <w:t xml:space="preserve"> naplnil požadavky vyhlášky č. 437/2017 Sb., o kritériích pro určení provozovatele základní služby, a proto byl Národním úřadem pro kybernetickou a informační bezpečnost (dále jen NÚKIB) určen v souladu s § 3 písm. f) zákona č. 181/2014 Sb., o kybernetické bezpečnosti, za správce a provozovatele systému základní služby. </w:t>
      </w:r>
      <w:r>
        <w:rPr>
          <w:lang w:val="cs-CZ"/>
        </w:rPr>
        <w:t>Objednatel</w:t>
      </w:r>
      <w:r w:rsidRPr="00BE5772">
        <w:rPr>
          <w:lang w:val="cs-CZ"/>
        </w:rPr>
        <w:t xml:space="preserve"> je tedy povinen zohlednit požadavky vyplývající z bezpečnostních opatření při výběru dodavatele pro informační nebo komunikační systém a tyto požadavky zahrnout do smlouvy, kterou s dodavatelem uzavře. Zohlednění požadavků vyplývajících z bezpečnostních opatření podle věty první, v míře nezbytné pro splnění povinností podle kybernetického zákona, proto nelze považovat za nezákonné omezení hospodářské soutěže nebo neodůvodněnou překážku hospodářské soutěži.</w:t>
      </w:r>
      <w:r>
        <w:rPr>
          <w:lang w:val="cs-CZ"/>
        </w:rPr>
        <w:br/>
        <w:t xml:space="preserve">Objednatel </w:t>
      </w:r>
      <w:r w:rsidRPr="00BE5772">
        <w:rPr>
          <w:lang w:val="cs-CZ"/>
        </w:rPr>
        <w:t>(jakožto provozovatel základní služby podle kybernetického zákona) si vyhrazuje právo změny závazku (v rámci uzavřené smlouvy) upravit povinnosti poskytovatele servisních služeb podle dikce kybernetického zákona. Vybraný dodavatel je povinen toto strpět. Tato změna závazku nemá vliv na vysoutěženou cenu servisních služeb.</w:t>
      </w:r>
    </w:p>
    <w:p w14:paraId="2A97A347" w14:textId="1172B432" w:rsidR="00E61628" w:rsidRDefault="00E61628" w:rsidP="00E61628">
      <w:pPr>
        <w:pStyle w:val="Nadpis1"/>
        <w:numPr>
          <w:ilvl w:val="0"/>
          <w:numId w:val="3"/>
        </w:numPr>
        <w:ind w:hanging="708"/>
      </w:pPr>
      <w:r>
        <w:t>Smluvní pokuty</w:t>
      </w:r>
    </w:p>
    <w:p w14:paraId="2001F740" w14:textId="3E058D73" w:rsidR="00E61628" w:rsidRDefault="00E61628" w:rsidP="00E61628">
      <w:pPr>
        <w:pStyle w:val="Nadpis2"/>
        <w:numPr>
          <w:ilvl w:val="1"/>
          <w:numId w:val="3"/>
        </w:numPr>
        <w:ind w:left="709"/>
      </w:pPr>
      <w:r>
        <w:t xml:space="preserve">Při nedodržení termínu odezvy dle článku 3., má objednatel právo </w:t>
      </w:r>
      <w:r w:rsidR="00A51679">
        <w:t>požadovat od dodavatele zaplacení smluvní pokuty ve výši 500,- Kč za každý den prodlení.</w:t>
      </w:r>
    </w:p>
    <w:p w14:paraId="6C70C060" w14:textId="4D4FE292" w:rsidR="00A51679" w:rsidRDefault="00A51679" w:rsidP="00A51679">
      <w:pPr>
        <w:pStyle w:val="Nadpis2"/>
        <w:numPr>
          <w:ilvl w:val="1"/>
          <w:numId w:val="3"/>
        </w:numPr>
        <w:ind w:left="709"/>
      </w:pPr>
      <w:r w:rsidRPr="00A51679">
        <w:t xml:space="preserve">Za porušení povinností o ochraně informací ve smyslu čl. </w:t>
      </w:r>
      <w:r>
        <w:t>5. a 6.</w:t>
      </w:r>
      <w:r w:rsidRPr="00A51679">
        <w:t xml:space="preserve"> této smlouvy má poškozená strana právo požadovat po druhé smluvní straně smluvní pokutu ve výši 50.000 Kč. Nárok na náhradu škody tím není dotčen.</w:t>
      </w:r>
    </w:p>
    <w:p w14:paraId="556366E6" w14:textId="67B50FB8" w:rsidR="00F7279D" w:rsidRDefault="001D1B5D" w:rsidP="001D1B5D">
      <w:pPr>
        <w:pStyle w:val="Nadpis2"/>
        <w:numPr>
          <w:ilvl w:val="1"/>
          <w:numId w:val="3"/>
        </w:numPr>
        <w:ind w:left="709"/>
      </w:pPr>
      <w:r w:rsidRPr="001D1B5D">
        <w:t xml:space="preserve">V případě, že Objednatel bude v prodlení s úhradou (podle </w:t>
      </w:r>
      <w:r>
        <w:t>bodu</w:t>
      </w:r>
      <w:r w:rsidRPr="001D1B5D">
        <w:t xml:space="preserve"> </w:t>
      </w:r>
      <w:r>
        <w:t>3.4.</w:t>
      </w:r>
      <w:r w:rsidRPr="001D1B5D">
        <w:t xml:space="preserve"> této smlouvy), může zhotovitel požadovat úrok z prodlení dle platného Nařízení vlády.</w:t>
      </w:r>
    </w:p>
    <w:p w14:paraId="738A439D" w14:textId="3010B492" w:rsidR="00EE3189" w:rsidRDefault="00EE3189" w:rsidP="00EE3189">
      <w:pPr>
        <w:pStyle w:val="Nadpis2"/>
        <w:numPr>
          <w:ilvl w:val="1"/>
          <w:numId w:val="3"/>
        </w:numPr>
        <w:ind w:left="709"/>
      </w:pPr>
      <w:r w:rsidRPr="00EE3189">
        <w:t>Smluvní pokuta je splatná do čtrnácti (14) dnů ode dne doručení písemné výzvy.</w:t>
      </w:r>
    </w:p>
    <w:p w14:paraId="2F6D39A2" w14:textId="756103BE" w:rsidR="00EE3189" w:rsidRDefault="00EE3189" w:rsidP="00EE3189">
      <w:pPr>
        <w:pStyle w:val="Nadpis2"/>
        <w:numPr>
          <w:ilvl w:val="1"/>
          <w:numId w:val="3"/>
        </w:numPr>
        <w:ind w:left="709"/>
      </w:pPr>
      <w:r w:rsidRPr="00EE3189">
        <w:t>Povinností zaplatit smluvní pokutu není dotčen nárok na náhradu škody.</w:t>
      </w:r>
    </w:p>
    <w:p w14:paraId="64D9FB6D" w14:textId="77777777" w:rsidR="00251E97" w:rsidRDefault="00B338AE">
      <w:pPr>
        <w:pStyle w:val="Nadpis1"/>
        <w:numPr>
          <w:ilvl w:val="0"/>
          <w:numId w:val="3"/>
        </w:numPr>
        <w:ind w:hanging="708"/>
      </w:pPr>
      <w:r>
        <w:t>Závěrečná ustanovení</w:t>
      </w:r>
    </w:p>
    <w:p w14:paraId="198F8088" w14:textId="77777777" w:rsidR="00251E97" w:rsidRDefault="00B338AE">
      <w:pPr>
        <w:pStyle w:val="Nadpis2"/>
        <w:numPr>
          <w:ilvl w:val="1"/>
          <w:numId w:val="3"/>
        </w:numPr>
        <w:ind w:left="709"/>
      </w:pPr>
      <w:r>
        <w:t>Tato Smlouva je vyhotovena ve dvou (2) stejnopisech, z nichž každá smluvní strana obdrží jedno (1) vyhotovení.</w:t>
      </w:r>
    </w:p>
    <w:p w14:paraId="3142A584" w14:textId="77777777" w:rsidR="00251E97" w:rsidRDefault="00251E97">
      <w:pPr>
        <w:pStyle w:val="Nadpis2"/>
        <w:ind w:left="0" w:firstLine="0"/>
      </w:pPr>
    </w:p>
    <w:tbl>
      <w:tblPr>
        <w:tblStyle w:val="a1"/>
        <w:tblW w:w="8683" w:type="dxa"/>
        <w:tblInd w:w="709" w:type="dxa"/>
        <w:tblLayout w:type="fixed"/>
        <w:tblLook w:val="0400" w:firstRow="0" w:lastRow="0" w:firstColumn="0" w:lastColumn="0" w:noHBand="0" w:noVBand="1"/>
      </w:tblPr>
      <w:tblGrid>
        <w:gridCol w:w="868"/>
        <w:gridCol w:w="3422"/>
        <w:gridCol w:w="1134"/>
        <w:gridCol w:w="3259"/>
      </w:tblGrid>
      <w:tr w:rsidR="00251E97" w14:paraId="399FC789" w14:textId="77777777">
        <w:trPr>
          <w:trHeight w:val="270"/>
        </w:trPr>
        <w:tc>
          <w:tcPr>
            <w:tcW w:w="868" w:type="dxa"/>
            <w:shd w:val="clear" w:color="auto" w:fill="auto"/>
            <w:tcMar>
              <w:top w:w="0" w:type="dxa"/>
              <w:left w:w="108" w:type="dxa"/>
              <w:bottom w:w="0" w:type="dxa"/>
              <w:right w:w="108" w:type="dxa"/>
            </w:tcMar>
          </w:tcPr>
          <w:p w14:paraId="64D49710" w14:textId="77777777" w:rsidR="00251E97" w:rsidRDefault="00B338AE">
            <w:pPr>
              <w:pBdr>
                <w:top w:val="nil"/>
                <w:left w:val="nil"/>
                <w:bottom w:val="nil"/>
                <w:right w:val="nil"/>
                <w:between w:val="nil"/>
              </w:pBdr>
              <w:spacing w:before="40"/>
              <w:jc w:val="both"/>
              <w:rPr>
                <w:rFonts w:ascii="Arial" w:eastAsia="Arial" w:hAnsi="Arial" w:cs="Arial"/>
                <w:color w:val="000000"/>
              </w:rPr>
            </w:pPr>
            <w:r>
              <w:rPr>
                <w:rFonts w:ascii="Arial" w:eastAsia="Arial" w:hAnsi="Arial" w:cs="Arial"/>
                <w:color w:val="000000"/>
              </w:rPr>
              <w:t xml:space="preserve">Datum: </w:t>
            </w:r>
          </w:p>
        </w:tc>
        <w:tc>
          <w:tcPr>
            <w:tcW w:w="3422" w:type="dxa"/>
            <w:shd w:val="clear" w:color="auto" w:fill="auto"/>
            <w:tcMar>
              <w:top w:w="0" w:type="dxa"/>
              <w:left w:w="108" w:type="dxa"/>
              <w:bottom w:w="0" w:type="dxa"/>
              <w:right w:w="108" w:type="dxa"/>
            </w:tcMar>
          </w:tcPr>
          <w:p w14:paraId="4AB4200C" w14:textId="38331249" w:rsidR="00251E97" w:rsidRDefault="00F01747">
            <w:pPr>
              <w:spacing w:before="40"/>
              <w:jc w:val="both"/>
              <w:rPr>
                <w:rFonts w:ascii="Arial" w:eastAsia="Arial" w:hAnsi="Arial" w:cs="Arial"/>
                <w:color w:val="000000"/>
              </w:rPr>
            </w:pPr>
            <w:r>
              <w:rPr>
                <w:rFonts w:ascii="Arial" w:eastAsia="Arial" w:hAnsi="Arial" w:cs="Arial"/>
              </w:rPr>
              <w:t>27.11.2024</w:t>
            </w:r>
          </w:p>
        </w:tc>
        <w:tc>
          <w:tcPr>
            <w:tcW w:w="1134" w:type="dxa"/>
            <w:shd w:val="clear" w:color="auto" w:fill="auto"/>
            <w:tcMar>
              <w:top w:w="0" w:type="dxa"/>
              <w:left w:w="108" w:type="dxa"/>
              <w:bottom w:w="0" w:type="dxa"/>
              <w:right w:w="108" w:type="dxa"/>
            </w:tcMar>
          </w:tcPr>
          <w:p w14:paraId="7B3E4106" w14:textId="77777777" w:rsidR="00251E97" w:rsidRDefault="00B338AE">
            <w:pPr>
              <w:pBdr>
                <w:top w:val="nil"/>
                <w:left w:val="nil"/>
                <w:bottom w:val="nil"/>
                <w:right w:val="nil"/>
                <w:between w:val="nil"/>
              </w:pBdr>
              <w:spacing w:before="40"/>
              <w:jc w:val="both"/>
              <w:rPr>
                <w:rFonts w:ascii="Arial" w:eastAsia="Arial" w:hAnsi="Arial" w:cs="Arial"/>
                <w:color w:val="000000"/>
              </w:rPr>
            </w:pPr>
            <w:r>
              <w:rPr>
                <w:rFonts w:ascii="Arial" w:eastAsia="Arial" w:hAnsi="Arial" w:cs="Arial"/>
                <w:color w:val="000000"/>
              </w:rPr>
              <w:t xml:space="preserve">Datum: </w:t>
            </w:r>
          </w:p>
        </w:tc>
        <w:tc>
          <w:tcPr>
            <w:tcW w:w="3259" w:type="dxa"/>
            <w:shd w:val="clear" w:color="auto" w:fill="auto"/>
            <w:tcMar>
              <w:top w:w="0" w:type="dxa"/>
              <w:left w:w="108" w:type="dxa"/>
              <w:bottom w:w="0" w:type="dxa"/>
              <w:right w:w="108" w:type="dxa"/>
            </w:tcMar>
          </w:tcPr>
          <w:p w14:paraId="1E518D20" w14:textId="2E5585D9" w:rsidR="00251E97" w:rsidRDefault="00F01747">
            <w:pPr>
              <w:pBdr>
                <w:top w:val="nil"/>
                <w:left w:val="nil"/>
                <w:bottom w:val="nil"/>
                <w:right w:val="nil"/>
                <w:between w:val="nil"/>
              </w:pBdr>
              <w:spacing w:before="40"/>
              <w:jc w:val="both"/>
              <w:rPr>
                <w:rFonts w:ascii="Arial" w:eastAsia="Arial" w:hAnsi="Arial" w:cs="Arial"/>
                <w:color w:val="000000"/>
              </w:rPr>
            </w:pPr>
            <w:r>
              <w:rPr>
                <w:rFonts w:ascii="Arial" w:eastAsia="Arial" w:hAnsi="Arial" w:cs="Arial"/>
              </w:rPr>
              <w:t>25.11.2024</w:t>
            </w:r>
          </w:p>
        </w:tc>
      </w:tr>
      <w:tr w:rsidR="00251E97" w14:paraId="5AF6ADE0" w14:textId="77777777">
        <w:tc>
          <w:tcPr>
            <w:tcW w:w="4290" w:type="dxa"/>
            <w:gridSpan w:val="2"/>
            <w:shd w:val="clear" w:color="auto" w:fill="auto"/>
            <w:tcMar>
              <w:top w:w="0" w:type="dxa"/>
              <w:left w:w="108" w:type="dxa"/>
              <w:bottom w:w="0" w:type="dxa"/>
              <w:right w:w="108" w:type="dxa"/>
            </w:tcMar>
          </w:tcPr>
          <w:p w14:paraId="41B6B47A" w14:textId="77777777" w:rsidR="00251E97" w:rsidRDefault="00B338AE">
            <w:pPr>
              <w:pBdr>
                <w:top w:val="nil"/>
                <w:left w:val="nil"/>
                <w:bottom w:val="nil"/>
                <w:right w:val="nil"/>
                <w:between w:val="nil"/>
              </w:pBdr>
              <w:spacing w:before="40"/>
              <w:jc w:val="both"/>
              <w:rPr>
                <w:rFonts w:ascii="Arial" w:eastAsia="Arial" w:hAnsi="Arial" w:cs="Arial"/>
                <w:color w:val="000000"/>
              </w:rPr>
            </w:pPr>
            <w:r>
              <w:rPr>
                <w:rFonts w:ascii="Arial" w:eastAsia="Arial" w:hAnsi="Arial" w:cs="Arial"/>
                <w:color w:val="000000"/>
              </w:rPr>
              <w:t>Za Objednatele:</w:t>
            </w:r>
          </w:p>
        </w:tc>
        <w:tc>
          <w:tcPr>
            <w:tcW w:w="4393" w:type="dxa"/>
            <w:gridSpan w:val="2"/>
            <w:shd w:val="clear" w:color="auto" w:fill="auto"/>
            <w:tcMar>
              <w:top w:w="0" w:type="dxa"/>
              <w:left w:w="108" w:type="dxa"/>
              <w:bottom w:w="0" w:type="dxa"/>
              <w:right w:w="108" w:type="dxa"/>
            </w:tcMar>
          </w:tcPr>
          <w:p w14:paraId="193680C4" w14:textId="77777777" w:rsidR="00251E97" w:rsidRDefault="00B338AE">
            <w:pPr>
              <w:pBdr>
                <w:top w:val="nil"/>
                <w:left w:val="nil"/>
                <w:bottom w:val="nil"/>
                <w:right w:val="nil"/>
                <w:between w:val="nil"/>
              </w:pBdr>
              <w:spacing w:before="40"/>
              <w:jc w:val="both"/>
              <w:rPr>
                <w:rFonts w:ascii="Arial" w:eastAsia="Arial" w:hAnsi="Arial" w:cs="Arial"/>
                <w:color w:val="000000"/>
              </w:rPr>
            </w:pPr>
            <w:r>
              <w:rPr>
                <w:rFonts w:ascii="Arial" w:eastAsia="Arial" w:hAnsi="Arial" w:cs="Arial"/>
                <w:color w:val="000000"/>
              </w:rPr>
              <w:t>Za Dodavatele:</w:t>
            </w:r>
          </w:p>
        </w:tc>
      </w:tr>
      <w:tr w:rsidR="00251E97" w14:paraId="7D3DB4BA" w14:textId="77777777">
        <w:tc>
          <w:tcPr>
            <w:tcW w:w="868" w:type="dxa"/>
            <w:shd w:val="clear" w:color="auto" w:fill="auto"/>
            <w:tcMar>
              <w:top w:w="0" w:type="dxa"/>
              <w:left w:w="108" w:type="dxa"/>
              <w:bottom w:w="0" w:type="dxa"/>
              <w:right w:w="108" w:type="dxa"/>
            </w:tcMar>
          </w:tcPr>
          <w:p w14:paraId="44795FF0" w14:textId="77777777" w:rsidR="00251E97" w:rsidRDefault="00251E97">
            <w:pPr>
              <w:pBdr>
                <w:top w:val="nil"/>
                <w:left w:val="nil"/>
                <w:bottom w:val="nil"/>
                <w:right w:val="nil"/>
                <w:between w:val="nil"/>
              </w:pBdr>
              <w:spacing w:before="40"/>
              <w:jc w:val="both"/>
              <w:rPr>
                <w:rFonts w:ascii="Arial" w:eastAsia="Arial" w:hAnsi="Arial" w:cs="Arial"/>
                <w:color w:val="000000"/>
              </w:rPr>
            </w:pPr>
          </w:p>
          <w:p w14:paraId="7F6253CC" w14:textId="77777777" w:rsidR="00251E97" w:rsidRDefault="00251E97">
            <w:pPr>
              <w:pBdr>
                <w:top w:val="nil"/>
                <w:left w:val="nil"/>
                <w:bottom w:val="nil"/>
                <w:right w:val="nil"/>
                <w:between w:val="nil"/>
              </w:pBdr>
              <w:spacing w:before="40"/>
              <w:jc w:val="both"/>
              <w:rPr>
                <w:rFonts w:ascii="Arial" w:eastAsia="Arial" w:hAnsi="Arial" w:cs="Arial"/>
                <w:color w:val="000000"/>
              </w:rPr>
            </w:pPr>
          </w:p>
          <w:p w14:paraId="7A35C299" w14:textId="77777777" w:rsidR="00251E97" w:rsidRDefault="00251E97">
            <w:pPr>
              <w:pBdr>
                <w:top w:val="nil"/>
                <w:left w:val="nil"/>
                <w:bottom w:val="nil"/>
                <w:right w:val="nil"/>
                <w:between w:val="nil"/>
              </w:pBdr>
              <w:spacing w:before="40"/>
              <w:jc w:val="both"/>
              <w:rPr>
                <w:rFonts w:ascii="Arial" w:eastAsia="Arial" w:hAnsi="Arial" w:cs="Arial"/>
                <w:color w:val="000000"/>
              </w:rPr>
            </w:pPr>
          </w:p>
        </w:tc>
        <w:tc>
          <w:tcPr>
            <w:tcW w:w="3422" w:type="dxa"/>
            <w:shd w:val="clear" w:color="auto" w:fill="auto"/>
            <w:tcMar>
              <w:top w:w="0" w:type="dxa"/>
              <w:left w:w="108" w:type="dxa"/>
              <w:bottom w:w="0" w:type="dxa"/>
              <w:right w:w="108" w:type="dxa"/>
            </w:tcMar>
          </w:tcPr>
          <w:p w14:paraId="7B7773C5" w14:textId="77777777" w:rsidR="00251E97" w:rsidRDefault="00251E97">
            <w:pPr>
              <w:pBdr>
                <w:top w:val="nil"/>
                <w:left w:val="nil"/>
                <w:bottom w:val="nil"/>
                <w:right w:val="nil"/>
                <w:between w:val="nil"/>
              </w:pBdr>
              <w:spacing w:before="40"/>
              <w:jc w:val="both"/>
              <w:rPr>
                <w:rFonts w:ascii="Arial" w:eastAsia="Arial" w:hAnsi="Arial" w:cs="Arial"/>
                <w:color w:val="000000"/>
              </w:rPr>
            </w:pPr>
          </w:p>
        </w:tc>
        <w:tc>
          <w:tcPr>
            <w:tcW w:w="1134" w:type="dxa"/>
            <w:shd w:val="clear" w:color="auto" w:fill="auto"/>
            <w:tcMar>
              <w:top w:w="0" w:type="dxa"/>
              <w:left w:w="108" w:type="dxa"/>
              <w:bottom w:w="0" w:type="dxa"/>
              <w:right w:w="108" w:type="dxa"/>
            </w:tcMar>
          </w:tcPr>
          <w:p w14:paraId="30A14713" w14:textId="77777777" w:rsidR="00251E97" w:rsidRDefault="00251E97">
            <w:pPr>
              <w:pBdr>
                <w:top w:val="nil"/>
                <w:left w:val="nil"/>
                <w:bottom w:val="nil"/>
                <w:right w:val="nil"/>
                <w:between w:val="nil"/>
              </w:pBdr>
              <w:spacing w:before="40"/>
              <w:jc w:val="both"/>
              <w:rPr>
                <w:rFonts w:ascii="Arial" w:eastAsia="Arial" w:hAnsi="Arial" w:cs="Arial"/>
                <w:color w:val="000000"/>
              </w:rPr>
            </w:pPr>
          </w:p>
        </w:tc>
        <w:tc>
          <w:tcPr>
            <w:tcW w:w="3259" w:type="dxa"/>
            <w:shd w:val="clear" w:color="auto" w:fill="auto"/>
            <w:tcMar>
              <w:top w:w="0" w:type="dxa"/>
              <w:left w:w="108" w:type="dxa"/>
              <w:bottom w:w="0" w:type="dxa"/>
              <w:right w:w="108" w:type="dxa"/>
            </w:tcMar>
          </w:tcPr>
          <w:p w14:paraId="36307D25" w14:textId="77777777" w:rsidR="00251E97" w:rsidRDefault="00251E97">
            <w:pPr>
              <w:pBdr>
                <w:top w:val="nil"/>
                <w:left w:val="nil"/>
                <w:bottom w:val="nil"/>
                <w:right w:val="nil"/>
                <w:between w:val="nil"/>
              </w:pBdr>
              <w:spacing w:before="40"/>
              <w:jc w:val="both"/>
              <w:rPr>
                <w:rFonts w:ascii="Arial" w:eastAsia="Arial" w:hAnsi="Arial" w:cs="Arial"/>
                <w:color w:val="000000"/>
              </w:rPr>
            </w:pPr>
          </w:p>
        </w:tc>
      </w:tr>
      <w:tr w:rsidR="00251E97" w14:paraId="3DDB8FFA" w14:textId="77777777">
        <w:tc>
          <w:tcPr>
            <w:tcW w:w="868" w:type="dxa"/>
            <w:shd w:val="clear" w:color="auto" w:fill="auto"/>
            <w:tcMar>
              <w:top w:w="0" w:type="dxa"/>
              <w:left w:w="108" w:type="dxa"/>
              <w:bottom w:w="0" w:type="dxa"/>
              <w:right w:w="108" w:type="dxa"/>
            </w:tcMar>
          </w:tcPr>
          <w:p w14:paraId="434B3DEE" w14:textId="77777777" w:rsidR="00251E97" w:rsidRDefault="00B338AE">
            <w:pPr>
              <w:pBdr>
                <w:top w:val="nil"/>
                <w:left w:val="nil"/>
                <w:bottom w:val="nil"/>
                <w:right w:val="nil"/>
                <w:between w:val="nil"/>
              </w:pBdr>
              <w:spacing w:before="40"/>
              <w:jc w:val="both"/>
              <w:rPr>
                <w:rFonts w:ascii="Arial" w:eastAsia="Arial" w:hAnsi="Arial" w:cs="Arial"/>
                <w:color w:val="000000"/>
              </w:rPr>
            </w:pPr>
            <w:r>
              <w:rPr>
                <w:rFonts w:ascii="Arial" w:eastAsia="Arial" w:hAnsi="Arial" w:cs="Arial"/>
                <w:color w:val="000000"/>
              </w:rPr>
              <w:t>Podpis</w:t>
            </w:r>
          </w:p>
        </w:tc>
        <w:tc>
          <w:tcPr>
            <w:tcW w:w="3422" w:type="dxa"/>
            <w:shd w:val="clear" w:color="auto" w:fill="auto"/>
            <w:tcMar>
              <w:top w:w="0" w:type="dxa"/>
              <w:left w:w="108" w:type="dxa"/>
              <w:bottom w:w="0" w:type="dxa"/>
              <w:right w:w="108" w:type="dxa"/>
            </w:tcMar>
          </w:tcPr>
          <w:p w14:paraId="38939EC4" w14:textId="77777777" w:rsidR="00251E97" w:rsidRDefault="00B338AE">
            <w:pPr>
              <w:pBdr>
                <w:top w:val="nil"/>
                <w:left w:val="nil"/>
                <w:bottom w:val="nil"/>
                <w:right w:val="nil"/>
                <w:between w:val="nil"/>
              </w:pBdr>
              <w:spacing w:before="40"/>
              <w:jc w:val="both"/>
              <w:rPr>
                <w:rFonts w:ascii="Arial" w:eastAsia="Arial" w:hAnsi="Arial" w:cs="Arial"/>
                <w:color w:val="000000"/>
              </w:rPr>
            </w:pPr>
            <w:r>
              <w:rPr>
                <w:rFonts w:ascii="Arial" w:eastAsia="Arial" w:hAnsi="Arial" w:cs="Arial"/>
                <w:color w:val="000000"/>
              </w:rPr>
              <w:t>…………………………….</w:t>
            </w:r>
          </w:p>
          <w:p w14:paraId="123E8DBD" w14:textId="77777777" w:rsidR="00251E97" w:rsidRDefault="00251E97">
            <w:pPr>
              <w:pBdr>
                <w:top w:val="nil"/>
                <w:left w:val="nil"/>
                <w:bottom w:val="nil"/>
                <w:right w:val="nil"/>
                <w:between w:val="nil"/>
              </w:pBdr>
              <w:spacing w:before="40"/>
              <w:jc w:val="both"/>
              <w:rPr>
                <w:rFonts w:ascii="Arial" w:eastAsia="Arial" w:hAnsi="Arial" w:cs="Arial"/>
                <w:color w:val="000000"/>
              </w:rPr>
            </w:pPr>
          </w:p>
        </w:tc>
        <w:tc>
          <w:tcPr>
            <w:tcW w:w="1134" w:type="dxa"/>
            <w:shd w:val="clear" w:color="auto" w:fill="auto"/>
            <w:tcMar>
              <w:top w:w="0" w:type="dxa"/>
              <w:left w:w="108" w:type="dxa"/>
              <w:bottom w:w="0" w:type="dxa"/>
              <w:right w:w="108" w:type="dxa"/>
            </w:tcMar>
          </w:tcPr>
          <w:p w14:paraId="04D0388C" w14:textId="77777777" w:rsidR="00251E97" w:rsidRDefault="00B338AE">
            <w:pPr>
              <w:pBdr>
                <w:top w:val="nil"/>
                <w:left w:val="nil"/>
                <w:bottom w:val="nil"/>
                <w:right w:val="nil"/>
                <w:between w:val="nil"/>
              </w:pBdr>
              <w:spacing w:before="40"/>
              <w:jc w:val="both"/>
              <w:rPr>
                <w:rFonts w:ascii="Arial" w:eastAsia="Arial" w:hAnsi="Arial" w:cs="Arial"/>
                <w:color w:val="000000"/>
              </w:rPr>
            </w:pPr>
            <w:r>
              <w:rPr>
                <w:rFonts w:ascii="Arial" w:eastAsia="Arial" w:hAnsi="Arial" w:cs="Arial"/>
                <w:color w:val="000000"/>
              </w:rPr>
              <w:t>Podpis:</w:t>
            </w:r>
          </w:p>
        </w:tc>
        <w:tc>
          <w:tcPr>
            <w:tcW w:w="3259" w:type="dxa"/>
            <w:shd w:val="clear" w:color="auto" w:fill="auto"/>
            <w:tcMar>
              <w:top w:w="0" w:type="dxa"/>
              <w:left w:w="108" w:type="dxa"/>
              <w:bottom w:w="0" w:type="dxa"/>
              <w:right w:w="108" w:type="dxa"/>
            </w:tcMar>
          </w:tcPr>
          <w:p w14:paraId="4315FEC4" w14:textId="77777777" w:rsidR="00251E97" w:rsidRDefault="00B338AE">
            <w:pPr>
              <w:pBdr>
                <w:top w:val="nil"/>
                <w:left w:val="nil"/>
                <w:bottom w:val="nil"/>
                <w:right w:val="nil"/>
                <w:between w:val="nil"/>
              </w:pBdr>
              <w:spacing w:before="40"/>
              <w:jc w:val="both"/>
              <w:rPr>
                <w:rFonts w:ascii="Arial" w:eastAsia="Arial" w:hAnsi="Arial" w:cs="Arial"/>
                <w:color w:val="000000"/>
              </w:rPr>
            </w:pPr>
            <w:r>
              <w:rPr>
                <w:rFonts w:ascii="Arial" w:eastAsia="Arial" w:hAnsi="Arial" w:cs="Arial"/>
                <w:color w:val="000000"/>
              </w:rPr>
              <w:t>…………………………..</w:t>
            </w:r>
          </w:p>
        </w:tc>
      </w:tr>
      <w:tr w:rsidR="00251E97" w14:paraId="619DB70B" w14:textId="77777777">
        <w:trPr>
          <w:trHeight w:val="270"/>
        </w:trPr>
        <w:tc>
          <w:tcPr>
            <w:tcW w:w="868" w:type="dxa"/>
            <w:shd w:val="clear" w:color="auto" w:fill="auto"/>
            <w:tcMar>
              <w:top w:w="0" w:type="dxa"/>
              <w:left w:w="108" w:type="dxa"/>
              <w:bottom w:w="0" w:type="dxa"/>
              <w:right w:w="108" w:type="dxa"/>
            </w:tcMar>
          </w:tcPr>
          <w:p w14:paraId="2B2F3D71" w14:textId="77777777" w:rsidR="00251E97" w:rsidRDefault="00251E97">
            <w:pPr>
              <w:pBdr>
                <w:top w:val="nil"/>
                <w:left w:val="nil"/>
                <w:bottom w:val="nil"/>
                <w:right w:val="nil"/>
                <w:between w:val="nil"/>
              </w:pBdr>
              <w:spacing w:before="40"/>
              <w:jc w:val="both"/>
              <w:rPr>
                <w:rFonts w:ascii="Arial" w:eastAsia="Arial" w:hAnsi="Arial" w:cs="Arial"/>
                <w:color w:val="000000"/>
              </w:rPr>
            </w:pPr>
          </w:p>
        </w:tc>
        <w:tc>
          <w:tcPr>
            <w:tcW w:w="3422" w:type="dxa"/>
            <w:shd w:val="clear" w:color="auto" w:fill="auto"/>
            <w:tcMar>
              <w:top w:w="0" w:type="dxa"/>
              <w:left w:w="108" w:type="dxa"/>
              <w:bottom w:w="0" w:type="dxa"/>
              <w:right w:w="108" w:type="dxa"/>
            </w:tcMar>
          </w:tcPr>
          <w:p w14:paraId="4E54E6CD" w14:textId="77777777" w:rsidR="00251E97" w:rsidRDefault="00251E97">
            <w:pPr>
              <w:pBdr>
                <w:top w:val="nil"/>
                <w:left w:val="nil"/>
                <w:bottom w:val="nil"/>
                <w:right w:val="nil"/>
                <w:between w:val="nil"/>
              </w:pBdr>
              <w:spacing w:before="40"/>
              <w:jc w:val="both"/>
              <w:rPr>
                <w:rFonts w:ascii="Arial" w:eastAsia="Arial" w:hAnsi="Arial" w:cs="Arial"/>
                <w:color w:val="000000"/>
              </w:rPr>
            </w:pPr>
          </w:p>
        </w:tc>
        <w:tc>
          <w:tcPr>
            <w:tcW w:w="1134" w:type="dxa"/>
            <w:shd w:val="clear" w:color="auto" w:fill="auto"/>
            <w:tcMar>
              <w:top w:w="0" w:type="dxa"/>
              <w:left w:w="108" w:type="dxa"/>
              <w:bottom w:w="0" w:type="dxa"/>
              <w:right w:w="108" w:type="dxa"/>
            </w:tcMar>
          </w:tcPr>
          <w:p w14:paraId="2A271CA4" w14:textId="77777777" w:rsidR="00251E97" w:rsidRDefault="00251E97">
            <w:pPr>
              <w:pBdr>
                <w:top w:val="nil"/>
                <w:left w:val="nil"/>
                <w:bottom w:val="nil"/>
                <w:right w:val="nil"/>
                <w:between w:val="nil"/>
              </w:pBdr>
              <w:spacing w:before="40"/>
              <w:jc w:val="both"/>
              <w:rPr>
                <w:rFonts w:ascii="Arial" w:eastAsia="Arial" w:hAnsi="Arial" w:cs="Arial"/>
                <w:color w:val="000000"/>
              </w:rPr>
            </w:pPr>
          </w:p>
        </w:tc>
        <w:tc>
          <w:tcPr>
            <w:tcW w:w="3259" w:type="dxa"/>
            <w:shd w:val="clear" w:color="auto" w:fill="auto"/>
            <w:tcMar>
              <w:top w:w="0" w:type="dxa"/>
              <w:left w:w="108" w:type="dxa"/>
              <w:bottom w:w="0" w:type="dxa"/>
              <w:right w:w="108" w:type="dxa"/>
            </w:tcMar>
          </w:tcPr>
          <w:p w14:paraId="39829512" w14:textId="77777777" w:rsidR="00251E97" w:rsidRDefault="00251E97">
            <w:pPr>
              <w:pBdr>
                <w:top w:val="nil"/>
                <w:left w:val="nil"/>
                <w:bottom w:val="nil"/>
                <w:right w:val="nil"/>
                <w:between w:val="nil"/>
              </w:pBdr>
              <w:spacing w:before="40"/>
              <w:jc w:val="both"/>
              <w:rPr>
                <w:rFonts w:ascii="Arial" w:eastAsia="Arial" w:hAnsi="Arial" w:cs="Arial"/>
                <w:color w:val="000000"/>
              </w:rPr>
            </w:pPr>
          </w:p>
        </w:tc>
      </w:tr>
      <w:tr w:rsidR="00251E97" w14:paraId="58AB3E84" w14:textId="77777777">
        <w:trPr>
          <w:trHeight w:val="359"/>
        </w:trPr>
        <w:tc>
          <w:tcPr>
            <w:tcW w:w="868" w:type="dxa"/>
            <w:shd w:val="clear" w:color="auto" w:fill="auto"/>
            <w:tcMar>
              <w:top w:w="0" w:type="dxa"/>
              <w:left w:w="108" w:type="dxa"/>
              <w:bottom w:w="0" w:type="dxa"/>
              <w:right w:w="108" w:type="dxa"/>
            </w:tcMar>
          </w:tcPr>
          <w:p w14:paraId="7A840339" w14:textId="57A48E78" w:rsidR="00251E97" w:rsidRDefault="00B338AE" w:rsidP="00C7687F">
            <w:pPr>
              <w:pBdr>
                <w:top w:val="nil"/>
                <w:left w:val="nil"/>
                <w:bottom w:val="nil"/>
                <w:right w:val="nil"/>
                <w:between w:val="nil"/>
              </w:pBdr>
              <w:spacing w:before="40"/>
              <w:ind w:right="-231"/>
              <w:jc w:val="both"/>
              <w:rPr>
                <w:rFonts w:ascii="Arial" w:eastAsia="Arial" w:hAnsi="Arial" w:cs="Arial"/>
                <w:color w:val="000000"/>
              </w:rPr>
            </w:pPr>
            <w:r>
              <w:rPr>
                <w:rFonts w:ascii="Arial" w:eastAsia="Arial" w:hAnsi="Arial" w:cs="Arial"/>
                <w:color w:val="000000"/>
              </w:rPr>
              <w:t>Funkc</w:t>
            </w:r>
            <w:r w:rsidR="00C7687F">
              <w:rPr>
                <w:rFonts w:ascii="Arial" w:eastAsia="Arial" w:hAnsi="Arial" w:cs="Arial"/>
                <w:color w:val="000000"/>
              </w:rPr>
              <w:t>e</w:t>
            </w:r>
          </w:p>
        </w:tc>
        <w:tc>
          <w:tcPr>
            <w:tcW w:w="3422" w:type="dxa"/>
            <w:shd w:val="clear" w:color="auto" w:fill="auto"/>
            <w:tcMar>
              <w:top w:w="0" w:type="dxa"/>
              <w:left w:w="108" w:type="dxa"/>
              <w:bottom w:w="0" w:type="dxa"/>
              <w:right w:w="108" w:type="dxa"/>
            </w:tcMar>
          </w:tcPr>
          <w:p w14:paraId="357CA6EE" w14:textId="77777777" w:rsidR="00251E97" w:rsidRDefault="00251E97">
            <w:pPr>
              <w:pBdr>
                <w:top w:val="nil"/>
                <w:left w:val="nil"/>
                <w:bottom w:val="nil"/>
                <w:right w:val="nil"/>
                <w:between w:val="nil"/>
              </w:pBdr>
              <w:spacing w:before="40"/>
              <w:rPr>
                <w:rFonts w:ascii="Arial" w:eastAsia="Arial" w:hAnsi="Arial" w:cs="Arial"/>
                <w:color w:val="000000"/>
              </w:rPr>
            </w:pPr>
          </w:p>
        </w:tc>
        <w:tc>
          <w:tcPr>
            <w:tcW w:w="1134" w:type="dxa"/>
            <w:shd w:val="clear" w:color="auto" w:fill="auto"/>
            <w:tcMar>
              <w:top w:w="0" w:type="dxa"/>
              <w:left w:w="108" w:type="dxa"/>
              <w:bottom w:w="0" w:type="dxa"/>
              <w:right w:w="108" w:type="dxa"/>
            </w:tcMar>
          </w:tcPr>
          <w:p w14:paraId="0A1CD0CE" w14:textId="77777777" w:rsidR="00251E97" w:rsidRDefault="00B338AE">
            <w:pPr>
              <w:pBdr>
                <w:top w:val="nil"/>
                <w:left w:val="nil"/>
                <w:bottom w:val="nil"/>
                <w:right w:val="nil"/>
                <w:between w:val="nil"/>
              </w:pBdr>
              <w:spacing w:before="40"/>
              <w:jc w:val="both"/>
              <w:rPr>
                <w:rFonts w:ascii="Arial" w:eastAsia="Arial" w:hAnsi="Arial" w:cs="Arial"/>
                <w:color w:val="000000"/>
              </w:rPr>
            </w:pPr>
            <w:r>
              <w:rPr>
                <w:rFonts w:ascii="Arial" w:eastAsia="Arial" w:hAnsi="Arial" w:cs="Arial"/>
                <w:color w:val="000000"/>
              </w:rPr>
              <w:t>Funkce:</w:t>
            </w:r>
          </w:p>
        </w:tc>
        <w:tc>
          <w:tcPr>
            <w:tcW w:w="3259" w:type="dxa"/>
            <w:shd w:val="clear" w:color="auto" w:fill="auto"/>
            <w:tcMar>
              <w:top w:w="0" w:type="dxa"/>
              <w:left w:w="108" w:type="dxa"/>
              <w:bottom w:w="0" w:type="dxa"/>
              <w:right w:w="108" w:type="dxa"/>
            </w:tcMar>
          </w:tcPr>
          <w:p w14:paraId="0E83283C" w14:textId="764EAE6E" w:rsidR="00251E97" w:rsidRDefault="00251E97">
            <w:pPr>
              <w:pBdr>
                <w:top w:val="nil"/>
                <w:left w:val="nil"/>
                <w:bottom w:val="nil"/>
                <w:right w:val="nil"/>
                <w:between w:val="nil"/>
              </w:pBdr>
              <w:spacing w:before="40"/>
              <w:jc w:val="both"/>
              <w:rPr>
                <w:rFonts w:ascii="Arial" w:eastAsia="Arial" w:hAnsi="Arial" w:cs="Arial"/>
                <w:color w:val="000000"/>
              </w:rPr>
            </w:pPr>
          </w:p>
        </w:tc>
      </w:tr>
    </w:tbl>
    <w:p w14:paraId="3C8A3B0D" w14:textId="77777777" w:rsidR="00251E97" w:rsidRDefault="00251E97">
      <w:pPr>
        <w:widowControl/>
        <w:pBdr>
          <w:top w:val="nil"/>
          <w:left w:val="nil"/>
          <w:bottom w:val="nil"/>
          <w:right w:val="nil"/>
          <w:between w:val="nil"/>
        </w:pBdr>
        <w:jc w:val="both"/>
        <w:rPr>
          <w:rFonts w:ascii="Arial" w:eastAsia="Arial" w:hAnsi="Arial" w:cs="Arial"/>
        </w:rPr>
      </w:pPr>
    </w:p>
    <w:p w14:paraId="6070250F" w14:textId="6CD1D90A" w:rsidR="00251E97" w:rsidRPr="00F27C5D" w:rsidRDefault="00F27C5D" w:rsidP="00F27C5D">
      <w:pPr>
        <w:widowControl/>
        <w:pBdr>
          <w:top w:val="nil"/>
          <w:left w:val="nil"/>
          <w:bottom w:val="nil"/>
          <w:right w:val="nil"/>
          <w:between w:val="nil"/>
        </w:pBdr>
        <w:jc w:val="center"/>
        <w:rPr>
          <w:rFonts w:ascii="Arial" w:eastAsia="Arial" w:hAnsi="Arial" w:cs="Arial"/>
          <w:b/>
          <w:bCs/>
        </w:rPr>
      </w:pPr>
      <w:r w:rsidRPr="00F27C5D">
        <w:rPr>
          <w:rFonts w:ascii="Arial" w:eastAsia="Arial" w:hAnsi="Arial" w:cs="Arial"/>
          <w:b/>
          <w:bCs/>
        </w:rPr>
        <w:t>Příloha č. 1 – Technická specifikace</w:t>
      </w:r>
    </w:p>
    <w:p w14:paraId="39C6028A" w14:textId="37F95553" w:rsidR="00F27C5D" w:rsidRDefault="00F27C5D" w:rsidP="00F27C5D">
      <w:pPr>
        <w:widowControl/>
        <w:pBdr>
          <w:top w:val="nil"/>
          <w:left w:val="nil"/>
          <w:bottom w:val="nil"/>
          <w:right w:val="nil"/>
          <w:between w:val="nil"/>
        </w:pBdr>
        <w:jc w:val="center"/>
        <w:rPr>
          <w:rFonts w:ascii="Arial" w:eastAsia="Arial" w:hAnsi="Arial" w:cs="Arial"/>
        </w:rPr>
      </w:pPr>
      <w:r>
        <w:rPr>
          <w:rFonts w:ascii="Arial" w:eastAsia="Arial" w:hAnsi="Arial" w:cs="Arial"/>
        </w:rPr>
        <w:t>[Dodavatelem vyplněná příloha č. 1 je nedílnou součástí této smlouvy]</w:t>
      </w:r>
    </w:p>
    <w:p w14:paraId="67E81408" w14:textId="77777777" w:rsidR="00F27C5D" w:rsidRDefault="00F27C5D">
      <w:pPr>
        <w:widowControl/>
        <w:pBdr>
          <w:top w:val="nil"/>
          <w:left w:val="nil"/>
          <w:bottom w:val="nil"/>
          <w:right w:val="nil"/>
          <w:between w:val="nil"/>
        </w:pBdr>
        <w:jc w:val="both"/>
        <w:rPr>
          <w:rFonts w:ascii="Arial" w:eastAsia="Arial" w:hAnsi="Arial" w:cs="Arial"/>
        </w:rPr>
      </w:pPr>
    </w:p>
    <w:p w14:paraId="258F2604" w14:textId="77777777" w:rsidR="00F27C5D" w:rsidRDefault="00F27C5D" w:rsidP="00F27C5D">
      <w:pPr>
        <w:widowControl/>
        <w:pBdr>
          <w:top w:val="nil"/>
          <w:left w:val="nil"/>
          <w:bottom w:val="nil"/>
          <w:right w:val="nil"/>
          <w:between w:val="nil"/>
        </w:pBdr>
        <w:jc w:val="center"/>
        <w:rPr>
          <w:rFonts w:ascii="Arial" w:eastAsia="Arial" w:hAnsi="Arial" w:cs="Arial"/>
        </w:rPr>
      </w:pPr>
    </w:p>
    <w:p w14:paraId="1411D24F" w14:textId="734B29CA" w:rsidR="00F27C5D" w:rsidRPr="00F27C5D" w:rsidRDefault="00F27C5D" w:rsidP="00F27C5D">
      <w:pPr>
        <w:widowControl/>
        <w:pBdr>
          <w:top w:val="nil"/>
          <w:left w:val="nil"/>
          <w:bottom w:val="nil"/>
          <w:right w:val="nil"/>
          <w:between w:val="nil"/>
        </w:pBdr>
        <w:jc w:val="center"/>
        <w:rPr>
          <w:rFonts w:ascii="Arial" w:eastAsia="Arial" w:hAnsi="Arial" w:cs="Arial"/>
          <w:b/>
          <w:bCs/>
        </w:rPr>
      </w:pPr>
      <w:r w:rsidRPr="00F27C5D">
        <w:rPr>
          <w:rFonts w:ascii="Arial" w:eastAsia="Arial" w:hAnsi="Arial" w:cs="Arial"/>
          <w:b/>
          <w:bCs/>
        </w:rPr>
        <w:t>Příloha č. 2 – Cenová nabídka služeb</w:t>
      </w:r>
    </w:p>
    <w:p w14:paraId="04637BE0" w14:textId="681A6E4C" w:rsidR="00F27C5D" w:rsidRDefault="00F27C5D" w:rsidP="005D79EB">
      <w:pPr>
        <w:widowControl/>
        <w:pBdr>
          <w:top w:val="nil"/>
          <w:left w:val="nil"/>
          <w:bottom w:val="nil"/>
          <w:right w:val="nil"/>
          <w:between w:val="nil"/>
        </w:pBdr>
        <w:jc w:val="center"/>
        <w:rPr>
          <w:rFonts w:ascii="Arial" w:eastAsia="Arial" w:hAnsi="Arial" w:cs="Arial"/>
        </w:rPr>
      </w:pPr>
      <w:r>
        <w:rPr>
          <w:rFonts w:ascii="Arial" w:eastAsia="Arial" w:hAnsi="Arial" w:cs="Arial"/>
        </w:rPr>
        <w:t>[Dodavatelem vyplněná příloha č. 2 je nedílnou součástí této smlouvy]</w:t>
      </w:r>
    </w:p>
    <w:p w14:paraId="3A2BE983" w14:textId="77777777" w:rsidR="00F01747" w:rsidRDefault="00F01747" w:rsidP="005D79EB">
      <w:pPr>
        <w:widowControl/>
        <w:pBdr>
          <w:top w:val="nil"/>
          <w:left w:val="nil"/>
          <w:bottom w:val="nil"/>
          <w:right w:val="nil"/>
          <w:between w:val="nil"/>
        </w:pBdr>
        <w:jc w:val="center"/>
        <w:rPr>
          <w:rFonts w:ascii="Arial" w:eastAsia="Arial" w:hAnsi="Arial" w:cs="Arial"/>
        </w:rPr>
      </w:pPr>
    </w:p>
    <w:p w14:paraId="37E15FAB" w14:textId="10D2BAC4" w:rsidR="00F01747" w:rsidRDefault="00F01747" w:rsidP="00F01747">
      <w:pPr>
        <w:widowControl/>
        <w:pBdr>
          <w:top w:val="nil"/>
          <w:left w:val="nil"/>
          <w:bottom w:val="nil"/>
          <w:right w:val="nil"/>
          <w:between w:val="nil"/>
        </w:pBdr>
        <w:rPr>
          <w:rFonts w:ascii="Arial" w:eastAsia="Arial" w:hAnsi="Arial" w:cs="Arial"/>
        </w:rPr>
      </w:pPr>
      <w:proofErr w:type="gramStart"/>
      <w:r>
        <w:rPr>
          <w:rFonts w:ascii="Arial" w:eastAsia="Arial" w:hAnsi="Arial" w:cs="Arial"/>
        </w:rPr>
        <w:t xml:space="preserve">OU  </w:t>
      </w:r>
      <w:proofErr w:type="spellStart"/>
      <w:r>
        <w:rPr>
          <w:rFonts w:ascii="Arial" w:eastAsia="Arial" w:hAnsi="Arial" w:cs="Arial"/>
        </w:rPr>
        <w:t>OU</w:t>
      </w:r>
      <w:proofErr w:type="spellEnd"/>
      <w:proofErr w:type="gramEnd"/>
      <w:r>
        <w:rPr>
          <w:rFonts w:ascii="Arial" w:eastAsia="Arial" w:hAnsi="Arial" w:cs="Arial"/>
        </w:rPr>
        <w:t xml:space="preserve">  =  osobní údaj</w:t>
      </w:r>
    </w:p>
    <w:sectPr w:rsidR="00F01747">
      <w:headerReference w:type="default" r:id="rId10"/>
      <w:footerReference w:type="default" r:id="rId11"/>
      <w:footerReference w:type="first" r:id="rId12"/>
      <w:pgSz w:w="11906" w:h="16838"/>
      <w:pgMar w:top="1418" w:right="1134" w:bottom="1134" w:left="1412" w:header="708" w:footer="66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1085B" w14:textId="77777777" w:rsidR="00B338AE" w:rsidRDefault="00B338AE">
      <w:r>
        <w:separator/>
      </w:r>
    </w:p>
  </w:endnote>
  <w:endnote w:type="continuationSeparator" w:id="0">
    <w:p w14:paraId="59EFAFD9" w14:textId="77777777" w:rsidR="00B338AE" w:rsidRDefault="00B3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0C88D" w14:textId="77777777" w:rsidR="00251E97" w:rsidRDefault="00251E97">
    <w:pPr>
      <w:widowControl/>
      <w:pBdr>
        <w:top w:val="single" w:sz="4" w:space="1" w:color="000000"/>
        <w:left w:val="nil"/>
        <w:bottom w:val="nil"/>
        <w:right w:val="nil"/>
        <w:between w:val="nil"/>
      </w:pBdr>
      <w:tabs>
        <w:tab w:val="center" w:pos="4536"/>
        <w:tab w:val="right" w:pos="8931"/>
      </w:tabs>
      <w:jc w:val="both"/>
      <w:rPr>
        <w:rFonts w:ascii="Arial" w:eastAsia="Arial" w:hAnsi="Arial" w:cs="Arial"/>
        <w:color w:val="000000"/>
        <w:sz w:val="16"/>
        <w:szCs w:val="16"/>
      </w:rPr>
    </w:pPr>
  </w:p>
  <w:p w14:paraId="475AB4BF" w14:textId="77777777" w:rsidR="00251E97" w:rsidRDefault="00B338AE">
    <w:pPr>
      <w:widowControl/>
      <w:pBdr>
        <w:top w:val="single" w:sz="4" w:space="1" w:color="000000"/>
        <w:left w:val="nil"/>
        <w:bottom w:val="nil"/>
        <w:right w:val="nil"/>
        <w:between w:val="nil"/>
      </w:pBdr>
      <w:tabs>
        <w:tab w:val="center" w:pos="4536"/>
        <w:tab w:val="right" w:pos="8931"/>
        <w:tab w:val="right" w:pos="9356"/>
      </w:tabs>
      <w:jc w:val="both"/>
      <w:rPr>
        <w:rFonts w:ascii="Arial" w:eastAsia="Arial" w:hAnsi="Arial" w:cs="Arial"/>
        <w:color w:val="000000"/>
        <w:sz w:val="16"/>
        <w:szCs w:val="16"/>
      </w:rPr>
    </w:pPr>
    <w:r>
      <w:rPr>
        <w:rFonts w:ascii="Arial" w:eastAsia="Arial" w:hAnsi="Arial" w:cs="Arial"/>
        <w:color w:val="000000"/>
        <w:sz w:val="16"/>
        <w:szCs w:val="16"/>
      </w:rPr>
      <w:tab/>
      <w:t xml:space="preserve">Strana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868F8">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 xml:space="preserve"> z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1868F8">
      <w:rPr>
        <w:rFonts w:ascii="Arial" w:eastAsia="Arial" w:hAnsi="Arial" w:cs="Arial"/>
        <w:noProof/>
        <w:color w:val="000000"/>
        <w:sz w:val="16"/>
        <w:szCs w:val="16"/>
      </w:rPr>
      <w:t>3</w:t>
    </w:r>
    <w:r>
      <w:rPr>
        <w:rFonts w:ascii="Arial" w:eastAsia="Arial" w:hAnsi="Arial" w:cs="Arial"/>
        <w:color w:val="000000"/>
        <w:sz w:val="16"/>
        <w:szCs w:val="16"/>
      </w:rPr>
      <w:fldChar w:fldCharType="end"/>
    </w:r>
    <w:r>
      <w:rPr>
        <w:rFonts w:ascii="Arial" w:eastAsia="Arial" w:hAnsi="Arial" w:cs="Arial"/>
        <w:color w:val="000000"/>
        <w:sz w:val="16"/>
        <w:szCs w:val="16"/>
      </w:rPr>
      <w:tab/>
    </w:r>
  </w:p>
  <w:p w14:paraId="7DD4CFF6" w14:textId="77777777" w:rsidR="00251E97" w:rsidRDefault="00251E97">
    <w:pPr>
      <w:widowControl/>
      <w:pBdr>
        <w:top w:val="nil"/>
        <w:left w:val="nil"/>
        <w:bottom w:val="nil"/>
        <w:right w:val="nil"/>
        <w:between w:val="nil"/>
      </w:pBdr>
      <w:jc w:val="both"/>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0DAD7" w14:textId="77777777" w:rsidR="00251E97" w:rsidRDefault="00251E97">
    <w:pPr>
      <w:widowControl/>
      <w:pBdr>
        <w:top w:val="single" w:sz="4" w:space="1" w:color="000000"/>
        <w:left w:val="nil"/>
        <w:bottom w:val="nil"/>
        <w:right w:val="nil"/>
        <w:between w:val="nil"/>
      </w:pBdr>
      <w:tabs>
        <w:tab w:val="center" w:pos="4536"/>
        <w:tab w:val="right" w:pos="8931"/>
      </w:tabs>
      <w:jc w:val="both"/>
      <w:rPr>
        <w:rFonts w:ascii="Arial" w:eastAsia="Arial" w:hAnsi="Arial" w:cs="Arial"/>
        <w:color w:val="000000"/>
        <w:sz w:val="16"/>
        <w:szCs w:val="16"/>
      </w:rPr>
    </w:pPr>
  </w:p>
  <w:p w14:paraId="5F3849B6" w14:textId="77777777" w:rsidR="00251E97" w:rsidRDefault="00B338AE">
    <w:pPr>
      <w:widowControl/>
      <w:pBdr>
        <w:top w:val="single" w:sz="4" w:space="1" w:color="000000"/>
        <w:left w:val="nil"/>
        <w:bottom w:val="nil"/>
        <w:right w:val="nil"/>
        <w:between w:val="nil"/>
      </w:pBdr>
      <w:tabs>
        <w:tab w:val="center" w:pos="4536"/>
        <w:tab w:val="right" w:pos="8931"/>
        <w:tab w:val="right" w:pos="9356"/>
      </w:tabs>
      <w:jc w:val="both"/>
      <w:rPr>
        <w:rFonts w:ascii="Arial" w:eastAsia="Arial" w:hAnsi="Arial" w:cs="Arial"/>
        <w:color w:val="000000"/>
        <w:sz w:val="16"/>
        <w:szCs w:val="16"/>
      </w:rPr>
    </w:pPr>
    <w:r>
      <w:rPr>
        <w:rFonts w:ascii="Arial" w:eastAsia="Arial" w:hAnsi="Arial" w:cs="Arial"/>
        <w:color w:val="000000"/>
        <w:sz w:val="16"/>
        <w:szCs w:val="16"/>
      </w:rPr>
      <w:tab/>
      <w:t xml:space="preserve">Strana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868F8">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z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1868F8">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ab/>
    </w:r>
  </w:p>
  <w:p w14:paraId="0D70C2A2" w14:textId="77777777" w:rsidR="00251E97" w:rsidRDefault="00251E97">
    <w:pPr>
      <w:widowControl/>
      <w:pBdr>
        <w:top w:val="nil"/>
        <w:left w:val="nil"/>
        <w:bottom w:val="nil"/>
        <w:right w:val="nil"/>
        <w:between w:val="nil"/>
      </w:pBdr>
      <w:jc w:val="both"/>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9F380" w14:textId="77777777" w:rsidR="00B338AE" w:rsidRDefault="00B338AE">
      <w:r>
        <w:separator/>
      </w:r>
    </w:p>
  </w:footnote>
  <w:footnote w:type="continuationSeparator" w:id="0">
    <w:p w14:paraId="77DD47C0" w14:textId="77777777" w:rsidR="00B338AE" w:rsidRDefault="00B3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486FC" w14:textId="77777777" w:rsidR="00251E97" w:rsidRDefault="00251E97">
    <w:pPr>
      <w:widowControl/>
      <w:pBdr>
        <w:top w:val="nil"/>
        <w:left w:val="nil"/>
        <w:bottom w:val="single" w:sz="4" w:space="1" w:color="000000"/>
        <w:right w:val="nil"/>
        <w:between w:val="nil"/>
      </w:pBdr>
      <w:tabs>
        <w:tab w:val="center" w:pos="4536"/>
        <w:tab w:val="right" w:pos="8931"/>
      </w:tabs>
      <w:jc w:val="both"/>
      <w:rPr>
        <w:rFonts w:ascii="Arial" w:eastAsia="Arial" w:hAnsi="Arial" w:cs="Arial"/>
        <w:color w:val="000000"/>
        <w:sz w:val="16"/>
        <w:szCs w:val="16"/>
      </w:rPr>
    </w:pPr>
  </w:p>
  <w:p w14:paraId="20AB6191" w14:textId="77777777" w:rsidR="00251E97" w:rsidRDefault="00B338AE">
    <w:pPr>
      <w:widowControl/>
      <w:pBdr>
        <w:top w:val="nil"/>
        <w:left w:val="nil"/>
        <w:bottom w:val="single" w:sz="4" w:space="1" w:color="000000"/>
        <w:right w:val="nil"/>
        <w:between w:val="nil"/>
      </w:pBdr>
      <w:tabs>
        <w:tab w:val="center" w:pos="4536"/>
        <w:tab w:val="right" w:pos="8931"/>
      </w:tabs>
      <w:spacing w:after="120" w:line="360" w:lineRule="auto"/>
      <w:jc w:val="both"/>
      <w:rPr>
        <w:rFonts w:ascii="Arial" w:eastAsia="Arial" w:hAnsi="Arial" w:cs="Arial"/>
        <w:color w:val="000000"/>
        <w:sz w:val="16"/>
        <w:szCs w:val="16"/>
      </w:rPr>
    </w:pPr>
    <w:r>
      <w:rPr>
        <w:rFonts w:ascii="Arial" w:eastAsia="Arial" w:hAnsi="Arial" w:cs="Arial"/>
        <w:color w:val="000000"/>
        <w:sz w:val="16"/>
        <w:szCs w:val="16"/>
      </w:rPr>
      <w:tab/>
      <w:t xml:space="preserve">Rámcová </w:t>
    </w:r>
    <w:r>
      <w:rPr>
        <w:rFonts w:ascii="Arial" w:eastAsia="Arial" w:hAnsi="Arial" w:cs="Arial"/>
        <w:sz w:val="16"/>
        <w:szCs w:val="16"/>
      </w:rPr>
      <w:t>s</w:t>
    </w:r>
    <w:r>
      <w:rPr>
        <w:rFonts w:ascii="Arial" w:eastAsia="Arial" w:hAnsi="Arial" w:cs="Arial"/>
        <w:color w:val="000000"/>
        <w:sz w:val="16"/>
        <w:szCs w:val="16"/>
      </w:rPr>
      <w:t xml:space="preserve">mlouva o </w:t>
    </w:r>
    <w:r>
      <w:rPr>
        <w:rFonts w:ascii="Arial" w:eastAsia="Arial" w:hAnsi="Arial" w:cs="Arial"/>
        <w:sz w:val="16"/>
        <w:szCs w:val="16"/>
      </w:rPr>
      <w:t>spolupráci</w:t>
    </w:r>
    <w:r>
      <w:rPr>
        <w:rFonts w:ascii="Arial" w:eastAsia="Arial" w:hAnsi="Arial" w:cs="Arial"/>
        <w:color w:val="000000"/>
        <w:sz w:val="16"/>
        <w:szCs w:val="16"/>
      </w:rPr>
      <w:tab/>
    </w:r>
  </w:p>
  <w:p w14:paraId="69CAC05B" w14:textId="77777777" w:rsidR="00251E97" w:rsidRDefault="00251E97">
    <w:pPr>
      <w:widowControl/>
      <w:pBdr>
        <w:top w:val="nil"/>
        <w:left w:val="nil"/>
        <w:bottom w:val="nil"/>
        <w:right w:val="nil"/>
        <w:between w:val="nil"/>
      </w:pBdr>
      <w:jc w:val="both"/>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E64E2"/>
    <w:multiLevelType w:val="multilevel"/>
    <w:tmpl w:val="C9541398"/>
    <w:lvl w:ilvl="0">
      <w:start w:val="1"/>
      <w:numFmt w:val="decimal"/>
      <w:lvlText w:val="%1."/>
      <w:lvlJc w:val="left"/>
      <w:pPr>
        <w:ind w:left="709" w:hanging="707"/>
      </w:pPr>
    </w:lvl>
    <w:lvl w:ilvl="1">
      <w:start w:val="1"/>
      <w:numFmt w:val="decimal"/>
      <w:lvlText w:val="%1.%2."/>
      <w:lvlJc w:val="left"/>
      <w:pPr>
        <w:ind w:left="4110" w:hanging="708"/>
      </w:pPr>
      <w:rPr>
        <w:rFonts w:ascii="Arial" w:eastAsia="Arial" w:hAnsi="Arial" w:cs="Arial"/>
        <w:b w:val="0"/>
      </w:rPr>
    </w:lvl>
    <w:lvl w:ilvl="2">
      <w:start w:val="1"/>
      <w:numFmt w:val="bullet"/>
      <w:lvlText w:val=""/>
      <w:lvlJc w:val="left"/>
      <w:pPr>
        <w:ind w:left="1071" w:hanging="360"/>
      </w:pPr>
      <w:rPr>
        <w:rFonts w:ascii="Symbol" w:hAnsi="Symbol" w:hint="default"/>
      </w:rPr>
    </w:lvl>
    <w:lvl w:ilvl="3">
      <w:start w:val="1"/>
      <w:numFmt w:val="decimal"/>
      <w:lvlText w:val="%1.%2.%3.%4."/>
      <w:lvlJc w:val="left"/>
      <w:pPr>
        <w:ind w:left="2410" w:hanging="708"/>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30130C83"/>
    <w:multiLevelType w:val="multilevel"/>
    <w:tmpl w:val="5A780E6E"/>
    <w:lvl w:ilvl="0">
      <w:start w:val="1"/>
      <w:numFmt w:val="decimal"/>
      <w:lvlText w:val="%1."/>
      <w:lvlJc w:val="left"/>
      <w:pPr>
        <w:ind w:left="709" w:hanging="707"/>
      </w:pPr>
    </w:lvl>
    <w:lvl w:ilvl="1">
      <w:start w:val="1"/>
      <w:numFmt w:val="decimal"/>
      <w:lvlText w:val="%1.%2."/>
      <w:lvlJc w:val="left"/>
      <w:pPr>
        <w:ind w:left="4110" w:hanging="708"/>
      </w:pPr>
      <w:rPr>
        <w:rFonts w:ascii="Arial" w:eastAsia="Arial" w:hAnsi="Arial" w:cs="Arial"/>
        <w:b w:val="0"/>
      </w:rPr>
    </w:lvl>
    <w:lvl w:ilvl="2">
      <w:start w:val="1"/>
      <w:numFmt w:val="decimal"/>
      <w:lvlText w:val="%1.%2.%3."/>
      <w:lvlJc w:val="left"/>
      <w:pPr>
        <w:ind w:left="1418" w:hanging="707"/>
      </w:pPr>
    </w:lvl>
    <w:lvl w:ilvl="3">
      <w:start w:val="1"/>
      <w:numFmt w:val="decimal"/>
      <w:lvlText w:val="%1.%2.%3.%4."/>
      <w:lvlJc w:val="left"/>
      <w:pPr>
        <w:ind w:left="2410" w:hanging="708"/>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8154055"/>
    <w:multiLevelType w:val="multilevel"/>
    <w:tmpl w:val="7E82C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005DFB"/>
    <w:multiLevelType w:val="multilevel"/>
    <w:tmpl w:val="4D0898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B975171"/>
    <w:multiLevelType w:val="multilevel"/>
    <w:tmpl w:val="5A780E6E"/>
    <w:lvl w:ilvl="0">
      <w:start w:val="1"/>
      <w:numFmt w:val="decimal"/>
      <w:lvlText w:val="%1."/>
      <w:lvlJc w:val="left"/>
      <w:pPr>
        <w:ind w:left="709" w:hanging="707"/>
      </w:pPr>
    </w:lvl>
    <w:lvl w:ilvl="1">
      <w:start w:val="1"/>
      <w:numFmt w:val="decimal"/>
      <w:lvlText w:val="%1.%2."/>
      <w:lvlJc w:val="left"/>
      <w:pPr>
        <w:ind w:left="4110" w:hanging="708"/>
      </w:pPr>
      <w:rPr>
        <w:rFonts w:ascii="Arial" w:eastAsia="Arial" w:hAnsi="Arial" w:cs="Arial"/>
        <w:b w:val="0"/>
      </w:rPr>
    </w:lvl>
    <w:lvl w:ilvl="2">
      <w:start w:val="1"/>
      <w:numFmt w:val="decimal"/>
      <w:lvlText w:val="%1.%2.%3."/>
      <w:lvlJc w:val="left"/>
      <w:pPr>
        <w:ind w:left="1418" w:hanging="707"/>
      </w:pPr>
    </w:lvl>
    <w:lvl w:ilvl="3">
      <w:start w:val="1"/>
      <w:numFmt w:val="decimal"/>
      <w:lvlText w:val="%1.%2.%3.%4."/>
      <w:lvlJc w:val="left"/>
      <w:pPr>
        <w:ind w:left="2410" w:hanging="708"/>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320767323">
    <w:abstractNumId w:val="3"/>
  </w:num>
  <w:num w:numId="2" w16cid:durableId="1920753457">
    <w:abstractNumId w:val="2"/>
  </w:num>
  <w:num w:numId="3" w16cid:durableId="120391063">
    <w:abstractNumId w:val="4"/>
  </w:num>
  <w:num w:numId="4" w16cid:durableId="98373101">
    <w:abstractNumId w:val="0"/>
  </w:num>
  <w:num w:numId="5" w16cid:durableId="28149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97"/>
    <w:rsid w:val="000758CC"/>
    <w:rsid w:val="00095C03"/>
    <w:rsid w:val="000D2613"/>
    <w:rsid w:val="0017430A"/>
    <w:rsid w:val="001868F8"/>
    <w:rsid w:val="001D1B5D"/>
    <w:rsid w:val="002367EB"/>
    <w:rsid w:val="00251E97"/>
    <w:rsid w:val="002569F6"/>
    <w:rsid w:val="002C5EB0"/>
    <w:rsid w:val="002D1288"/>
    <w:rsid w:val="002D7140"/>
    <w:rsid w:val="002F6B05"/>
    <w:rsid w:val="0035760E"/>
    <w:rsid w:val="00381CEB"/>
    <w:rsid w:val="003C3DB6"/>
    <w:rsid w:val="003F4A4E"/>
    <w:rsid w:val="004274BB"/>
    <w:rsid w:val="004425DB"/>
    <w:rsid w:val="00525A71"/>
    <w:rsid w:val="00530D1D"/>
    <w:rsid w:val="005634E2"/>
    <w:rsid w:val="00590F79"/>
    <w:rsid w:val="005D5900"/>
    <w:rsid w:val="005D79EB"/>
    <w:rsid w:val="005F5AEB"/>
    <w:rsid w:val="00625EB8"/>
    <w:rsid w:val="0062730F"/>
    <w:rsid w:val="00690014"/>
    <w:rsid w:val="0072637A"/>
    <w:rsid w:val="00755ED9"/>
    <w:rsid w:val="00771476"/>
    <w:rsid w:val="007715D5"/>
    <w:rsid w:val="007A760A"/>
    <w:rsid w:val="007B461D"/>
    <w:rsid w:val="007B4946"/>
    <w:rsid w:val="007D514B"/>
    <w:rsid w:val="007D5DC4"/>
    <w:rsid w:val="00813BF4"/>
    <w:rsid w:val="00832B3A"/>
    <w:rsid w:val="008C2628"/>
    <w:rsid w:val="008E405B"/>
    <w:rsid w:val="008F458F"/>
    <w:rsid w:val="009634B7"/>
    <w:rsid w:val="009809E1"/>
    <w:rsid w:val="00A31A09"/>
    <w:rsid w:val="00A35B5F"/>
    <w:rsid w:val="00A51679"/>
    <w:rsid w:val="00A52C25"/>
    <w:rsid w:val="00A80D0E"/>
    <w:rsid w:val="00B10DF7"/>
    <w:rsid w:val="00B20D2A"/>
    <w:rsid w:val="00B23FD7"/>
    <w:rsid w:val="00B338AE"/>
    <w:rsid w:val="00B357F8"/>
    <w:rsid w:val="00BA4F63"/>
    <w:rsid w:val="00BC09EC"/>
    <w:rsid w:val="00BE5772"/>
    <w:rsid w:val="00C345B9"/>
    <w:rsid w:val="00C419C2"/>
    <w:rsid w:val="00C7687F"/>
    <w:rsid w:val="00C80ADD"/>
    <w:rsid w:val="00C80BB1"/>
    <w:rsid w:val="00CA609D"/>
    <w:rsid w:val="00CD4FFC"/>
    <w:rsid w:val="00D22D38"/>
    <w:rsid w:val="00D84D77"/>
    <w:rsid w:val="00DE7455"/>
    <w:rsid w:val="00DF4D92"/>
    <w:rsid w:val="00E27DB0"/>
    <w:rsid w:val="00E43677"/>
    <w:rsid w:val="00E61628"/>
    <w:rsid w:val="00E95F38"/>
    <w:rsid w:val="00EA0CA4"/>
    <w:rsid w:val="00EE3189"/>
    <w:rsid w:val="00F01747"/>
    <w:rsid w:val="00F27C5D"/>
    <w:rsid w:val="00F53D58"/>
    <w:rsid w:val="00F7279D"/>
    <w:rsid w:val="00F907D4"/>
    <w:rsid w:val="00FC2E63"/>
    <w:rsid w:val="00FC3B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B3D7"/>
  <w15:docId w15:val="{ACB00DD0-1803-467F-8A07-515E4D3B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widowControl/>
      <w:pBdr>
        <w:top w:val="nil"/>
        <w:left w:val="nil"/>
        <w:bottom w:val="nil"/>
        <w:right w:val="nil"/>
        <w:between w:val="nil"/>
      </w:pBdr>
      <w:spacing w:before="240" w:after="60" w:line="420" w:lineRule="auto"/>
      <w:ind w:left="709" w:right="-17" w:hanging="708"/>
      <w:jc w:val="both"/>
      <w:outlineLvl w:val="0"/>
    </w:pPr>
    <w:rPr>
      <w:rFonts w:ascii="Arial" w:eastAsia="Arial" w:hAnsi="Arial" w:cs="Arial"/>
      <w:b/>
      <w:smallCaps/>
      <w:color w:val="000000"/>
      <w:sz w:val="28"/>
      <w:szCs w:val="28"/>
    </w:rPr>
  </w:style>
  <w:style w:type="paragraph" w:styleId="Nadpis2">
    <w:name w:val="heading 2"/>
    <w:basedOn w:val="Normln"/>
    <w:next w:val="Normln"/>
    <w:uiPriority w:val="9"/>
    <w:unhideWhenUsed/>
    <w:qFormat/>
    <w:pPr>
      <w:keepLines/>
      <w:pBdr>
        <w:top w:val="nil"/>
        <w:left w:val="nil"/>
        <w:bottom w:val="nil"/>
        <w:right w:val="nil"/>
        <w:between w:val="nil"/>
      </w:pBdr>
      <w:spacing w:after="60" w:line="260" w:lineRule="auto"/>
      <w:ind w:left="4110" w:hanging="708"/>
      <w:jc w:val="both"/>
      <w:outlineLvl w:val="1"/>
    </w:pPr>
    <w:rPr>
      <w:rFonts w:ascii="Arial" w:eastAsia="Arial" w:hAnsi="Arial" w:cs="Arial"/>
      <w:color w:val="000000"/>
    </w:rPr>
  </w:style>
  <w:style w:type="paragraph" w:styleId="Nadpis3">
    <w:name w:val="heading 3"/>
    <w:basedOn w:val="Normln"/>
    <w:next w:val="Normln"/>
    <w:uiPriority w:val="9"/>
    <w:semiHidden/>
    <w:unhideWhenUsed/>
    <w:qFormat/>
    <w:pPr>
      <w:keepLines/>
      <w:pBdr>
        <w:top w:val="nil"/>
        <w:left w:val="nil"/>
        <w:bottom w:val="nil"/>
        <w:right w:val="nil"/>
        <w:between w:val="nil"/>
      </w:pBdr>
      <w:tabs>
        <w:tab w:val="left" w:pos="1984"/>
      </w:tabs>
      <w:spacing w:after="60"/>
      <w:ind w:left="1418" w:hanging="708"/>
      <w:jc w:val="both"/>
      <w:outlineLvl w:val="2"/>
    </w:pPr>
    <w:rPr>
      <w:rFonts w:ascii="Arial" w:eastAsia="Arial" w:hAnsi="Arial" w:cs="Arial"/>
      <w:color w:val="000000"/>
    </w:rPr>
  </w:style>
  <w:style w:type="paragraph" w:styleId="Nadpis4">
    <w:name w:val="heading 4"/>
    <w:basedOn w:val="Normln"/>
    <w:next w:val="Normln"/>
    <w:uiPriority w:val="9"/>
    <w:semiHidden/>
    <w:unhideWhenUsed/>
    <w:qFormat/>
    <w:pPr>
      <w:keepLines/>
      <w:pBdr>
        <w:top w:val="nil"/>
        <w:left w:val="nil"/>
        <w:bottom w:val="nil"/>
        <w:right w:val="nil"/>
        <w:between w:val="nil"/>
      </w:pBdr>
      <w:tabs>
        <w:tab w:val="left" w:pos="992"/>
      </w:tabs>
      <w:spacing w:after="60"/>
      <w:ind w:left="2410" w:hanging="708"/>
      <w:jc w:val="both"/>
      <w:outlineLvl w:val="3"/>
    </w:pPr>
    <w:rPr>
      <w:rFonts w:ascii="Arial" w:eastAsia="Arial" w:hAnsi="Arial" w:cs="Arial"/>
      <w:color w:val="000000"/>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Revize">
    <w:name w:val="Revision"/>
    <w:hidden/>
    <w:uiPriority w:val="99"/>
    <w:semiHidden/>
    <w:rsid w:val="002D1288"/>
    <w:pPr>
      <w:widowControl/>
    </w:pPr>
  </w:style>
  <w:style w:type="paragraph" w:styleId="Odstavecseseznamem">
    <w:name w:val="List Paragraph"/>
    <w:basedOn w:val="Normln"/>
    <w:uiPriority w:val="34"/>
    <w:qFormat/>
    <w:rsid w:val="00E61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92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DAA12-2933-4EFE-9754-FF99EA2AA95B}">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5A41249B-4DBB-417A-B19D-A7A0ABD44562}">
  <ds:schemaRefs>
    <ds:schemaRef ds:uri="http://schemas.microsoft.com/sharepoint/v3/contenttype/forms"/>
  </ds:schemaRefs>
</ds:datastoreItem>
</file>

<file path=customXml/itemProps3.xml><?xml version="1.0" encoding="utf-8"?>
<ds:datastoreItem xmlns:ds="http://schemas.openxmlformats.org/officeDocument/2006/customXml" ds:itemID="{DB7014AA-8137-4CCB-8D81-4D3F64FB8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1711</Words>
  <Characters>10099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Karlická Irena</dc:creator>
  <cp:lastModifiedBy>Klimánková Pavla</cp:lastModifiedBy>
  <cp:revision>2</cp:revision>
  <dcterms:created xsi:type="dcterms:W3CDTF">2024-11-29T06:47:00Z</dcterms:created>
  <dcterms:modified xsi:type="dcterms:W3CDTF">2024-11-29T06:47:00Z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2024-08-21T07:10:34Z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d64b6b2b-2030-4dfa-b405-41e3d4d9afa9</vt:lpwstr>
  </property>
  <property fmtid="{D5CDD505-2E9C-101B-9397-08002B2CF9AE}" pid="8" name="MSIP_Label_c93be096-951f-40f1-830d-c27b8a8c2c27_ContentBits">
    <vt:lpwstr>0</vt:lpwstr>
  </property>
</Properties>
</file>