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C362" w14:textId="2AFDAE54"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r w:rsidR="005477DB">
        <w:rPr>
          <w:rFonts w:asciiTheme="minorHAnsi" w:hAnsiTheme="minorHAnsi"/>
          <w:b/>
          <w:sz w:val="24"/>
        </w:rPr>
        <w:t>2024 - 09</w:t>
      </w:r>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3BA08EB5" w:rsidR="00952E7C" w:rsidRPr="00947027" w:rsidRDefault="00952E7C" w:rsidP="00952E7C">
      <w:pPr>
        <w:rPr>
          <w:rFonts w:asciiTheme="minorHAnsi" w:hAnsiTheme="minorHAnsi" w:cs="Calibri"/>
          <w:b/>
          <w:bCs/>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4B61F8" w:rsidRPr="00947027">
        <w:rPr>
          <w:rFonts w:asciiTheme="minorHAnsi" w:hAnsiTheme="minorHAnsi" w:cs="Calibri"/>
          <w:b/>
          <w:bCs/>
          <w:sz w:val="24"/>
        </w:rPr>
        <w:t xml:space="preserve">Česká centrála cestovního ruchu – CzechTourism </w:t>
      </w:r>
    </w:p>
    <w:p w14:paraId="3C994A2D" w14:textId="350C3104"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C7601F">
        <w:rPr>
          <w:rFonts w:asciiTheme="minorHAnsi" w:hAnsiTheme="minorHAnsi" w:cs="Calibri"/>
          <w:sz w:val="24"/>
        </w:rPr>
        <w:t>Štěpánská</w:t>
      </w:r>
      <w:r w:rsidR="00927301">
        <w:rPr>
          <w:rFonts w:asciiTheme="minorHAnsi" w:hAnsiTheme="minorHAnsi" w:cs="Calibri"/>
          <w:sz w:val="24"/>
        </w:rPr>
        <w:t xml:space="preserve"> </w:t>
      </w:r>
      <w:r w:rsidR="00927301" w:rsidRPr="00927301">
        <w:rPr>
          <w:rFonts w:asciiTheme="minorHAnsi" w:hAnsiTheme="minorHAnsi" w:cs="Calibri"/>
          <w:sz w:val="24"/>
        </w:rPr>
        <w:t>567/15, 120 00 Praha 2</w:t>
      </w:r>
    </w:p>
    <w:p w14:paraId="5FBF70BE" w14:textId="61127C31"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27301">
        <w:rPr>
          <w:rFonts w:asciiTheme="minorHAnsi" w:hAnsiTheme="minorHAnsi" w:cs="Calibri"/>
          <w:sz w:val="24"/>
        </w:rPr>
        <w:t>492 77 600</w:t>
      </w:r>
    </w:p>
    <w:p w14:paraId="4E552567" w14:textId="1050907F" w:rsidR="00952E7C" w:rsidRDefault="00952E7C" w:rsidP="00952E7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27301">
        <w:rPr>
          <w:rFonts w:asciiTheme="minorHAnsi" w:hAnsiTheme="minorHAnsi" w:cs="Calibri"/>
          <w:sz w:val="24"/>
        </w:rPr>
        <w:t>CZ492</w:t>
      </w:r>
      <w:r w:rsidR="00102EA9">
        <w:rPr>
          <w:rFonts w:asciiTheme="minorHAnsi" w:hAnsiTheme="minorHAnsi" w:cs="Calibri"/>
          <w:sz w:val="24"/>
        </w:rPr>
        <w:t>77600</w:t>
      </w:r>
    </w:p>
    <w:p w14:paraId="3388CE57" w14:textId="5697C04F"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2814FF" w:rsidRPr="002814FF">
        <w:rPr>
          <w:rFonts w:asciiTheme="minorHAnsi" w:hAnsiTheme="minorHAnsi" w:cs="Calibri"/>
          <w:sz w:val="24"/>
        </w:rPr>
        <w:t>yr9mzxx</w:t>
      </w:r>
    </w:p>
    <w:p w14:paraId="2260A4FE" w14:textId="35C8FBFE"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C7601F">
        <w:rPr>
          <w:rFonts w:asciiTheme="minorHAnsi" w:hAnsiTheme="minorHAnsi" w:cs="Calibri"/>
          <w:sz w:val="24"/>
        </w:rPr>
        <w:t xml:space="preserve">František </w:t>
      </w:r>
      <w:proofErr w:type="spellStart"/>
      <w:r w:rsidR="00C7601F">
        <w:rPr>
          <w:rFonts w:asciiTheme="minorHAnsi" w:hAnsiTheme="minorHAnsi" w:cs="Calibri"/>
          <w:sz w:val="24"/>
        </w:rPr>
        <w:t>Reismüller</w:t>
      </w:r>
      <w:proofErr w:type="spellEnd"/>
      <w:r w:rsidR="00C7601F">
        <w:rPr>
          <w:rFonts w:asciiTheme="minorHAnsi" w:hAnsiTheme="minorHAnsi" w:cs="Calibri"/>
          <w:sz w:val="24"/>
        </w:rPr>
        <w:t xml:space="preserve">, Ph.D., ředitel </w:t>
      </w:r>
    </w:p>
    <w:p w14:paraId="70A65F64" w14:textId="7893C6B2"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A237C" w:rsidRPr="003A237C">
        <w:rPr>
          <w:rFonts w:asciiTheme="minorHAnsi" w:hAnsiTheme="minorHAnsi" w:cs="Calibri"/>
          <w:sz w:val="24"/>
        </w:rPr>
        <w:t>XXX</w:t>
      </w:r>
      <w:r w:rsidR="00680225">
        <w:rPr>
          <w:rFonts w:asciiTheme="minorHAnsi" w:hAnsiTheme="minorHAnsi" w:cs="Calibri"/>
          <w:sz w:val="24"/>
        </w:rPr>
        <w:t xml:space="preserve"> </w:t>
      </w:r>
    </w:p>
    <w:p w14:paraId="71F0D0D2" w14:textId="352326EF" w:rsidR="00C110C6" w:rsidRPr="00C110C6"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C110C6" w:rsidRPr="00C110C6">
        <w:rPr>
          <w:rFonts w:asciiTheme="minorHAnsi" w:hAnsiTheme="minorHAnsi" w:cs="Calibri"/>
          <w:sz w:val="24"/>
        </w:rPr>
        <w:t>Česká národní banka</w:t>
      </w:r>
    </w:p>
    <w:p w14:paraId="65D5BB18" w14:textId="6B41D689" w:rsidR="00C110C6" w:rsidRDefault="00952E7C" w:rsidP="00952E7C">
      <w:pPr>
        <w:rPr>
          <w:rFonts w:asciiTheme="minorHAnsi" w:hAnsiTheme="minorHAnsi" w:cs="Calibri"/>
          <w:sz w:val="24"/>
        </w:rPr>
      </w:pPr>
      <w:r w:rsidRPr="00C110C6">
        <w:rPr>
          <w:rFonts w:asciiTheme="minorHAnsi" w:hAnsiTheme="minorHAnsi" w:cs="Calibri"/>
          <w:sz w:val="24"/>
        </w:rPr>
        <w:t>číslo účtu:</w:t>
      </w:r>
      <w:r w:rsidRPr="00C110C6">
        <w:rPr>
          <w:rFonts w:asciiTheme="minorHAnsi" w:hAnsiTheme="minorHAnsi" w:cs="Calibri"/>
          <w:sz w:val="24"/>
        </w:rPr>
        <w:tab/>
      </w:r>
      <w:r w:rsidRPr="00C110C6">
        <w:rPr>
          <w:rFonts w:asciiTheme="minorHAnsi" w:hAnsiTheme="minorHAnsi" w:cs="Calibri"/>
          <w:sz w:val="24"/>
        </w:rPr>
        <w:tab/>
      </w:r>
      <w:r w:rsidR="003A237C">
        <w:rPr>
          <w:rFonts w:asciiTheme="minorHAnsi" w:hAnsiTheme="minorHAnsi" w:cs="Calibri"/>
          <w:sz w:val="24"/>
        </w:rPr>
        <w:t>XXX</w:t>
      </w:r>
    </w:p>
    <w:p w14:paraId="21A2E709" w14:textId="059AFCEA"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3A237C">
        <w:rPr>
          <w:rFonts w:asciiTheme="minorHAnsi" w:hAnsiTheme="minorHAnsi" w:cs="Calibri"/>
          <w:sz w:val="24"/>
        </w:rPr>
        <w:t>XXX</w:t>
      </w:r>
      <w:r w:rsidR="00C110C6" w:rsidRPr="00C110C6">
        <w:rPr>
          <w:rFonts w:asciiTheme="minorHAnsi" w:hAnsiTheme="minorHAnsi" w:cs="Calibri"/>
          <w:sz w:val="24"/>
        </w:rPr>
        <w:t>, vedoucí oddělení vnitřních věcí</w:t>
      </w:r>
    </w:p>
    <w:p w14:paraId="01860217" w14:textId="7C6C90E6" w:rsidR="00952E7C" w:rsidRDefault="00952E7C" w:rsidP="00952E7C">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3A237C" w:rsidRPr="003A237C">
        <w:rPr>
          <w:rFonts w:asciiTheme="minorHAnsi" w:hAnsiTheme="minorHAnsi" w:cs="Calibri"/>
          <w:sz w:val="24"/>
        </w:rPr>
        <w:t>XXX</w:t>
      </w:r>
    </w:p>
    <w:p w14:paraId="0D0ADA37" w14:textId="190774CC" w:rsidR="00952E7C" w:rsidRPr="00C110C6" w:rsidRDefault="00952E7C" w:rsidP="00952E7C">
      <w:pPr>
        <w:rPr>
          <w:rFonts w:asciiTheme="minorHAnsi" w:hAnsiTheme="minorHAnsi" w:cs="Calibri"/>
          <w:sz w:val="24"/>
        </w:rPr>
      </w:pPr>
      <w:r w:rsidRPr="00C110C6">
        <w:rPr>
          <w:rFonts w:asciiTheme="minorHAnsi" w:hAnsiTheme="minorHAnsi" w:cs="Calibri"/>
          <w:sz w:val="24"/>
        </w:rPr>
        <w:t>tel:</w:t>
      </w:r>
      <w:r w:rsidRPr="00C110C6">
        <w:rPr>
          <w:rFonts w:asciiTheme="minorHAnsi" w:hAnsiTheme="minorHAnsi" w:cs="Calibri"/>
          <w:sz w:val="24"/>
        </w:rPr>
        <w:tab/>
      </w:r>
      <w:r w:rsidRPr="00C110C6">
        <w:rPr>
          <w:rFonts w:asciiTheme="minorHAnsi" w:hAnsiTheme="minorHAnsi" w:cs="Calibri"/>
          <w:sz w:val="24"/>
        </w:rPr>
        <w:tab/>
      </w:r>
      <w:r w:rsidRPr="00C110C6">
        <w:rPr>
          <w:rFonts w:asciiTheme="minorHAnsi" w:hAnsiTheme="minorHAnsi" w:cs="Calibri"/>
          <w:sz w:val="24"/>
        </w:rPr>
        <w:tab/>
      </w:r>
      <w:r w:rsidR="00C110C6" w:rsidRPr="00C110C6">
        <w:rPr>
          <w:rFonts w:asciiTheme="minorHAnsi" w:hAnsiTheme="minorHAnsi" w:cs="Calibri"/>
          <w:sz w:val="24"/>
        </w:rPr>
        <w:t>+ 420 </w:t>
      </w:r>
      <w:r w:rsidR="003A237C">
        <w:rPr>
          <w:rFonts w:asciiTheme="minorHAnsi" w:hAnsiTheme="minorHAnsi" w:cs="Calibri"/>
          <w:sz w:val="24"/>
        </w:rPr>
        <w:t>XXX</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4BDE655B" w14:textId="77777777" w:rsidR="005C7EF5" w:rsidRPr="00357A19" w:rsidRDefault="005C7EF5" w:rsidP="005C7EF5">
      <w:pPr>
        <w:rPr>
          <w:rFonts w:asciiTheme="minorHAnsi" w:hAnsiTheme="minorHAnsi" w:cs="Calibri"/>
          <w:b/>
          <w:bCs/>
          <w:sz w:val="24"/>
        </w:rPr>
      </w:pPr>
      <w:r w:rsidRPr="00357A19">
        <w:rPr>
          <w:rFonts w:asciiTheme="minorHAnsi" w:hAnsiTheme="minorHAnsi" w:cs="Calibri"/>
          <w:sz w:val="24"/>
        </w:rPr>
        <w:t xml:space="preserve">název: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r>
      <w:proofErr w:type="spellStart"/>
      <w:r w:rsidRPr="00357A19">
        <w:rPr>
          <w:rFonts w:asciiTheme="minorHAnsi" w:hAnsiTheme="minorHAnsi" w:cs="Calibri"/>
          <w:b/>
          <w:bCs/>
          <w:sz w:val="24"/>
        </w:rPr>
        <w:t>exe</w:t>
      </w:r>
      <w:proofErr w:type="spellEnd"/>
      <w:r w:rsidRPr="00357A19">
        <w:rPr>
          <w:rFonts w:asciiTheme="minorHAnsi" w:hAnsiTheme="minorHAnsi" w:cs="Calibri"/>
          <w:b/>
          <w:bCs/>
          <w:sz w:val="24"/>
        </w:rPr>
        <w:t>, a. s.</w:t>
      </w:r>
    </w:p>
    <w:p w14:paraId="2DE33DC9"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se sídlem:</w:t>
      </w:r>
      <w:r w:rsidRPr="00357A19">
        <w:rPr>
          <w:rFonts w:asciiTheme="minorHAnsi" w:hAnsiTheme="minorHAnsi" w:cs="Calibri"/>
          <w:sz w:val="24"/>
        </w:rPr>
        <w:tab/>
      </w:r>
      <w:r w:rsidRPr="00357A19">
        <w:rPr>
          <w:rFonts w:asciiTheme="minorHAnsi" w:hAnsiTheme="minorHAnsi" w:cs="Calibri"/>
          <w:sz w:val="24"/>
        </w:rPr>
        <w:tab/>
      </w:r>
      <w:proofErr w:type="spellStart"/>
      <w:r w:rsidRPr="00357A19">
        <w:rPr>
          <w:rFonts w:asciiTheme="minorHAnsi" w:hAnsiTheme="minorHAnsi" w:cs="Calibri"/>
          <w:sz w:val="24"/>
        </w:rPr>
        <w:t>Galvaniho</w:t>
      </w:r>
      <w:proofErr w:type="spellEnd"/>
      <w:r w:rsidRPr="00357A19">
        <w:rPr>
          <w:rFonts w:asciiTheme="minorHAnsi" w:hAnsiTheme="minorHAnsi" w:cs="Calibri"/>
          <w:sz w:val="24"/>
        </w:rPr>
        <w:t xml:space="preserve"> 19, 821 04 Bratislava</w:t>
      </w:r>
    </w:p>
    <w:p w14:paraId="01C606D0"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IČO:</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17 321 450</w:t>
      </w:r>
    </w:p>
    <w:p w14:paraId="25001548"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Jednající v České republice prostřednictvím</w:t>
      </w:r>
    </w:p>
    <w:p w14:paraId="0F3D3C16" w14:textId="77777777" w:rsidR="005C7EF5" w:rsidRPr="00357A19" w:rsidRDefault="005C7EF5" w:rsidP="005C7EF5">
      <w:pPr>
        <w:ind w:left="1416" w:firstLine="708"/>
        <w:rPr>
          <w:rFonts w:asciiTheme="minorHAnsi" w:hAnsiTheme="minorHAnsi" w:cs="Calibri"/>
          <w:b/>
          <w:bCs/>
          <w:sz w:val="24"/>
        </w:rPr>
      </w:pPr>
      <w:proofErr w:type="spellStart"/>
      <w:r w:rsidRPr="00357A19">
        <w:rPr>
          <w:rFonts w:asciiTheme="minorHAnsi" w:hAnsiTheme="minorHAnsi" w:cs="Calibri"/>
          <w:b/>
          <w:bCs/>
          <w:sz w:val="24"/>
        </w:rPr>
        <w:t>exe</w:t>
      </w:r>
      <w:proofErr w:type="spellEnd"/>
      <w:r w:rsidRPr="00357A19">
        <w:rPr>
          <w:rFonts w:asciiTheme="minorHAnsi" w:hAnsiTheme="minorHAnsi" w:cs="Calibri"/>
          <w:b/>
          <w:bCs/>
          <w:sz w:val="24"/>
        </w:rPr>
        <w:t xml:space="preserve">, a. s., odštěpný závod </w:t>
      </w:r>
    </w:p>
    <w:p w14:paraId="3B36C2B4"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se sídlem: </w:t>
      </w:r>
      <w:r w:rsidRPr="00357A19">
        <w:rPr>
          <w:rFonts w:asciiTheme="minorHAnsi" w:hAnsiTheme="minorHAnsi" w:cs="Calibri"/>
          <w:sz w:val="24"/>
        </w:rPr>
        <w:tab/>
      </w:r>
      <w:r w:rsidRPr="00357A19">
        <w:rPr>
          <w:rFonts w:asciiTheme="minorHAnsi" w:hAnsiTheme="minorHAnsi" w:cs="Calibri"/>
          <w:sz w:val="24"/>
        </w:rPr>
        <w:tab/>
      </w:r>
      <w:r w:rsidRPr="004071CC">
        <w:rPr>
          <w:rFonts w:asciiTheme="minorHAnsi" w:hAnsiTheme="minorHAnsi" w:cs="Calibri"/>
          <w:sz w:val="24"/>
        </w:rPr>
        <w:t>Hvězdova 1716/2b</w:t>
      </w:r>
      <w:r w:rsidRPr="00357A19">
        <w:rPr>
          <w:rFonts w:asciiTheme="minorHAnsi" w:hAnsiTheme="minorHAnsi" w:cs="Calibri"/>
          <w:sz w:val="24"/>
        </w:rPr>
        <w:t>, 140 00 Praha 4</w:t>
      </w:r>
    </w:p>
    <w:p w14:paraId="3ED83B66"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IČO: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 xml:space="preserve">05099994 </w:t>
      </w:r>
    </w:p>
    <w:p w14:paraId="086B80E4"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DIČ: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 xml:space="preserve">CZ05099994 </w:t>
      </w:r>
    </w:p>
    <w:p w14:paraId="1F3C4D39"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ID DS:</w:t>
      </w:r>
      <w:r w:rsidRPr="00357A19">
        <w:rPr>
          <w:rFonts w:asciiTheme="minorHAnsi" w:hAnsiTheme="minorHAnsi" w:cs="Calibri"/>
          <w:sz w:val="24"/>
        </w:rPr>
        <w:tab/>
      </w:r>
      <w:r w:rsidRPr="00357A19">
        <w:rPr>
          <w:rFonts w:asciiTheme="minorHAnsi" w:hAnsiTheme="minorHAnsi" w:cs="Calibri"/>
          <w:sz w:val="24"/>
        </w:rPr>
        <w:tab/>
        <w:t xml:space="preserve"> </w:t>
      </w:r>
      <w:r w:rsidRPr="00357A19">
        <w:rPr>
          <w:rFonts w:asciiTheme="minorHAnsi" w:hAnsiTheme="minorHAnsi" w:cs="Calibri"/>
          <w:sz w:val="24"/>
        </w:rPr>
        <w:tab/>
        <w:t>g2jwnwc</w:t>
      </w:r>
    </w:p>
    <w:p w14:paraId="676B457E"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zapsaná v obchodním rejstříku vedeném Městským soudem v Praze, oddíl A, vložka 77423 </w:t>
      </w:r>
    </w:p>
    <w:p w14:paraId="1955DF0C"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za něhož jedná:</w:t>
      </w:r>
      <w:r w:rsidRPr="00357A19">
        <w:rPr>
          <w:rFonts w:asciiTheme="minorHAnsi" w:hAnsiTheme="minorHAnsi" w:cs="Calibri"/>
          <w:sz w:val="24"/>
        </w:rPr>
        <w:tab/>
        <w:t xml:space="preserve">Ing. Marcela </w:t>
      </w:r>
      <w:proofErr w:type="spellStart"/>
      <w:r w:rsidRPr="00357A19">
        <w:rPr>
          <w:rFonts w:asciiTheme="minorHAnsi" w:hAnsiTheme="minorHAnsi" w:cs="Calibri"/>
          <w:sz w:val="24"/>
        </w:rPr>
        <w:t>Derrick</w:t>
      </w:r>
      <w:proofErr w:type="spellEnd"/>
    </w:p>
    <w:p w14:paraId="0E5A94E5" w14:textId="62988956"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e-mail: </w:t>
      </w:r>
      <w:r w:rsidRPr="00357A19">
        <w:rPr>
          <w:rFonts w:asciiTheme="minorHAnsi" w:hAnsiTheme="minorHAnsi" w:cs="Calibri"/>
          <w:sz w:val="24"/>
        </w:rPr>
        <w:tab/>
      </w:r>
      <w:r w:rsidRPr="00357A19">
        <w:rPr>
          <w:rFonts w:asciiTheme="minorHAnsi" w:hAnsiTheme="minorHAnsi" w:cs="Calibri"/>
          <w:sz w:val="24"/>
        </w:rPr>
        <w:tab/>
      </w:r>
      <w:r w:rsidR="003A237C">
        <w:rPr>
          <w:rFonts w:asciiTheme="minorHAnsi" w:hAnsiTheme="minorHAnsi" w:cs="Calibri"/>
          <w:sz w:val="24"/>
        </w:rPr>
        <w:t>XXX</w:t>
      </w:r>
      <w:r w:rsidRPr="00357A19">
        <w:rPr>
          <w:rFonts w:asciiTheme="minorHAnsi" w:hAnsiTheme="minorHAnsi" w:cs="Calibri"/>
          <w:sz w:val="24"/>
        </w:rPr>
        <w:t xml:space="preserve"> </w:t>
      </w:r>
    </w:p>
    <w:p w14:paraId="440EDE3F" w14:textId="77777777"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bankovní spojení: </w:t>
      </w:r>
      <w:r w:rsidRPr="00357A19">
        <w:rPr>
          <w:rFonts w:asciiTheme="minorHAnsi" w:hAnsiTheme="minorHAnsi" w:cs="Calibri"/>
          <w:sz w:val="24"/>
        </w:rPr>
        <w:tab/>
        <w:t xml:space="preserve">Česká spořitelna, a.s. </w:t>
      </w:r>
    </w:p>
    <w:p w14:paraId="0970F48D" w14:textId="05E35CCF" w:rsidR="005C7EF5" w:rsidRPr="00357A19" w:rsidRDefault="005C7EF5" w:rsidP="005C7EF5">
      <w:pPr>
        <w:rPr>
          <w:rFonts w:asciiTheme="minorHAnsi" w:hAnsiTheme="minorHAnsi" w:cs="Calibri"/>
          <w:sz w:val="24"/>
        </w:rPr>
      </w:pPr>
      <w:r w:rsidRPr="00357A19">
        <w:rPr>
          <w:rFonts w:asciiTheme="minorHAnsi" w:hAnsiTheme="minorHAnsi" w:cs="Calibri"/>
          <w:sz w:val="24"/>
        </w:rPr>
        <w:t xml:space="preserve">č. účtu: </w:t>
      </w:r>
      <w:r w:rsidRPr="00357A19">
        <w:rPr>
          <w:rFonts w:asciiTheme="minorHAnsi" w:hAnsiTheme="minorHAnsi" w:cs="Calibri"/>
          <w:sz w:val="24"/>
        </w:rPr>
        <w:tab/>
      </w:r>
      <w:r w:rsidRPr="00357A19">
        <w:rPr>
          <w:rFonts w:asciiTheme="minorHAnsi" w:hAnsiTheme="minorHAnsi" w:cs="Calibri"/>
          <w:sz w:val="24"/>
        </w:rPr>
        <w:tab/>
      </w:r>
      <w:r w:rsidR="003A237C">
        <w:rPr>
          <w:rFonts w:asciiTheme="minorHAnsi" w:hAnsiTheme="minorHAnsi" w:cs="Calibri"/>
          <w:sz w:val="24"/>
        </w:rPr>
        <w:t>XXX</w:t>
      </w:r>
      <w:r w:rsidRPr="00357A19">
        <w:rPr>
          <w:rFonts w:asciiTheme="minorHAnsi" w:hAnsiTheme="minorHAnsi" w:cs="Calibri"/>
          <w:sz w:val="24"/>
        </w:rPr>
        <w:t xml:space="preserve">  </w:t>
      </w:r>
    </w:p>
    <w:p w14:paraId="4D627AA5" w14:textId="6B83E41C" w:rsidR="005C7EF5" w:rsidRPr="00357A19" w:rsidRDefault="005C7EF5" w:rsidP="005C7EF5">
      <w:pPr>
        <w:rPr>
          <w:rFonts w:asciiTheme="minorHAnsi" w:hAnsiTheme="minorHAnsi" w:cs="Calibri"/>
          <w:sz w:val="24"/>
        </w:rPr>
      </w:pPr>
      <w:r w:rsidRPr="00357A19">
        <w:rPr>
          <w:rFonts w:asciiTheme="minorHAnsi" w:hAnsiTheme="minorHAnsi" w:cs="Calibri"/>
          <w:sz w:val="24"/>
        </w:rPr>
        <w:t>kontaktní osoba:</w:t>
      </w:r>
      <w:r w:rsidRPr="00357A19">
        <w:rPr>
          <w:rFonts w:asciiTheme="minorHAnsi" w:hAnsiTheme="minorHAnsi" w:cs="Calibri"/>
          <w:sz w:val="24"/>
        </w:rPr>
        <w:tab/>
      </w:r>
      <w:r w:rsidR="003A237C">
        <w:rPr>
          <w:rFonts w:asciiTheme="minorHAnsi" w:hAnsiTheme="minorHAnsi" w:cs="Calibri"/>
          <w:sz w:val="24"/>
        </w:rPr>
        <w:t>XXX</w:t>
      </w:r>
    </w:p>
    <w:p w14:paraId="5607F956" w14:textId="2A3736C5" w:rsidR="005C7EF5" w:rsidRPr="00357A19" w:rsidRDefault="005C7EF5" w:rsidP="005C7EF5">
      <w:pPr>
        <w:rPr>
          <w:rFonts w:asciiTheme="minorHAnsi" w:hAnsiTheme="minorHAnsi" w:cs="Calibri"/>
          <w:sz w:val="24"/>
        </w:rPr>
      </w:pPr>
      <w:r w:rsidRPr="00357A19">
        <w:rPr>
          <w:rFonts w:asciiTheme="minorHAnsi" w:hAnsiTheme="minorHAnsi" w:cs="Calibri"/>
          <w:sz w:val="24"/>
        </w:rPr>
        <w:t>e-mail:</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r>
      <w:r w:rsidR="003A237C">
        <w:rPr>
          <w:rFonts w:asciiTheme="minorHAnsi" w:hAnsiTheme="minorHAnsi" w:cs="Calibri"/>
          <w:sz w:val="24"/>
        </w:rPr>
        <w:t>XXX</w:t>
      </w:r>
    </w:p>
    <w:p w14:paraId="0AF53994" w14:textId="79E3711E" w:rsidR="005C7EF5" w:rsidRDefault="005C7EF5" w:rsidP="005C7EF5">
      <w:pPr>
        <w:rPr>
          <w:rFonts w:asciiTheme="minorHAnsi" w:hAnsiTheme="minorHAnsi" w:cs="Calibri"/>
          <w:sz w:val="24"/>
        </w:rPr>
      </w:pPr>
      <w:r w:rsidRPr="00357A19">
        <w:rPr>
          <w:rFonts w:asciiTheme="minorHAnsi" w:hAnsiTheme="minorHAnsi" w:cs="Calibri"/>
          <w:sz w:val="24"/>
        </w:rPr>
        <w:t xml:space="preserve">tel: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+420</w:t>
      </w:r>
      <w:r w:rsidR="003A237C">
        <w:rPr>
          <w:rFonts w:asciiTheme="minorHAnsi" w:hAnsiTheme="minorHAnsi" w:cs="Calibri"/>
          <w:sz w:val="24"/>
        </w:rPr>
        <w:t>XXX</w:t>
      </w:r>
      <w:r>
        <w:rPr>
          <w:rFonts w:asciiTheme="minorHAnsi" w:hAnsiTheme="minorHAnsi" w:cs="Calibri"/>
          <w:sz w:val="24"/>
        </w:rPr>
        <w:br/>
      </w:r>
    </w:p>
    <w:p w14:paraId="7C39DFF9" w14:textId="77777777" w:rsidR="00952E7C" w:rsidRDefault="00952E7C" w:rsidP="00952E7C">
      <w:pPr>
        <w:rPr>
          <w:rFonts w:asciiTheme="minorHAnsi" w:hAnsiTheme="minorHAnsi" w:cs="Calibri"/>
          <w:sz w:val="24"/>
        </w:rPr>
      </w:pPr>
    </w:p>
    <w:p w14:paraId="33E98286" w14:textId="77777777" w:rsidR="005C7EF5" w:rsidRDefault="005C7EF5"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lastRenderedPageBreak/>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0F1B0644"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26575B32"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1" w:history="1">
        <w:r w:rsidR="003A237C" w:rsidRPr="00A330DB">
          <w:rPr>
            <w:rStyle w:val="Hypertextovodkaz"/>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lastRenderedPageBreak/>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794B127E"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9F07A4" w:rsidRPr="009F07A4">
        <w:rPr>
          <w:rFonts w:asciiTheme="minorHAnsi" w:hAnsiTheme="minorHAnsi"/>
          <w:b/>
          <w:sz w:val="24"/>
        </w:rPr>
        <w:t xml:space="preserve">1 795 582,32 Kč </w:t>
      </w:r>
      <w:r w:rsidRPr="00D103CA">
        <w:rPr>
          <w:rFonts w:asciiTheme="minorHAnsi" w:hAnsiTheme="minorHAnsi"/>
          <w:sz w:val="24"/>
        </w:rPr>
        <w:t xml:space="preserve">(slovy: </w:t>
      </w:r>
      <w:r w:rsidR="004121BC" w:rsidRPr="004121BC">
        <w:rPr>
          <w:rFonts w:asciiTheme="minorHAnsi" w:hAnsiTheme="minorHAnsi"/>
          <w:b/>
          <w:sz w:val="24"/>
        </w:rPr>
        <w:t>jeden milion sedm set devadesát pět tisíc pět set osmdesát dva korun českých třicet dva haléřů</w:t>
      </w:r>
      <w:r w:rsidRPr="00D103CA">
        <w:rPr>
          <w:rFonts w:asciiTheme="minorHAnsi" w:hAnsiTheme="minorHAnsi"/>
          <w:sz w:val="24"/>
        </w:rPr>
        <w:t xml:space="preserve">) bez DPH, tj. </w:t>
      </w:r>
      <w:r w:rsidR="00C13C16" w:rsidRPr="00C13C16">
        <w:rPr>
          <w:rFonts w:asciiTheme="minorHAnsi" w:hAnsiTheme="minorHAnsi"/>
          <w:sz w:val="24"/>
        </w:rPr>
        <w:t xml:space="preserve">2 172 654,61 Kč </w:t>
      </w:r>
      <w:r w:rsidRPr="00D103CA">
        <w:rPr>
          <w:rFonts w:asciiTheme="minorHAnsi" w:hAnsiTheme="minorHAnsi"/>
          <w:sz w:val="24"/>
        </w:rPr>
        <w:t xml:space="preserve">(slovy: </w:t>
      </w:r>
      <w:r w:rsidR="00CD2A48" w:rsidRPr="00CD2A48">
        <w:rPr>
          <w:rFonts w:asciiTheme="minorHAnsi" w:hAnsiTheme="minorHAnsi"/>
          <w:sz w:val="24"/>
        </w:rPr>
        <w:t>dva miliony jedno sto sedmdesát dva tisíc šest set padesát čtyři korun českých šedesát jeden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25E8684E"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w:t>
      </w:r>
      <w:r w:rsidRPr="009E01D2">
        <w:rPr>
          <w:rFonts w:asciiTheme="minorHAnsi" w:hAnsiTheme="minorHAnsi"/>
          <w:sz w:val="24"/>
        </w:rPr>
        <w:t>vztahující se k platbě ceny za plnění poskytnuté Dodavatelem dle této Prováděcí smlouvy, jakož i lhůta splatnosti, jsou uvedeny v Rámcové dohodě</w:t>
      </w:r>
      <w:r w:rsidR="00AE4EAB" w:rsidRPr="009E01D2">
        <w:rPr>
          <w:rFonts w:asciiTheme="minorHAnsi" w:hAnsiTheme="minorHAnsi"/>
          <w:sz w:val="24"/>
        </w:rPr>
        <w:t xml:space="preserve">. </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6FEE4C18" w14:textId="77777777" w:rsidR="009E01D2" w:rsidRPr="009E01D2" w:rsidRDefault="00952E7C" w:rsidP="00AD5665">
      <w:pPr>
        <w:pStyle w:val="CZodstavec"/>
        <w:numPr>
          <w:ilvl w:val="0"/>
          <w:numId w:val="9"/>
        </w:numPr>
        <w:tabs>
          <w:tab w:val="left" w:pos="426"/>
        </w:tabs>
        <w:ind w:left="426" w:hanging="426"/>
        <w:rPr>
          <w:rFonts w:asciiTheme="minorHAnsi" w:hAnsiTheme="minorHAnsi"/>
          <w:sz w:val="24"/>
        </w:rPr>
      </w:pPr>
      <w:r w:rsidRPr="009E01D2">
        <w:rPr>
          <w:rFonts w:asciiTheme="minorHAnsi" w:hAnsiTheme="minorHAnsi"/>
          <w:sz w:val="24"/>
        </w:rPr>
        <w:t xml:space="preserve">Smluvní strany se dohodly, že Dodavatel je povinen dodat plnění dle této Prováděcí smlouvy Objednateli nejpozději </w:t>
      </w:r>
      <w:r w:rsidR="009E01D2" w:rsidRPr="009E01D2">
        <w:rPr>
          <w:rFonts w:asciiTheme="minorHAnsi" w:hAnsiTheme="minorHAnsi"/>
          <w:sz w:val="24"/>
        </w:rPr>
        <w:t xml:space="preserve">do 15 pracovních dnů od nabytí účinnosti této Prováděcí smlouvy jejím zveřejněním v Registru smluv. </w:t>
      </w:r>
    </w:p>
    <w:p w14:paraId="0AACB2BC" w14:textId="3A55280D" w:rsidR="00952E7C" w:rsidRPr="009E01D2" w:rsidRDefault="00952E7C" w:rsidP="00AD5665">
      <w:pPr>
        <w:pStyle w:val="CZodstavec"/>
        <w:numPr>
          <w:ilvl w:val="0"/>
          <w:numId w:val="9"/>
        </w:numPr>
        <w:tabs>
          <w:tab w:val="left" w:pos="426"/>
        </w:tabs>
        <w:ind w:left="426" w:hanging="426"/>
        <w:rPr>
          <w:rFonts w:asciiTheme="minorHAnsi" w:hAnsiTheme="minorHAnsi"/>
          <w:sz w:val="24"/>
        </w:rPr>
      </w:pPr>
      <w:r w:rsidRPr="009E01D2">
        <w:rPr>
          <w:rFonts w:asciiTheme="minorHAnsi" w:hAnsiTheme="minorHAnsi"/>
          <w:sz w:val="24"/>
        </w:rPr>
        <w:t>Místem dodání plnění Dodavatele dle této Prováděcí smlouvy je sídlo Objednatele uvedené na titulní straně této Prováděcí smlouvy</w:t>
      </w:r>
      <w:r w:rsidR="00D57BAB" w:rsidRPr="009E01D2">
        <w:rPr>
          <w:rFonts w:asciiTheme="minorHAnsi" w:hAnsiTheme="minorHAnsi"/>
          <w:sz w:val="24"/>
        </w:rPr>
        <w:t xml:space="preserve">. </w:t>
      </w:r>
      <w:r w:rsidRPr="009E01D2">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20DC21C0" w14:textId="2849189A" w:rsidR="005247AA" w:rsidRPr="009E01D2"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 xml:space="preserve">se dohodly, že cena za plnění poskytnuté Dodavatelem na základě této Prováděcí smlouvy </w:t>
      </w:r>
      <w:r w:rsidRPr="009E01D2">
        <w:rPr>
          <w:rFonts w:asciiTheme="minorHAnsi" w:hAnsiTheme="minorHAnsi" w:cstheme="minorHAnsi"/>
          <w:sz w:val="24"/>
        </w:rPr>
        <w:t>bude splatná na základě faktur – daňových dokladů vystavených Dodavatelem v</w:t>
      </w:r>
      <w:r w:rsidR="00605F7D" w:rsidRPr="009E01D2">
        <w:rPr>
          <w:rFonts w:asciiTheme="minorHAnsi" w:hAnsiTheme="minorHAnsi" w:cstheme="minorHAnsi"/>
          <w:sz w:val="24"/>
        </w:rPr>
        <w:t> </w:t>
      </w:r>
      <w:r w:rsidRPr="009E01D2">
        <w:rPr>
          <w:rFonts w:asciiTheme="minorHAnsi" w:hAnsiTheme="minorHAnsi" w:cstheme="minorHAnsi"/>
          <w:sz w:val="24"/>
        </w:rPr>
        <w:t>souladu</w:t>
      </w:r>
      <w:r w:rsidR="00605F7D" w:rsidRPr="009E01D2">
        <w:rPr>
          <w:rFonts w:asciiTheme="minorHAnsi" w:hAnsiTheme="minorHAnsi" w:cstheme="minorHAnsi"/>
          <w:sz w:val="24"/>
        </w:rPr>
        <w:t xml:space="preserve"> </w:t>
      </w:r>
      <w:r w:rsidRPr="009E01D2">
        <w:rPr>
          <w:rFonts w:asciiTheme="minorHAnsi" w:hAnsiTheme="minorHAnsi" w:cstheme="minorHAnsi"/>
          <w:sz w:val="24"/>
        </w:rPr>
        <w:t>s následujícími pravidly:</w:t>
      </w:r>
    </w:p>
    <w:p w14:paraId="38077C72" w14:textId="6161C692" w:rsidR="005247AA" w:rsidRPr="009E01D2" w:rsidRDefault="005247AA" w:rsidP="005247AA">
      <w:pPr>
        <w:pStyle w:val="CZodstavec"/>
        <w:numPr>
          <w:ilvl w:val="1"/>
          <w:numId w:val="10"/>
        </w:numPr>
        <w:rPr>
          <w:rFonts w:asciiTheme="minorHAnsi" w:hAnsiTheme="minorHAnsi" w:cstheme="minorBidi"/>
          <w:sz w:val="24"/>
        </w:rPr>
      </w:pPr>
      <w:r w:rsidRPr="009E01D2">
        <w:rPr>
          <w:rFonts w:asciiTheme="minorHAnsi" w:hAnsiTheme="minorHAnsi" w:cstheme="minorBidi"/>
          <w:sz w:val="24"/>
        </w:rPr>
        <w:t xml:space="preserve">Daňový doklad (fakturu) vystaví Dodavatel Objednateli nejpozději do 30 dnů od předání a převzetí plnění poskytnutého Dodavatelem. </w:t>
      </w:r>
    </w:p>
    <w:p w14:paraId="123DF603" w14:textId="7F0BC0A0" w:rsidR="005247AA" w:rsidRPr="009E01D2" w:rsidRDefault="005247AA" w:rsidP="005247AA">
      <w:pPr>
        <w:pStyle w:val="CZodstavec"/>
        <w:numPr>
          <w:ilvl w:val="1"/>
          <w:numId w:val="10"/>
        </w:numPr>
        <w:rPr>
          <w:rFonts w:asciiTheme="minorHAnsi" w:hAnsiTheme="minorHAnsi" w:cstheme="minorBidi"/>
          <w:sz w:val="24"/>
        </w:rPr>
      </w:pPr>
      <w:r w:rsidRPr="009E01D2">
        <w:rPr>
          <w:rFonts w:asciiTheme="minorHAnsi" w:hAnsiTheme="minorHAnsi" w:cstheme="minorBidi"/>
          <w:sz w:val="24"/>
        </w:rPr>
        <w:t xml:space="preserve">Daňový doklad (faktura) vystavený Dodavatelem musí obsahovat číslo Rámcové dohody, číslo této Prováděcí smlouvy a náležitosti řádného daňového </w:t>
      </w:r>
      <w:r w:rsidRPr="009E01D2">
        <w:rPr>
          <w:rFonts w:asciiTheme="minorHAnsi" w:hAnsiTheme="minorHAnsi" w:cstheme="minorBidi"/>
          <w:sz w:val="24"/>
        </w:rPr>
        <w:lastRenderedPageBreak/>
        <w:t>dokladu podle příslušných právních předpisů, zejména pak zákona o dani z přidané hodnoty a zákona o účetnictví v platném znění.</w:t>
      </w:r>
    </w:p>
    <w:p w14:paraId="6E138756" w14:textId="097EDC10" w:rsidR="005247AA" w:rsidRPr="009E01D2" w:rsidRDefault="005247AA" w:rsidP="005247AA">
      <w:pPr>
        <w:pStyle w:val="CZodstavec"/>
        <w:numPr>
          <w:ilvl w:val="1"/>
          <w:numId w:val="10"/>
        </w:numPr>
        <w:rPr>
          <w:rFonts w:asciiTheme="minorHAnsi" w:hAnsiTheme="minorHAnsi" w:cstheme="minorBidi"/>
          <w:sz w:val="24"/>
        </w:rPr>
      </w:pPr>
      <w:r w:rsidRPr="009E01D2">
        <w:rPr>
          <w:rFonts w:asciiTheme="minorHAnsi" w:hAnsiTheme="minorHAnsi" w:cstheme="minorBidi"/>
          <w:sz w:val="24"/>
        </w:rPr>
        <w:t xml:space="preserve">Splatnost faktury bude nejméně 30 dnů ode dne jejího doručení na adresu  Objednatele uvedenou v této Prováděcí smlouvě. Zároveň Dodavatel zašle elektronickou kopii faktury kontaktní osobě uvedené v záhlaví této Prováděcí smlouvy a na e-mailovou adresu: </w:t>
      </w:r>
      <w:hyperlink r:id="rId12" w:history="1">
        <w:r w:rsidR="003A237C">
          <w:rPr>
            <w:rStyle w:val="Hypertextovodkaz"/>
            <w:rFonts w:asciiTheme="minorHAnsi" w:hAnsiTheme="minorHAnsi" w:cstheme="minorBidi"/>
            <w:sz w:val="24"/>
          </w:rPr>
          <w:t>XXX</w:t>
        </w:r>
      </w:hyperlink>
      <w:r w:rsidRPr="009E01D2">
        <w:rPr>
          <w:rFonts w:asciiTheme="minorHAnsi" w:hAnsiTheme="minorHAnsi" w:cstheme="minorBidi"/>
          <w:sz w:val="24"/>
        </w:rPr>
        <w:t xml:space="preserve">   </w:t>
      </w:r>
    </w:p>
    <w:p w14:paraId="2B1DC80C" w14:textId="77777777" w:rsidR="00B74E41" w:rsidRPr="00B74E41" w:rsidRDefault="00952E7C" w:rsidP="00B74E41">
      <w:pPr>
        <w:pStyle w:val="CZodstavec"/>
        <w:numPr>
          <w:ilvl w:val="0"/>
          <w:numId w:val="10"/>
        </w:numPr>
        <w:spacing w:after="160" w:line="259" w:lineRule="auto"/>
        <w:ind w:left="426" w:hanging="426"/>
        <w:jc w:val="left"/>
        <w:rPr>
          <w:rFonts w:asciiTheme="minorHAnsi" w:hAnsiTheme="minorHAnsi" w:cstheme="minorHAnsi"/>
          <w:b/>
          <w:sz w:val="24"/>
        </w:rPr>
      </w:pPr>
      <w:r w:rsidRPr="00B74E41">
        <w:rPr>
          <w:rFonts w:asciiTheme="minorHAnsi" w:hAnsiTheme="minorHAnsi" w:cstheme="minorHAnsi"/>
          <w:sz w:val="24"/>
        </w:rPr>
        <w:t>Ostatní platební podmínky jsou stanoveny v Rámcové dohodě.</w:t>
      </w:r>
    </w:p>
    <w:p w14:paraId="26326475" w14:textId="77777777" w:rsidR="00B74E41" w:rsidRPr="00B74E41" w:rsidRDefault="00B74E41" w:rsidP="00B74E41">
      <w:pPr>
        <w:pStyle w:val="CZslolnku"/>
        <w:numPr>
          <w:ilvl w:val="0"/>
          <w:numId w:val="1"/>
        </w:numPr>
        <w:ind w:left="0" w:firstLine="0"/>
        <w:rPr>
          <w:rFonts w:asciiTheme="minorHAnsi" w:hAnsiTheme="minorHAnsi" w:cstheme="minorHAnsi"/>
          <w:bCs/>
          <w:sz w:val="24"/>
        </w:rPr>
      </w:pPr>
    </w:p>
    <w:p w14:paraId="6F1B6715" w14:textId="30902D9B" w:rsidR="00952E7C" w:rsidRPr="00B74E41" w:rsidRDefault="00952E7C" w:rsidP="00B74E41">
      <w:pPr>
        <w:pStyle w:val="CZslolnku"/>
        <w:numPr>
          <w:ilvl w:val="0"/>
          <w:numId w:val="0"/>
        </w:numPr>
        <w:rPr>
          <w:rFonts w:asciiTheme="minorHAnsi" w:hAnsiTheme="minorHAnsi" w:cstheme="minorHAnsi"/>
          <w:bCs/>
          <w:sz w:val="24"/>
        </w:rPr>
      </w:pPr>
      <w:r w:rsidRPr="00B74E41">
        <w:rPr>
          <w:rFonts w:asciiTheme="minorHAnsi" w:hAnsiTheme="minorHAnsi" w:cstheme="minorHAnsi"/>
          <w:bCs/>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08575F26" w14:textId="69CC2E3C" w:rsidR="005C1008" w:rsidRPr="00EA576E" w:rsidRDefault="00952E7C" w:rsidP="00EA576E">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13A2F9F2"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A6362A">
        <w:rPr>
          <w:rFonts w:asciiTheme="minorHAnsi" w:hAnsiTheme="minorHAnsi" w:cstheme="minorHAnsi"/>
          <w:sz w:val="24"/>
        </w:rPr>
        <w:t>Praze</w:t>
      </w:r>
      <w:r w:rsidRPr="005842D1">
        <w:rPr>
          <w:rFonts w:asciiTheme="minorHAnsi" w:hAnsiTheme="minorHAnsi" w:cstheme="minorHAnsi"/>
          <w:sz w:val="24"/>
        </w:rPr>
        <w:t xml:space="preserve"> dne</w:t>
      </w:r>
      <w:r w:rsidR="005477DB">
        <w:rPr>
          <w:rFonts w:asciiTheme="minorHAnsi" w:hAnsiTheme="minorHAnsi" w:cstheme="minorHAnsi"/>
          <w:sz w:val="24"/>
        </w:rPr>
        <w:tab/>
      </w:r>
      <w:r w:rsidR="005477DB">
        <w:rPr>
          <w:rFonts w:asciiTheme="minorHAnsi" w:hAnsiTheme="minorHAnsi" w:cstheme="minorHAnsi"/>
          <w:sz w:val="24"/>
        </w:rPr>
        <w:tab/>
      </w:r>
      <w:r w:rsidR="005477DB">
        <w:rPr>
          <w:rFonts w:asciiTheme="minorHAnsi" w:hAnsiTheme="minorHAnsi" w:cstheme="minorHAnsi"/>
          <w:sz w:val="24"/>
        </w:rPr>
        <w:tab/>
      </w:r>
      <w:r w:rsidR="005477DB">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920922" w:rsidRPr="00920922">
        <w:rPr>
          <w:rFonts w:asciiTheme="minorHAnsi" w:hAnsiTheme="minorHAnsi" w:cstheme="minorHAnsi"/>
          <w:sz w:val="24"/>
        </w:rPr>
        <w:t>V Praze dne dle elektronického podpisu</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6FB10C55" w:rsidR="00952E7C" w:rsidRPr="005842D1" w:rsidRDefault="003A237C" w:rsidP="00952E7C">
      <w:pPr>
        <w:rPr>
          <w:rFonts w:asciiTheme="minorHAnsi" w:hAnsiTheme="minorHAnsi" w:cstheme="minorHAnsi"/>
          <w:sz w:val="24"/>
        </w:rPr>
      </w:pPr>
      <w:r>
        <w:rPr>
          <w:rFonts w:asciiTheme="minorHAnsi" w:hAnsiTheme="minorHAnsi" w:cstheme="minorHAnsi"/>
          <w:sz w:val="24"/>
        </w:rPr>
        <w:t>XXX</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Pr>
          <w:rFonts w:asciiTheme="minorHAnsi" w:hAnsiTheme="minorHAnsi" w:cstheme="minorHAnsi"/>
          <w:sz w:val="24"/>
        </w:rPr>
        <w:t>XXX</w:t>
      </w:r>
    </w:p>
    <w:p w14:paraId="11F4906F" w14:textId="06C49622" w:rsidR="00952E7C" w:rsidRPr="005842D1" w:rsidRDefault="00066235" w:rsidP="00952E7C">
      <w:pPr>
        <w:rPr>
          <w:rFonts w:asciiTheme="minorHAnsi" w:hAnsiTheme="minorHAnsi" w:cstheme="minorHAnsi"/>
          <w:sz w:val="24"/>
        </w:rPr>
      </w:pPr>
      <w:r>
        <w:rPr>
          <w:rFonts w:asciiTheme="minorHAnsi" w:hAnsiTheme="minorHAnsi" w:cstheme="minorHAnsi"/>
          <w:sz w:val="24"/>
        </w:rPr>
        <w:t>ředitel CzechTourism</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015E27" w:rsidRPr="00015E27">
        <w:rPr>
          <w:rFonts w:asciiTheme="minorHAnsi" w:hAnsiTheme="minorHAnsi" w:cstheme="minorHAnsi"/>
          <w:sz w:val="24"/>
        </w:rPr>
        <w:t>Vedoucí odštěpného závodu</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79882A2A" w14:textId="6F7D1637" w:rsidR="00F918DB" w:rsidRDefault="005F3D33">
      <w:r w:rsidRPr="005F3D33">
        <w:rPr>
          <w:noProof/>
        </w:rPr>
        <w:drawing>
          <wp:inline distT="0" distB="0" distL="0" distR="0" wp14:anchorId="5E166AAD" wp14:editId="7B71ADD3">
            <wp:extent cx="5760720" cy="993775"/>
            <wp:effectExtent l="0" t="0" r="0" b="0"/>
            <wp:docPr id="102499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993775"/>
                    </a:xfrm>
                    <a:prstGeom prst="rect">
                      <a:avLst/>
                    </a:prstGeom>
                    <a:noFill/>
                    <a:ln>
                      <a:noFill/>
                    </a:ln>
                  </pic:spPr>
                </pic:pic>
              </a:graphicData>
            </a:graphic>
          </wp:inline>
        </w:drawing>
      </w:r>
    </w:p>
    <w:sectPr w:rsidR="00F918DB" w:rsidSect="00952E7C">
      <w:footerReference w:type="default" r:id="rId14"/>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3B4A0" w14:textId="77777777" w:rsidR="00E92598" w:rsidRDefault="00E92598" w:rsidP="00952E7C">
      <w:pPr>
        <w:spacing w:line="240" w:lineRule="auto"/>
      </w:pPr>
      <w:r>
        <w:separator/>
      </w:r>
    </w:p>
  </w:endnote>
  <w:endnote w:type="continuationSeparator" w:id="0">
    <w:p w14:paraId="63F468B7" w14:textId="77777777" w:rsidR="00E92598" w:rsidRDefault="00E92598"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958460"/>
      <w:docPartObj>
        <w:docPartGallery w:val="Page Numbers (Bottom of Page)"/>
        <w:docPartUnique/>
      </w:docPartObj>
    </w:sdt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87CB" w14:textId="77777777" w:rsidR="00E92598" w:rsidRDefault="00E92598" w:rsidP="00952E7C">
      <w:pPr>
        <w:spacing w:line="240" w:lineRule="auto"/>
      </w:pPr>
      <w:r>
        <w:separator/>
      </w:r>
    </w:p>
  </w:footnote>
  <w:footnote w:type="continuationSeparator" w:id="0">
    <w:p w14:paraId="1396000D" w14:textId="77777777" w:rsidR="00E92598" w:rsidRDefault="00E92598"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183"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333149792">
    <w:abstractNumId w:val="5"/>
  </w:num>
  <w:num w:numId="2" w16cid:durableId="191751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043462">
    <w:abstractNumId w:val="8"/>
  </w:num>
  <w:num w:numId="4" w16cid:durableId="1098333955">
    <w:abstractNumId w:val="0"/>
  </w:num>
  <w:num w:numId="5" w16cid:durableId="421882015">
    <w:abstractNumId w:val="9"/>
  </w:num>
  <w:num w:numId="6" w16cid:durableId="526140243">
    <w:abstractNumId w:val="4"/>
  </w:num>
  <w:num w:numId="7" w16cid:durableId="1825661698">
    <w:abstractNumId w:val="2"/>
  </w:num>
  <w:num w:numId="8" w16cid:durableId="1037388873">
    <w:abstractNumId w:val="1"/>
  </w:num>
  <w:num w:numId="9" w16cid:durableId="72822581">
    <w:abstractNumId w:val="7"/>
  </w:num>
  <w:num w:numId="10" w16cid:durableId="1298996968">
    <w:abstractNumId w:val="3"/>
  </w:num>
  <w:num w:numId="11" w16cid:durableId="1378354770">
    <w:abstractNumId w:val="6"/>
  </w:num>
  <w:num w:numId="12" w16cid:durableId="517895449">
    <w:abstractNumId w:val="0"/>
  </w:num>
  <w:num w:numId="13" w16cid:durableId="90295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14A9B"/>
    <w:rsid w:val="00015E27"/>
    <w:rsid w:val="00040F6B"/>
    <w:rsid w:val="00066235"/>
    <w:rsid w:val="00093B83"/>
    <w:rsid w:val="000A2DB2"/>
    <w:rsid w:val="00102EA9"/>
    <w:rsid w:val="002814FF"/>
    <w:rsid w:val="002D62B9"/>
    <w:rsid w:val="003A237C"/>
    <w:rsid w:val="004121BC"/>
    <w:rsid w:val="00443799"/>
    <w:rsid w:val="004B61F8"/>
    <w:rsid w:val="004D21CE"/>
    <w:rsid w:val="005247AA"/>
    <w:rsid w:val="00541A62"/>
    <w:rsid w:val="005477DB"/>
    <w:rsid w:val="005C1008"/>
    <w:rsid w:val="005C7EF5"/>
    <w:rsid w:val="005E5C23"/>
    <w:rsid w:val="005F3D33"/>
    <w:rsid w:val="00605F7D"/>
    <w:rsid w:val="00651FF5"/>
    <w:rsid w:val="00680225"/>
    <w:rsid w:val="006813B6"/>
    <w:rsid w:val="0081016C"/>
    <w:rsid w:val="00920922"/>
    <w:rsid w:val="00927301"/>
    <w:rsid w:val="00947027"/>
    <w:rsid w:val="00952E7C"/>
    <w:rsid w:val="009E01D2"/>
    <w:rsid w:val="009F07A4"/>
    <w:rsid w:val="00A541F8"/>
    <w:rsid w:val="00A6362A"/>
    <w:rsid w:val="00AD5665"/>
    <w:rsid w:val="00AE4EAB"/>
    <w:rsid w:val="00B027D8"/>
    <w:rsid w:val="00B267A9"/>
    <w:rsid w:val="00B74E41"/>
    <w:rsid w:val="00BD7A20"/>
    <w:rsid w:val="00C110C6"/>
    <w:rsid w:val="00C13C16"/>
    <w:rsid w:val="00C7601F"/>
    <w:rsid w:val="00C7773B"/>
    <w:rsid w:val="00CD2A48"/>
    <w:rsid w:val="00D43B7A"/>
    <w:rsid w:val="00D57BAB"/>
    <w:rsid w:val="00D76DC8"/>
    <w:rsid w:val="00E22B56"/>
    <w:rsid w:val="00E62F8E"/>
    <w:rsid w:val="00E92598"/>
    <w:rsid w:val="00EA576E"/>
    <w:rsid w:val="00EC2CE9"/>
    <w:rsid w:val="00F52184"/>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character" w:styleId="Hypertextovodkaz">
    <w:name w:val="Hyperlink"/>
    <w:basedOn w:val="Standardnpsmoodstavce"/>
    <w:uiPriority w:val="99"/>
    <w:unhideWhenUsed/>
    <w:rsid w:val="00680225"/>
    <w:rPr>
      <w:color w:val="0563C1" w:themeColor="hyperlink"/>
      <w:u w:val="single"/>
    </w:rPr>
  </w:style>
  <w:style w:type="character" w:styleId="Nevyeenzmnka">
    <w:name w:val="Unresolved Mention"/>
    <w:basedOn w:val="Standardnpsmoodstavce"/>
    <w:uiPriority w:val="99"/>
    <w:semiHidden/>
    <w:unhideWhenUsed/>
    <w:rsid w:val="006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czechtouris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MV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61B863DB216946962C9CBE7F20BA00" ma:contentTypeVersion="19" ma:contentTypeDescription="Create a new document." ma:contentTypeScope="" ma:versionID="420dbb4305d3f0e8b8c16084835bfb70">
  <xsd:schema xmlns:xsd="http://www.w3.org/2001/XMLSchema" xmlns:xs="http://www.w3.org/2001/XMLSchema" xmlns:p="http://schemas.microsoft.com/office/2006/metadata/properties" xmlns:ns1="http://schemas.microsoft.com/sharepoint/v3" xmlns:ns2="c1a3e9de-abdb-47d7-b1c1-c8d2e355ef5e" xmlns:ns3="55f69c3c-9033-4ceb-9f20-e056cb6a3563" targetNamespace="http://schemas.microsoft.com/office/2006/metadata/properties" ma:root="true" ma:fieldsID="e9519c16e06e6e3907e6e80e5a882f3c" ns1:_="" ns2:_="" ns3:_="">
    <xsd:import namespace="http://schemas.microsoft.com/sharepoint/v3"/>
    <xsd:import namespace="c1a3e9de-abdb-47d7-b1c1-c8d2e355ef5e"/>
    <xsd:import namespace="55f69c3c-9033-4ceb-9f20-e056cb6a3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3e9de-abdb-47d7-b1c1-c8d2e355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0fe5b5-a69c-468b-9724-b431d460578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69c3c-9033-4ceb-9f20-e056cb6a35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510de4-e84d-4d1d-82a1-4c0ae771c7ee}" ma:internalName="TaxCatchAll" ma:showField="CatchAllData" ma:web="55f69c3c-9033-4ceb-9f20-e056cb6a3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5f69c3c-9033-4ceb-9f20-e056cb6a3563" xsi:nil="true"/>
    <lcf76f155ced4ddcb4097134ff3c332f xmlns="c1a3e9de-abdb-47d7-b1c1-c8d2e355ef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customXml/itemProps2.xml><?xml version="1.0" encoding="utf-8"?>
<ds:datastoreItem xmlns:ds="http://schemas.openxmlformats.org/officeDocument/2006/customXml" ds:itemID="{AF3678BE-E2F6-4FE9-B168-5320A9A5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3e9de-abdb-47d7-b1c1-c8d2e355ef5e"/>
    <ds:schemaRef ds:uri="55f69c3c-9033-4ceb-9f20-e056cb6a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A624D-72BA-45F0-AB0D-7DFF7BF57D6A}">
  <ds:schemaRefs>
    <ds:schemaRef ds:uri="http://schemas.microsoft.com/office/2006/metadata/properties"/>
    <ds:schemaRef ds:uri="http://schemas.microsoft.com/office/infopath/2007/PartnerControls"/>
    <ds:schemaRef ds:uri="http://schemas.microsoft.com/sharepoint/v3"/>
    <ds:schemaRef ds:uri="55f69c3c-9033-4ceb-9f20-e056cb6a3563"/>
    <ds:schemaRef ds:uri="c1a3e9de-abdb-47d7-b1c1-c8d2e355ef5e"/>
  </ds:schemaRefs>
</ds:datastoreItem>
</file>

<file path=customXml/itemProps4.xml><?xml version="1.0" encoding="utf-8"?>
<ds:datastoreItem xmlns:ds="http://schemas.openxmlformats.org/officeDocument/2006/customXml" ds:itemID="{92C6B657-F79D-44D8-BC1F-82787421A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1674</Words>
  <Characters>9879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Krušberská Eliška</cp:lastModifiedBy>
  <cp:revision>34</cp:revision>
  <dcterms:created xsi:type="dcterms:W3CDTF">2024-10-17T12:10:00Z</dcterms:created>
  <dcterms:modified xsi:type="dcterms:W3CDTF">2024-11-28T12:47:00Z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0x0101007D61B863DB216946962C9CBE7F20BA00</vt:lpwstr>
  </property>
  <property fmtid="{D5CDD505-2E9C-101B-9397-08002B2CF9AE}" pid="3" name="MediaServiceImageTags">
    <vt:lpwstr/>
  </property>
</Properties>
</file>