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55AF" w14:textId="586B7574" w:rsidR="002116AD" w:rsidRDefault="00D30A7C">
      <w:pPr>
        <w:tabs>
          <w:tab w:val="left" w:pos="4536"/>
          <w:tab w:val="left" w:pos="7513"/>
        </w:tabs>
        <w:spacing w:before="240"/>
        <w:rPr>
          <w:szCs w:val="22"/>
        </w:rPr>
      </w:pPr>
      <w:r>
        <w:rPr>
          <w:szCs w:val="22"/>
        </w:rPr>
        <w:tab/>
        <w:t>Číslo smlouvy objednatele:</w:t>
      </w:r>
      <w:r>
        <w:rPr>
          <w:szCs w:val="22"/>
        </w:rPr>
        <w:tab/>
      </w:r>
      <w:r w:rsidR="00356EEE">
        <w:rPr>
          <w:szCs w:val="22"/>
        </w:rPr>
        <w:t>2784</w:t>
      </w:r>
      <w:r>
        <w:rPr>
          <w:szCs w:val="22"/>
        </w:rPr>
        <w:t>/202</w:t>
      </w:r>
      <w:r w:rsidR="006A00DC">
        <w:rPr>
          <w:szCs w:val="22"/>
        </w:rPr>
        <w:t>4</w:t>
      </w:r>
      <w:r>
        <w:rPr>
          <w:szCs w:val="22"/>
        </w:rPr>
        <w:t>/IT</w:t>
      </w:r>
    </w:p>
    <w:p w14:paraId="33FB1C80" w14:textId="6B364907" w:rsidR="002116AD" w:rsidRDefault="00D30A7C">
      <w:pPr>
        <w:tabs>
          <w:tab w:val="left" w:pos="4536"/>
          <w:tab w:val="left" w:pos="7513"/>
        </w:tabs>
        <w:spacing w:before="240"/>
        <w:rPr>
          <w:szCs w:val="22"/>
        </w:rPr>
      </w:pPr>
      <w:r>
        <w:rPr>
          <w:szCs w:val="22"/>
        </w:rPr>
        <w:tab/>
        <w:t>Identifikátor veřejné zakázky:</w:t>
      </w:r>
      <w:r>
        <w:rPr>
          <w:szCs w:val="22"/>
        </w:rPr>
        <w:tab/>
      </w:r>
      <w:r w:rsidR="00137AE2">
        <w:t>P24V00285715</w:t>
      </w:r>
    </w:p>
    <w:p w14:paraId="43813324" w14:textId="19B237DF" w:rsidR="002116AD" w:rsidRDefault="00D30A7C">
      <w:pPr>
        <w:tabs>
          <w:tab w:val="left" w:pos="4536"/>
          <w:tab w:val="left" w:pos="7513"/>
        </w:tabs>
        <w:spacing w:before="240"/>
        <w:rPr>
          <w:szCs w:val="22"/>
        </w:rPr>
      </w:pPr>
      <w:r>
        <w:rPr>
          <w:szCs w:val="22"/>
        </w:rPr>
        <w:tab/>
        <w:t xml:space="preserve">Číslo smlouvy </w:t>
      </w:r>
      <w:r w:rsidR="004618F0">
        <w:rPr>
          <w:szCs w:val="22"/>
        </w:rPr>
        <w:t>poskytovatel</w:t>
      </w:r>
      <w:r>
        <w:rPr>
          <w:szCs w:val="22"/>
        </w:rPr>
        <w:t>e:</w:t>
      </w:r>
      <w:r>
        <w:rPr>
          <w:szCs w:val="22"/>
        </w:rPr>
        <w:tab/>
        <w:t>______________</w:t>
      </w:r>
    </w:p>
    <w:p w14:paraId="4E93C159" w14:textId="415F557E" w:rsidR="002116AD" w:rsidRDefault="00D30A7C">
      <w:pPr>
        <w:pStyle w:val="JVS1"/>
        <w:spacing w:before="360"/>
      </w:pPr>
      <w:r>
        <w:t>Smlouva na dodávku</w:t>
      </w:r>
      <w:r w:rsidR="0088781D">
        <w:t xml:space="preserve"> </w:t>
      </w:r>
      <w:r w:rsidR="00003AE0">
        <w:t xml:space="preserve">programového vybavení </w:t>
      </w:r>
      <w:r w:rsidR="0029001E">
        <w:br/>
      </w:r>
      <w:r>
        <w:t>a</w:t>
      </w:r>
      <w:r w:rsidR="0029001E">
        <w:t xml:space="preserve"> </w:t>
      </w:r>
      <w:r w:rsidR="009334A9">
        <w:t xml:space="preserve">poskytování </w:t>
      </w:r>
      <w:r>
        <w:t>služby technické podpory</w:t>
      </w:r>
      <w:r w:rsidR="009334A9">
        <w:t xml:space="preserve"> </w:t>
      </w:r>
    </w:p>
    <w:p w14:paraId="156D41EF" w14:textId="77777777" w:rsidR="002116AD" w:rsidRDefault="00D30A7C">
      <w:pPr>
        <w:pStyle w:val="SBSTitulekmal"/>
        <w:jc w:val="left"/>
        <w:rPr>
          <w:rFonts w:cs="Arial"/>
        </w:rPr>
      </w:pPr>
      <w:r>
        <w:t xml:space="preserve"> </w:t>
      </w:r>
      <w:r>
        <w:rPr>
          <w:rFonts w:cs="Arial"/>
        </w:rPr>
        <w:t>(dále jen „smlouva“)</w:t>
      </w:r>
    </w:p>
    <w:p w14:paraId="3FF9963D" w14:textId="77777777" w:rsidR="00DA2256" w:rsidRPr="00DA2256" w:rsidRDefault="00DA2256" w:rsidP="00DA2256">
      <w:pPr>
        <w:pBdr>
          <w:bottom w:val="single" w:sz="6" w:space="1" w:color="auto"/>
        </w:pBdr>
        <w:tabs>
          <w:tab w:val="left" w:pos="0"/>
          <w:tab w:val="left" w:leader="underscore" w:pos="4706"/>
          <w:tab w:val="left" w:pos="4990"/>
          <w:tab w:val="left" w:leader="underscore" w:pos="9639"/>
        </w:tabs>
        <w:rPr>
          <w:rFonts w:cs="Arial"/>
          <w:b/>
          <w:sz w:val="24"/>
          <w:szCs w:val="24"/>
        </w:rPr>
      </w:pPr>
      <w:r w:rsidRPr="00DA2256">
        <w:rPr>
          <w:rFonts w:cs="Arial"/>
          <w:b/>
          <w:sz w:val="24"/>
          <w:szCs w:val="24"/>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3046"/>
        <w:gridCol w:w="280"/>
        <w:gridCol w:w="1533"/>
        <w:gridCol w:w="3056"/>
      </w:tblGrid>
      <w:tr w:rsidR="00DB2755" w:rsidRPr="00DB2755" w14:paraId="2335BBB2" w14:textId="77777777" w:rsidTr="00796292">
        <w:trPr>
          <w:trHeight w:val="273"/>
        </w:trPr>
        <w:tc>
          <w:tcPr>
            <w:tcW w:w="4672" w:type="dxa"/>
            <w:gridSpan w:val="2"/>
          </w:tcPr>
          <w:p w14:paraId="5BAF002D" w14:textId="77777777" w:rsidR="00DB2755" w:rsidRPr="00DB2755" w:rsidRDefault="00DB2755" w:rsidP="00DA7BF8">
            <w:pPr>
              <w:tabs>
                <w:tab w:val="left" w:pos="0"/>
                <w:tab w:val="left" w:leader="underscore" w:pos="4706"/>
                <w:tab w:val="left" w:pos="4990"/>
                <w:tab w:val="left" w:leader="underscore" w:pos="9639"/>
              </w:tabs>
              <w:spacing w:before="240"/>
              <w:rPr>
                <w:rFonts w:cs="Arial"/>
                <w:b/>
              </w:rPr>
            </w:pPr>
            <w:r w:rsidRPr="00DB2755">
              <w:rPr>
                <w:rFonts w:cs="Arial"/>
                <w:b/>
              </w:rPr>
              <w:t>Statutární město Ostrava</w:t>
            </w:r>
          </w:p>
        </w:tc>
        <w:tc>
          <w:tcPr>
            <w:tcW w:w="280" w:type="dxa"/>
          </w:tcPr>
          <w:p w14:paraId="63A6A260" w14:textId="77777777" w:rsidR="00DB2755" w:rsidRPr="00DB2755" w:rsidRDefault="00DB2755" w:rsidP="00DA7BF8">
            <w:pPr>
              <w:tabs>
                <w:tab w:val="left" w:pos="0"/>
                <w:tab w:val="left" w:leader="underscore" w:pos="4706"/>
                <w:tab w:val="left" w:pos="4990"/>
                <w:tab w:val="left" w:leader="underscore" w:pos="9639"/>
              </w:tabs>
              <w:spacing w:before="240"/>
              <w:rPr>
                <w:rFonts w:cs="Arial"/>
                <w:b/>
              </w:rPr>
            </w:pPr>
          </w:p>
        </w:tc>
        <w:tc>
          <w:tcPr>
            <w:tcW w:w="4589" w:type="dxa"/>
            <w:gridSpan w:val="2"/>
          </w:tcPr>
          <w:p w14:paraId="0AB02986" w14:textId="55EE9FBF" w:rsidR="00DB2755" w:rsidRPr="00DB2755" w:rsidRDefault="00137AE2" w:rsidP="00DA7BF8">
            <w:pPr>
              <w:tabs>
                <w:tab w:val="left" w:pos="0"/>
                <w:tab w:val="left" w:leader="underscore" w:pos="4706"/>
                <w:tab w:val="left" w:pos="4990"/>
                <w:tab w:val="left" w:leader="underscore" w:pos="9639"/>
              </w:tabs>
              <w:spacing w:before="240"/>
              <w:rPr>
                <w:rFonts w:cs="Arial"/>
                <w:b/>
              </w:rPr>
            </w:pPr>
            <w:r>
              <w:rPr>
                <w:rFonts w:cs="Arial"/>
                <w:b/>
              </w:rPr>
              <w:t>KompIT, s.r.o.</w:t>
            </w:r>
          </w:p>
        </w:tc>
      </w:tr>
      <w:tr w:rsidR="00DB2755" w:rsidRPr="00DB2755" w14:paraId="76B4F9F0" w14:textId="77777777" w:rsidTr="00796292">
        <w:tc>
          <w:tcPr>
            <w:tcW w:w="4672" w:type="dxa"/>
            <w:gridSpan w:val="2"/>
          </w:tcPr>
          <w:p w14:paraId="5F6E501D" w14:textId="77777777" w:rsidR="00DB2755" w:rsidRPr="00DB2755" w:rsidRDefault="00DB2755" w:rsidP="00DA7BF8">
            <w:pPr>
              <w:tabs>
                <w:tab w:val="left" w:pos="0"/>
                <w:tab w:val="left" w:leader="underscore" w:pos="4706"/>
                <w:tab w:val="left" w:pos="4990"/>
                <w:tab w:val="left" w:leader="underscore" w:pos="9639"/>
              </w:tabs>
              <w:rPr>
                <w:rFonts w:cs="Arial"/>
                <w:b/>
              </w:rPr>
            </w:pPr>
            <w:r w:rsidRPr="00DB2755">
              <w:rPr>
                <w:rFonts w:cs="Arial"/>
              </w:rPr>
              <w:t>Prokešovo náměstí 8, 729 30 Ostrava</w:t>
            </w:r>
          </w:p>
        </w:tc>
        <w:tc>
          <w:tcPr>
            <w:tcW w:w="280" w:type="dxa"/>
          </w:tcPr>
          <w:p w14:paraId="26044812"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Pr>
          <w:p w14:paraId="0D4DA4B9" w14:textId="5C6F6AFB" w:rsidR="00DB2755" w:rsidRPr="00DB2755" w:rsidRDefault="00137AE2" w:rsidP="00DA7BF8">
            <w:pPr>
              <w:tabs>
                <w:tab w:val="left" w:pos="0"/>
                <w:tab w:val="left" w:leader="underscore" w:pos="4706"/>
                <w:tab w:val="left" w:pos="4990"/>
                <w:tab w:val="left" w:leader="underscore" w:pos="9639"/>
              </w:tabs>
              <w:rPr>
                <w:rFonts w:cs="Arial"/>
                <w:b/>
              </w:rPr>
            </w:pPr>
            <w:r>
              <w:rPr>
                <w:rFonts w:cs="Arial"/>
              </w:rPr>
              <w:t>Ostravská 738/4, 733 01 Karviná</w:t>
            </w:r>
          </w:p>
        </w:tc>
      </w:tr>
      <w:tr w:rsidR="00DB2755" w:rsidRPr="00DB2755" w14:paraId="5E348F5C" w14:textId="77777777" w:rsidTr="00796292">
        <w:tc>
          <w:tcPr>
            <w:tcW w:w="4672" w:type="dxa"/>
            <w:gridSpan w:val="2"/>
          </w:tcPr>
          <w:p w14:paraId="17E556E3" w14:textId="77777777" w:rsidR="00DB2755" w:rsidRPr="00DB2755" w:rsidRDefault="00DB2755" w:rsidP="00DA7BF8">
            <w:pPr>
              <w:tabs>
                <w:tab w:val="left" w:pos="0"/>
                <w:tab w:val="left" w:leader="underscore" w:pos="4706"/>
                <w:tab w:val="left" w:pos="4990"/>
                <w:tab w:val="left" w:leader="underscore" w:pos="9639"/>
              </w:tabs>
              <w:rPr>
                <w:rFonts w:cs="Arial"/>
                <w:b/>
              </w:rPr>
            </w:pPr>
            <w:r w:rsidRPr="00DB2755">
              <w:rPr>
                <w:rFonts w:cs="Arial"/>
              </w:rPr>
              <w:t>zastoupené náměstkyní primátora</w:t>
            </w:r>
          </w:p>
        </w:tc>
        <w:tc>
          <w:tcPr>
            <w:tcW w:w="280" w:type="dxa"/>
          </w:tcPr>
          <w:p w14:paraId="54430F1E"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Pr>
          <w:p w14:paraId="2BA7C4C5" w14:textId="6A33A1EC" w:rsidR="00DB2755" w:rsidRPr="00DB2755" w:rsidRDefault="0050095B" w:rsidP="00DA7BF8">
            <w:pPr>
              <w:tabs>
                <w:tab w:val="left" w:pos="0"/>
                <w:tab w:val="left" w:leader="underscore" w:pos="4706"/>
                <w:tab w:val="left" w:pos="4990"/>
                <w:tab w:val="left" w:leader="underscore" w:pos="9639"/>
              </w:tabs>
              <w:rPr>
                <w:rFonts w:cs="Arial"/>
                <w:b/>
              </w:rPr>
            </w:pPr>
            <w:r>
              <w:rPr>
                <w:rFonts w:cs="Arial"/>
              </w:rPr>
              <w:t>j</w:t>
            </w:r>
            <w:r w:rsidR="00137AE2">
              <w:rPr>
                <w:rFonts w:cs="Arial"/>
              </w:rPr>
              <w:t>ednatel</w:t>
            </w:r>
            <w:r>
              <w:rPr>
                <w:rFonts w:cs="Arial"/>
              </w:rPr>
              <w:t>é společnosti</w:t>
            </w:r>
          </w:p>
        </w:tc>
      </w:tr>
      <w:tr w:rsidR="00DB2755" w:rsidRPr="00DB2755" w14:paraId="2BA210AE" w14:textId="77777777" w:rsidTr="00796292">
        <w:tc>
          <w:tcPr>
            <w:tcW w:w="4672" w:type="dxa"/>
            <w:gridSpan w:val="2"/>
            <w:tcBorders>
              <w:bottom w:val="single" w:sz="4" w:space="0" w:color="auto"/>
            </w:tcBorders>
          </w:tcPr>
          <w:p w14:paraId="216C9570" w14:textId="77777777" w:rsidR="00DB2755" w:rsidRPr="00DB2755" w:rsidRDefault="00DB2755" w:rsidP="00DA7BF8">
            <w:pPr>
              <w:tabs>
                <w:tab w:val="left" w:pos="0"/>
                <w:tab w:val="left" w:leader="underscore" w:pos="4706"/>
                <w:tab w:val="left" w:pos="4990"/>
                <w:tab w:val="left" w:leader="underscore" w:pos="9639"/>
              </w:tabs>
              <w:spacing w:after="120"/>
              <w:rPr>
                <w:rFonts w:cs="Arial"/>
                <w:b/>
              </w:rPr>
            </w:pPr>
            <w:r w:rsidRPr="00DB2755">
              <w:rPr>
                <w:rFonts w:cs="Arial"/>
              </w:rPr>
              <w:t>Mgr. Andreou Hoffmannovou, Ph.D.</w:t>
            </w:r>
          </w:p>
        </w:tc>
        <w:tc>
          <w:tcPr>
            <w:tcW w:w="280" w:type="dxa"/>
          </w:tcPr>
          <w:p w14:paraId="5DADBB6F" w14:textId="77777777" w:rsidR="00DB2755" w:rsidRPr="00DB2755" w:rsidRDefault="00DB2755" w:rsidP="00DA7BF8">
            <w:pPr>
              <w:tabs>
                <w:tab w:val="left" w:pos="0"/>
                <w:tab w:val="left" w:leader="underscore" w:pos="4706"/>
                <w:tab w:val="left" w:pos="4990"/>
                <w:tab w:val="left" w:leader="underscore" w:pos="9639"/>
              </w:tabs>
              <w:spacing w:after="120"/>
              <w:rPr>
                <w:rFonts w:cs="Arial"/>
                <w:b/>
              </w:rPr>
            </w:pPr>
          </w:p>
        </w:tc>
        <w:tc>
          <w:tcPr>
            <w:tcW w:w="4589" w:type="dxa"/>
            <w:gridSpan w:val="2"/>
            <w:tcBorders>
              <w:bottom w:val="single" w:sz="4" w:space="0" w:color="auto"/>
            </w:tcBorders>
          </w:tcPr>
          <w:p w14:paraId="6CFC71AE" w14:textId="2A947828" w:rsidR="00DB2755" w:rsidRPr="00DB2755" w:rsidRDefault="0050095B" w:rsidP="00DA7BF8">
            <w:pPr>
              <w:tabs>
                <w:tab w:val="left" w:pos="0"/>
                <w:tab w:val="left" w:leader="underscore" w:pos="4706"/>
                <w:tab w:val="left" w:pos="4990"/>
                <w:tab w:val="left" w:leader="underscore" w:pos="9639"/>
              </w:tabs>
              <w:spacing w:after="120"/>
              <w:rPr>
                <w:rFonts w:cs="Arial"/>
                <w:b/>
              </w:rPr>
            </w:pPr>
            <w:r>
              <w:rPr>
                <w:rFonts w:cs="Arial"/>
              </w:rPr>
              <w:t>Ing. Roman Karásek, Vít Čapek</w:t>
            </w:r>
          </w:p>
        </w:tc>
      </w:tr>
      <w:tr w:rsidR="00DB2755" w:rsidRPr="00DB2755" w14:paraId="4970F511" w14:textId="77777777" w:rsidTr="00796292">
        <w:tc>
          <w:tcPr>
            <w:tcW w:w="1626" w:type="dxa"/>
          </w:tcPr>
          <w:p w14:paraId="0366AF6B" w14:textId="77777777" w:rsidR="00DB2755" w:rsidRPr="00DB2755" w:rsidRDefault="00DB2755" w:rsidP="00DA7BF8">
            <w:pPr>
              <w:tabs>
                <w:tab w:val="left" w:pos="0"/>
                <w:tab w:val="left" w:leader="underscore" w:pos="4706"/>
                <w:tab w:val="left" w:pos="4990"/>
                <w:tab w:val="left" w:leader="underscore" w:pos="9639"/>
              </w:tabs>
              <w:spacing w:before="240"/>
              <w:rPr>
                <w:rFonts w:cs="Arial"/>
              </w:rPr>
            </w:pPr>
            <w:r w:rsidRPr="00DB2755">
              <w:rPr>
                <w:rFonts w:cs="Arial"/>
              </w:rPr>
              <w:t>IČO:</w:t>
            </w:r>
          </w:p>
        </w:tc>
        <w:tc>
          <w:tcPr>
            <w:tcW w:w="3046" w:type="dxa"/>
          </w:tcPr>
          <w:p w14:paraId="156444EF" w14:textId="77777777" w:rsidR="00DB2755" w:rsidRPr="00DB2755" w:rsidRDefault="00DB2755" w:rsidP="00DA7BF8">
            <w:pPr>
              <w:tabs>
                <w:tab w:val="left" w:pos="0"/>
                <w:tab w:val="left" w:leader="underscore" w:pos="4706"/>
                <w:tab w:val="left" w:pos="4990"/>
                <w:tab w:val="left" w:leader="underscore" w:pos="9639"/>
              </w:tabs>
              <w:spacing w:before="240"/>
              <w:rPr>
                <w:rFonts w:cs="Arial"/>
                <w:b/>
              </w:rPr>
            </w:pPr>
            <w:r w:rsidRPr="00DB2755">
              <w:rPr>
                <w:rFonts w:cs="Arial"/>
              </w:rPr>
              <w:t>00845451</w:t>
            </w:r>
          </w:p>
        </w:tc>
        <w:tc>
          <w:tcPr>
            <w:tcW w:w="280" w:type="dxa"/>
          </w:tcPr>
          <w:p w14:paraId="42B54CFB" w14:textId="77777777" w:rsidR="00DB2755" w:rsidRPr="00DB2755" w:rsidRDefault="00DB2755" w:rsidP="00DA7BF8">
            <w:pPr>
              <w:tabs>
                <w:tab w:val="left" w:pos="0"/>
                <w:tab w:val="left" w:leader="underscore" w:pos="4706"/>
                <w:tab w:val="left" w:pos="4990"/>
                <w:tab w:val="left" w:leader="underscore" w:pos="9639"/>
              </w:tabs>
              <w:spacing w:before="120"/>
              <w:rPr>
                <w:rFonts w:cs="Arial"/>
                <w:b/>
              </w:rPr>
            </w:pPr>
          </w:p>
        </w:tc>
        <w:tc>
          <w:tcPr>
            <w:tcW w:w="1533" w:type="dxa"/>
          </w:tcPr>
          <w:p w14:paraId="40570FF3" w14:textId="77777777" w:rsidR="00DB2755" w:rsidRPr="00DB2755" w:rsidRDefault="00DB2755" w:rsidP="00DA7BF8">
            <w:pPr>
              <w:tabs>
                <w:tab w:val="left" w:pos="0"/>
                <w:tab w:val="left" w:leader="underscore" w:pos="4706"/>
                <w:tab w:val="left" w:pos="4990"/>
                <w:tab w:val="left" w:leader="underscore" w:pos="9639"/>
              </w:tabs>
              <w:spacing w:before="240"/>
              <w:rPr>
                <w:rFonts w:cs="Arial"/>
              </w:rPr>
            </w:pPr>
            <w:r w:rsidRPr="00DB2755">
              <w:rPr>
                <w:rFonts w:cs="Arial"/>
              </w:rPr>
              <w:t>IČO:</w:t>
            </w:r>
          </w:p>
        </w:tc>
        <w:tc>
          <w:tcPr>
            <w:tcW w:w="3056" w:type="dxa"/>
          </w:tcPr>
          <w:p w14:paraId="670BC427" w14:textId="56426086" w:rsidR="00DB2755" w:rsidRPr="00DB2755" w:rsidRDefault="00137AE2" w:rsidP="00DA7BF8">
            <w:pPr>
              <w:tabs>
                <w:tab w:val="left" w:pos="0"/>
                <w:tab w:val="left" w:leader="underscore" w:pos="4706"/>
                <w:tab w:val="left" w:pos="4990"/>
                <w:tab w:val="left" w:leader="underscore" w:pos="9639"/>
              </w:tabs>
              <w:spacing w:before="240"/>
              <w:rPr>
                <w:rFonts w:cs="Arial"/>
                <w:b/>
              </w:rPr>
            </w:pPr>
            <w:r>
              <w:rPr>
                <w:rFonts w:ascii="CIDFont+F2" w:hAnsi="CIDFont+F2" w:cs="CIDFont+F2"/>
                <w:szCs w:val="22"/>
              </w:rPr>
              <w:t>08581690</w:t>
            </w:r>
          </w:p>
        </w:tc>
      </w:tr>
      <w:tr w:rsidR="00DB2755" w:rsidRPr="00DB2755" w14:paraId="4D0FFD7C" w14:textId="77777777" w:rsidTr="00796292">
        <w:tc>
          <w:tcPr>
            <w:tcW w:w="1626" w:type="dxa"/>
          </w:tcPr>
          <w:p w14:paraId="0D767268"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DIČ:</w:t>
            </w:r>
          </w:p>
        </w:tc>
        <w:tc>
          <w:tcPr>
            <w:tcW w:w="3046" w:type="dxa"/>
          </w:tcPr>
          <w:p w14:paraId="140FC278" w14:textId="77777777" w:rsidR="00DB2755" w:rsidRPr="00DB2755" w:rsidRDefault="00DB2755" w:rsidP="00DA7BF8">
            <w:pPr>
              <w:tabs>
                <w:tab w:val="left" w:pos="0"/>
                <w:tab w:val="left" w:leader="underscore" w:pos="4706"/>
                <w:tab w:val="left" w:pos="4990"/>
                <w:tab w:val="left" w:leader="underscore" w:pos="9639"/>
              </w:tabs>
              <w:rPr>
                <w:rFonts w:cs="Arial"/>
                <w:b/>
              </w:rPr>
            </w:pPr>
            <w:r w:rsidRPr="00DB2755">
              <w:rPr>
                <w:rFonts w:cs="Arial"/>
              </w:rPr>
              <w:t>CZ00845451 (plátce DPH)</w:t>
            </w:r>
          </w:p>
        </w:tc>
        <w:tc>
          <w:tcPr>
            <w:tcW w:w="280" w:type="dxa"/>
          </w:tcPr>
          <w:p w14:paraId="3BA44265"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2793FD80"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DIČ:</w:t>
            </w:r>
          </w:p>
        </w:tc>
        <w:tc>
          <w:tcPr>
            <w:tcW w:w="3056" w:type="dxa"/>
          </w:tcPr>
          <w:p w14:paraId="7370E50C" w14:textId="33F6C90C" w:rsidR="00DB2755" w:rsidRPr="00DB2755" w:rsidRDefault="00137AE2" w:rsidP="00DA7BF8">
            <w:pPr>
              <w:tabs>
                <w:tab w:val="left" w:pos="0"/>
                <w:tab w:val="left" w:leader="underscore" w:pos="4706"/>
                <w:tab w:val="left" w:pos="4990"/>
                <w:tab w:val="left" w:leader="underscore" w:pos="9639"/>
              </w:tabs>
              <w:rPr>
                <w:rFonts w:cs="Arial"/>
                <w:b/>
              </w:rPr>
            </w:pPr>
            <w:r>
              <w:rPr>
                <w:rFonts w:ascii="CIDFont+F2" w:hAnsi="CIDFont+F2" w:cs="CIDFont+F2"/>
                <w:szCs w:val="22"/>
              </w:rPr>
              <w:t>CZ08581690 (plátce DPH)</w:t>
            </w:r>
          </w:p>
        </w:tc>
      </w:tr>
      <w:tr w:rsidR="00DB2755" w:rsidRPr="00DB2755" w14:paraId="086AA013" w14:textId="77777777" w:rsidTr="00796292">
        <w:tc>
          <w:tcPr>
            <w:tcW w:w="1626" w:type="dxa"/>
          </w:tcPr>
          <w:p w14:paraId="797C6F43"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Peněžní ústav:</w:t>
            </w:r>
          </w:p>
        </w:tc>
        <w:tc>
          <w:tcPr>
            <w:tcW w:w="3046" w:type="dxa"/>
          </w:tcPr>
          <w:p w14:paraId="35C548CA"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Česká spořitelna a.s.,</w:t>
            </w:r>
          </w:p>
          <w:p w14:paraId="6C863323" w14:textId="77777777" w:rsidR="00DB2755" w:rsidRPr="00DB2755" w:rsidRDefault="00DB2755" w:rsidP="00DA7BF8">
            <w:pPr>
              <w:tabs>
                <w:tab w:val="left" w:pos="0"/>
                <w:tab w:val="left" w:leader="underscore" w:pos="4706"/>
                <w:tab w:val="left" w:pos="4990"/>
                <w:tab w:val="left" w:leader="underscore" w:pos="9639"/>
              </w:tabs>
              <w:rPr>
                <w:rFonts w:cs="Arial"/>
                <w:b/>
              </w:rPr>
            </w:pPr>
            <w:r w:rsidRPr="00DB2755">
              <w:rPr>
                <w:rFonts w:cs="Arial"/>
              </w:rPr>
              <w:t>okresní pobočka Ostrava</w:t>
            </w:r>
          </w:p>
        </w:tc>
        <w:tc>
          <w:tcPr>
            <w:tcW w:w="280" w:type="dxa"/>
          </w:tcPr>
          <w:p w14:paraId="7364CA09"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7CA7B314"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Peněžní ústav:</w:t>
            </w:r>
          </w:p>
        </w:tc>
        <w:tc>
          <w:tcPr>
            <w:tcW w:w="3056" w:type="dxa"/>
          </w:tcPr>
          <w:p w14:paraId="488DF130" w14:textId="19D115CA" w:rsidR="00DB2755" w:rsidRPr="00DB2755" w:rsidRDefault="00137AE2" w:rsidP="00DA7BF8">
            <w:pPr>
              <w:tabs>
                <w:tab w:val="left" w:pos="0"/>
                <w:tab w:val="left" w:leader="underscore" w:pos="4706"/>
                <w:tab w:val="left" w:pos="4990"/>
                <w:tab w:val="left" w:leader="underscore" w:pos="9639"/>
              </w:tabs>
              <w:rPr>
                <w:rFonts w:cs="Arial"/>
                <w:b/>
              </w:rPr>
            </w:pPr>
            <w:r>
              <w:rPr>
                <w:rFonts w:ascii="CIDFont+F2" w:hAnsi="CIDFont+F2" w:cs="CIDFont+F2"/>
                <w:szCs w:val="22"/>
              </w:rPr>
              <w:t>Fio banka, a.s.</w:t>
            </w:r>
          </w:p>
        </w:tc>
      </w:tr>
      <w:tr w:rsidR="00DB2755" w:rsidRPr="00DB2755" w14:paraId="3CDC4135" w14:textId="77777777" w:rsidTr="00796292">
        <w:tc>
          <w:tcPr>
            <w:tcW w:w="1626" w:type="dxa"/>
          </w:tcPr>
          <w:p w14:paraId="7D8BA003"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Číslo účtu:</w:t>
            </w:r>
          </w:p>
        </w:tc>
        <w:tc>
          <w:tcPr>
            <w:tcW w:w="3046" w:type="dxa"/>
          </w:tcPr>
          <w:p w14:paraId="70868C3F" w14:textId="77777777" w:rsidR="00DB2755" w:rsidRPr="00DB2755" w:rsidRDefault="00DB2755" w:rsidP="00DA7BF8">
            <w:pPr>
              <w:tabs>
                <w:tab w:val="left" w:pos="0"/>
                <w:tab w:val="left" w:leader="underscore" w:pos="4706"/>
                <w:tab w:val="left" w:pos="4990"/>
                <w:tab w:val="left" w:leader="underscore" w:pos="9639"/>
              </w:tabs>
              <w:rPr>
                <w:rFonts w:cs="Arial"/>
                <w:b/>
              </w:rPr>
            </w:pPr>
            <w:r w:rsidRPr="00DB2755">
              <w:rPr>
                <w:rFonts w:cs="Arial"/>
              </w:rPr>
              <w:t>19-1649297309/0800</w:t>
            </w:r>
          </w:p>
        </w:tc>
        <w:tc>
          <w:tcPr>
            <w:tcW w:w="280" w:type="dxa"/>
          </w:tcPr>
          <w:p w14:paraId="74BF4226"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68598FFB"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Číslo účtu:</w:t>
            </w:r>
          </w:p>
        </w:tc>
        <w:tc>
          <w:tcPr>
            <w:tcW w:w="3056" w:type="dxa"/>
          </w:tcPr>
          <w:p w14:paraId="4EF58AD7" w14:textId="043C746F" w:rsidR="00DB2755" w:rsidRPr="00DB2755" w:rsidRDefault="00137AE2" w:rsidP="00DA7BF8">
            <w:pPr>
              <w:tabs>
                <w:tab w:val="left" w:pos="0"/>
                <w:tab w:val="left" w:leader="underscore" w:pos="4706"/>
                <w:tab w:val="left" w:pos="4990"/>
                <w:tab w:val="left" w:leader="underscore" w:pos="9639"/>
              </w:tabs>
              <w:rPr>
                <w:rFonts w:cs="Arial"/>
                <w:b/>
              </w:rPr>
            </w:pPr>
            <w:r>
              <w:rPr>
                <w:rFonts w:ascii="CIDFont+F2" w:hAnsi="CIDFont+F2" w:cs="CIDFont+F2"/>
                <w:szCs w:val="22"/>
              </w:rPr>
              <w:t>2901706130/2010</w:t>
            </w:r>
          </w:p>
        </w:tc>
      </w:tr>
      <w:tr w:rsidR="00DB2755" w:rsidRPr="00DB2755" w14:paraId="2575FDA8" w14:textId="77777777" w:rsidTr="00796292">
        <w:tc>
          <w:tcPr>
            <w:tcW w:w="4672" w:type="dxa"/>
            <w:gridSpan w:val="2"/>
            <w:tcBorders>
              <w:bottom w:val="single" w:sz="4" w:space="0" w:color="auto"/>
            </w:tcBorders>
          </w:tcPr>
          <w:p w14:paraId="68BE65B1" w14:textId="77777777" w:rsidR="00DB2755" w:rsidRPr="00DB2755" w:rsidRDefault="00DB2755" w:rsidP="00DA7BF8">
            <w:pPr>
              <w:tabs>
                <w:tab w:val="left" w:pos="0"/>
                <w:tab w:val="left" w:leader="underscore" w:pos="4706"/>
                <w:tab w:val="left" w:pos="4990"/>
                <w:tab w:val="left" w:leader="underscore" w:pos="9639"/>
              </w:tabs>
              <w:spacing w:after="120"/>
              <w:rPr>
                <w:rFonts w:cs="Arial"/>
                <w:b/>
              </w:rPr>
            </w:pPr>
          </w:p>
        </w:tc>
        <w:tc>
          <w:tcPr>
            <w:tcW w:w="280" w:type="dxa"/>
          </w:tcPr>
          <w:p w14:paraId="6B503687"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Borders>
              <w:bottom w:val="single" w:sz="4" w:space="0" w:color="auto"/>
            </w:tcBorders>
          </w:tcPr>
          <w:p w14:paraId="7F48C336" w14:textId="01016304" w:rsidR="00DB2755" w:rsidRPr="00DB2755" w:rsidRDefault="00DB2755" w:rsidP="00137AE2">
            <w:pPr>
              <w:tabs>
                <w:tab w:val="left" w:pos="0"/>
                <w:tab w:val="left" w:leader="underscore" w:pos="4706"/>
                <w:tab w:val="left" w:pos="4990"/>
                <w:tab w:val="left" w:leader="underscore" w:pos="9639"/>
              </w:tabs>
              <w:spacing w:after="120"/>
              <w:rPr>
                <w:rFonts w:cs="Arial"/>
                <w:b/>
              </w:rPr>
            </w:pPr>
            <w:r w:rsidRPr="00DB2755">
              <w:rPr>
                <w:rFonts w:cs="Arial"/>
              </w:rPr>
              <w:t xml:space="preserve">Zapsaná v obchodním rejstříku </w:t>
            </w:r>
            <w:r w:rsidRPr="00DB2755">
              <w:rPr>
                <w:rFonts w:cs="Arial"/>
                <w:iCs/>
              </w:rPr>
              <w:t>vedeném u </w:t>
            </w:r>
            <w:r w:rsidR="00137AE2">
              <w:rPr>
                <w:rFonts w:cs="Arial"/>
                <w:iCs/>
              </w:rPr>
              <w:t>Krajského soudu v Ostravě, oddíl C, vložka 80013</w:t>
            </w:r>
          </w:p>
        </w:tc>
      </w:tr>
    </w:tbl>
    <w:p w14:paraId="4F0B1691" w14:textId="278B5DF8" w:rsidR="00796292" w:rsidRDefault="00796292" w:rsidP="004F1CC8">
      <w:pPr>
        <w:tabs>
          <w:tab w:val="left" w:pos="4678"/>
          <w:tab w:val="left" w:pos="4962"/>
        </w:tabs>
        <w:rPr>
          <w:b/>
          <w:szCs w:val="22"/>
        </w:rPr>
      </w:pPr>
      <w:r>
        <w:rPr>
          <w:szCs w:val="22"/>
        </w:rPr>
        <w:t xml:space="preserve">dále jen </w:t>
      </w:r>
      <w:r>
        <w:rPr>
          <w:b/>
          <w:szCs w:val="22"/>
        </w:rPr>
        <w:t xml:space="preserve">objednatel </w:t>
      </w:r>
      <w:r>
        <w:rPr>
          <w:szCs w:val="22"/>
        </w:rPr>
        <w:tab/>
      </w:r>
      <w:r w:rsidR="004F1CC8">
        <w:rPr>
          <w:szCs w:val="22"/>
        </w:rPr>
        <w:tab/>
      </w:r>
      <w:r>
        <w:rPr>
          <w:szCs w:val="22"/>
        </w:rPr>
        <w:t xml:space="preserve">dále jen </w:t>
      </w:r>
      <w:r w:rsidR="00804392">
        <w:rPr>
          <w:b/>
          <w:szCs w:val="22"/>
        </w:rPr>
        <w:t>poskytovatel</w:t>
      </w:r>
      <w:r>
        <w:rPr>
          <w:b/>
          <w:szCs w:val="22"/>
        </w:rPr>
        <w:t xml:space="preserve"> </w:t>
      </w:r>
    </w:p>
    <w:p w14:paraId="1B87360F" w14:textId="77777777" w:rsidR="002116AD" w:rsidRPr="00DB2755" w:rsidRDefault="002116AD">
      <w:pPr>
        <w:pBdr>
          <w:bottom w:val="single" w:sz="6" w:space="1" w:color="auto"/>
        </w:pBdr>
        <w:tabs>
          <w:tab w:val="left" w:pos="0"/>
          <w:tab w:val="left" w:leader="underscore" w:pos="4706"/>
          <w:tab w:val="left" w:pos="4990"/>
          <w:tab w:val="left" w:leader="underscore" w:pos="9639"/>
        </w:tabs>
        <w:rPr>
          <w:rFonts w:cs="Arial"/>
          <w:bCs/>
          <w:szCs w:val="22"/>
        </w:rPr>
      </w:pPr>
    </w:p>
    <w:p w14:paraId="3DDBC9A8" w14:textId="77777777" w:rsidR="002116AD" w:rsidRDefault="00D30A7C">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33D40760" w14:textId="77777777" w:rsidR="002116AD" w:rsidRDefault="00D30A7C" w:rsidP="001F41ED">
      <w:pPr>
        <w:pStyle w:val="JVS2"/>
      </w:pPr>
      <w:r>
        <w:t>Základní ustanovení</w:t>
      </w:r>
    </w:p>
    <w:p w14:paraId="682BC371" w14:textId="77777777" w:rsidR="002116AD" w:rsidRDefault="00D30A7C">
      <w:pPr>
        <w:pStyle w:val="SBSSmlouva"/>
        <w:numPr>
          <w:ilvl w:val="1"/>
          <w:numId w:val="3"/>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71F5B085" w14:textId="77777777" w:rsidR="002116AD" w:rsidRDefault="00D30A7C">
      <w:pPr>
        <w:pStyle w:val="SBSSmlouva"/>
        <w:numPr>
          <w:ilvl w:val="1"/>
          <w:numId w:val="3"/>
        </w:numPr>
        <w:ind w:left="426" w:hanging="426"/>
      </w:pPr>
      <w:r>
        <w:rPr>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7981E2C9" w14:textId="77777777" w:rsidR="002116AD" w:rsidRDefault="00D30A7C">
      <w:pPr>
        <w:pStyle w:val="SBSSmlouva"/>
        <w:numPr>
          <w:ilvl w:val="1"/>
          <w:numId w:val="3"/>
        </w:numPr>
        <w:ind w:left="426" w:hanging="426"/>
      </w:pPr>
      <w:r>
        <w:t>Smluvní strany prohlašují, že osoby podepisující tuto smlouvu jsou k tomuto úkonu oprávněny.</w:t>
      </w:r>
    </w:p>
    <w:p w14:paraId="06E63E9F" w14:textId="77777777" w:rsidR="002116AD" w:rsidRDefault="00D30A7C">
      <w:pPr>
        <w:pStyle w:val="SBSSmlouva"/>
        <w:numPr>
          <w:ilvl w:val="1"/>
          <w:numId w:val="3"/>
        </w:numPr>
        <w:ind w:left="426" w:hanging="426"/>
        <w:rPr>
          <w:rFonts w:cs="Arial"/>
        </w:rPr>
      </w:pPr>
      <w:r>
        <w:rPr>
          <w:rFonts w:cs="Arial"/>
        </w:rPr>
        <w:t xml:space="preserve">Smluvní strany berou na vědomí, že k nabytí účinnosti této smlouvy je vyžadováno uveřejnění v registru smluv podle zákona č. 340/2015 Sb., o zvláštních podmínkách účinnosti některých </w:t>
      </w:r>
      <w:r>
        <w:rPr>
          <w:rFonts w:cs="Arial"/>
        </w:rPr>
        <w:lastRenderedPageBreak/>
        <w:t>smluv, uveřejňování některých smluv a o registru smluv (zákon o registru smluv), ve znění zákona č. 298/2016 Sb. Zaslání smlouvy do registru smluv zajistí objednatel.</w:t>
      </w:r>
    </w:p>
    <w:p w14:paraId="49FD0824" w14:textId="0FEB900F" w:rsidR="002116AD" w:rsidRDefault="005E743E">
      <w:pPr>
        <w:pStyle w:val="SBSSmlouva"/>
        <w:numPr>
          <w:ilvl w:val="1"/>
          <w:numId w:val="3"/>
        </w:numPr>
        <w:ind w:left="426" w:hanging="426"/>
      </w:pPr>
      <w:r>
        <w:t>Poskytovatel</w:t>
      </w:r>
      <w:r w:rsidR="00D30A7C">
        <w:t xml:space="preserve"> prohlašuje, že je odborně způsobilý k zajištění předmětu této smlouvy.</w:t>
      </w:r>
    </w:p>
    <w:p w14:paraId="0B2E37A1" w14:textId="1EEDFE1C" w:rsidR="002116AD" w:rsidRDefault="00D30A7C">
      <w:pPr>
        <w:pStyle w:val="SBSSmlouva"/>
        <w:numPr>
          <w:ilvl w:val="1"/>
          <w:numId w:val="3"/>
        </w:numPr>
        <w:ind w:left="426" w:hanging="426"/>
      </w:pPr>
      <w:r>
        <w:t xml:space="preserve">Pro případ, že </w:t>
      </w:r>
      <w:r w:rsidR="004618F0">
        <w:t>poskytovatel</w:t>
      </w:r>
      <w:r>
        <w:t xml:space="preserve"> bude mít dle této smlouvy povinnost přiznat a zaplatit DPH, činí toto prohlášení: </w:t>
      </w:r>
      <w:r w:rsidR="005E743E">
        <w:t>Poskytovatel</w:t>
      </w:r>
      <w:r>
        <w:t xml:space="preserve"> prohlašuje, že není nespolehlivým plátcem DPH a v případě, že by se jím v průběhu trvání smluvního vztahu stal, tuto informaci neprodleně sdělí objednateli.</w:t>
      </w:r>
    </w:p>
    <w:p w14:paraId="5F77D800" w14:textId="77777777" w:rsidR="002116AD" w:rsidRDefault="00D30A7C" w:rsidP="001F41ED">
      <w:pPr>
        <w:pStyle w:val="JVS2"/>
      </w:pPr>
      <w:r>
        <w:t>Účel smlouvy</w:t>
      </w:r>
    </w:p>
    <w:p w14:paraId="1F2D03F8" w14:textId="58C1A0A2" w:rsidR="00D85BD4" w:rsidRPr="00D85BD4" w:rsidRDefault="00D30A7C" w:rsidP="00F23ED2">
      <w:pPr>
        <w:pStyle w:val="SBSSmlouva"/>
        <w:numPr>
          <w:ilvl w:val="1"/>
          <w:numId w:val="15"/>
        </w:numPr>
        <w:ind w:left="426" w:hanging="426"/>
      </w:pPr>
      <w:r>
        <w:rPr>
          <w:rFonts w:cs="Arial"/>
          <w:szCs w:val="22"/>
        </w:rPr>
        <w:t xml:space="preserve">Účelem uzavření této smlouvy je dodávka a implementace </w:t>
      </w:r>
      <w:r w:rsidR="005B0726">
        <w:rPr>
          <w:rFonts w:cs="Arial"/>
          <w:szCs w:val="22"/>
        </w:rPr>
        <w:t xml:space="preserve">softwarového </w:t>
      </w:r>
      <w:r w:rsidR="00AE441B">
        <w:rPr>
          <w:rFonts w:cs="Arial"/>
          <w:szCs w:val="22"/>
        </w:rPr>
        <w:t>nástroje pro</w:t>
      </w:r>
      <w:r w:rsidR="009171F1">
        <w:rPr>
          <w:rFonts w:cs="Arial"/>
          <w:szCs w:val="22"/>
        </w:rPr>
        <w:t xml:space="preserve"> monitoring a správu</w:t>
      </w:r>
      <w:r w:rsidR="00AE441B">
        <w:rPr>
          <w:rFonts w:cs="Arial"/>
          <w:szCs w:val="22"/>
        </w:rPr>
        <w:t xml:space="preserve"> koncov</w:t>
      </w:r>
      <w:r w:rsidR="009171F1">
        <w:rPr>
          <w:rFonts w:cs="Arial"/>
          <w:szCs w:val="22"/>
        </w:rPr>
        <w:t>ých</w:t>
      </w:r>
      <w:r w:rsidR="00AE441B">
        <w:rPr>
          <w:rFonts w:cs="Arial"/>
          <w:szCs w:val="22"/>
        </w:rPr>
        <w:t xml:space="preserve"> zařízení </w:t>
      </w:r>
      <w:r w:rsidR="009171F1">
        <w:rPr>
          <w:rFonts w:cs="Arial"/>
          <w:szCs w:val="22"/>
        </w:rPr>
        <w:t xml:space="preserve">výrobce Hewlett Packard </w:t>
      </w:r>
      <w:r w:rsidR="00E33AE0">
        <w:rPr>
          <w:rFonts w:cs="Arial"/>
          <w:szCs w:val="22"/>
        </w:rPr>
        <w:t>(dále také „programové vybavení“)</w:t>
      </w:r>
      <w:r w:rsidR="009171F1">
        <w:rPr>
          <w:rFonts w:cs="Arial"/>
          <w:szCs w:val="22"/>
        </w:rPr>
        <w:t>,</w:t>
      </w:r>
      <w:r w:rsidR="00E33AE0">
        <w:rPr>
          <w:rFonts w:cs="Arial"/>
          <w:szCs w:val="22"/>
        </w:rPr>
        <w:t xml:space="preserve"> </w:t>
      </w:r>
      <w:r w:rsidR="00D97101">
        <w:rPr>
          <w:rFonts w:cs="Arial"/>
          <w:szCs w:val="22"/>
        </w:rPr>
        <w:t xml:space="preserve">umožňujícího na základě </w:t>
      </w:r>
      <w:r w:rsidR="002E6417">
        <w:rPr>
          <w:rFonts w:cs="Arial"/>
          <w:szCs w:val="22"/>
        </w:rPr>
        <w:t>diagnostik</w:t>
      </w:r>
      <w:r w:rsidR="00193198">
        <w:rPr>
          <w:rFonts w:cs="Arial"/>
          <w:szCs w:val="22"/>
        </w:rPr>
        <w:t>y</w:t>
      </w:r>
      <w:r w:rsidR="002E6417">
        <w:rPr>
          <w:rFonts w:cs="Arial"/>
          <w:szCs w:val="22"/>
        </w:rPr>
        <w:t xml:space="preserve"> výkonnostní</w:t>
      </w:r>
      <w:r w:rsidR="00193198">
        <w:rPr>
          <w:rFonts w:cs="Arial"/>
          <w:szCs w:val="22"/>
        </w:rPr>
        <w:t>ch</w:t>
      </w:r>
      <w:r w:rsidR="002E6417">
        <w:rPr>
          <w:rFonts w:cs="Arial"/>
          <w:szCs w:val="22"/>
        </w:rPr>
        <w:t xml:space="preserve"> problém</w:t>
      </w:r>
      <w:r w:rsidR="00193198">
        <w:rPr>
          <w:rFonts w:cs="Arial"/>
          <w:szCs w:val="22"/>
        </w:rPr>
        <w:t>ů</w:t>
      </w:r>
      <w:r w:rsidR="002E6417">
        <w:rPr>
          <w:rFonts w:cs="Arial"/>
          <w:szCs w:val="22"/>
        </w:rPr>
        <w:t xml:space="preserve"> zařízení, chyb software </w:t>
      </w:r>
      <w:r w:rsidR="00193198">
        <w:rPr>
          <w:rFonts w:cs="Arial"/>
          <w:szCs w:val="22"/>
        </w:rPr>
        <w:t xml:space="preserve">nebo </w:t>
      </w:r>
      <w:r w:rsidR="002E6417">
        <w:rPr>
          <w:rFonts w:cs="Arial"/>
          <w:szCs w:val="22"/>
        </w:rPr>
        <w:t>systémov</w:t>
      </w:r>
      <w:r w:rsidR="00193198">
        <w:rPr>
          <w:rFonts w:cs="Arial"/>
          <w:szCs w:val="22"/>
        </w:rPr>
        <w:t>ých</w:t>
      </w:r>
      <w:r w:rsidR="002E6417">
        <w:rPr>
          <w:rFonts w:cs="Arial"/>
          <w:szCs w:val="22"/>
        </w:rPr>
        <w:t xml:space="preserve"> pád</w:t>
      </w:r>
      <w:r w:rsidR="00193198">
        <w:rPr>
          <w:rFonts w:cs="Arial"/>
          <w:szCs w:val="22"/>
        </w:rPr>
        <w:t xml:space="preserve">ů, </w:t>
      </w:r>
      <w:r w:rsidR="00A76748">
        <w:rPr>
          <w:rFonts w:cs="Arial"/>
          <w:szCs w:val="22"/>
        </w:rPr>
        <w:t>provádět proaktivní správu a optimalizaci stavu zařízení provozovaných v ICT infrastruktuře objednatele.</w:t>
      </w:r>
      <w:r w:rsidR="00D97101">
        <w:rPr>
          <w:rFonts w:cs="Arial"/>
          <w:szCs w:val="22"/>
        </w:rPr>
        <w:t xml:space="preserve"> </w:t>
      </w:r>
      <w:r w:rsidR="00A76748">
        <w:t>Účelem uzavření této smlouvy je také poskytování technické a uživatelské podpory programového vybavení</w:t>
      </w:r>
      <w:r w:rsidR="00E33AE0">
        <w:t>.</w:t>
      </w:r>
    </w:p>
    <w:p w14:paraId="73A63CD6" w14:textId="77777777" w:rsidR="002116AD" w:rsidRDefault="00D30A7C" w:rsidP="001F41ED">
      <w:pPr>
        <w:pStyle w:val="JVS2"/>
      </w:pPr>
      <w:r>
        <w:t>Předmět smlouvy</w:t>
      </w:r>
    </w:p>
    <w:p w14:paraId="4B78D8B3" w14:textId="013E837D" w:rsidR="002116AD" w:rsidRDefault="00D30A7C" w:rsidP="00F23ED2">
      <w:pPr>
        <w:pStyle w:val="SBSSmlouva"/>
        <w:numPr>
          <w:ilvl w:val="1"/>
          <w:numId w:val="17"/>
        </w:numPr>
      </w:pPr>
      <w:bookmarkStart w:id="0" w:name="_Ref148861196"/>
      <w:r>
        <w:t xml:space="preserve">Předmětem této smlouvy je závazek </w:t>
      </w:r>
      <w:r w:rsidR="004618F0">
        <w:t>poskytovatel</w:t>
      </w:r>
      <w:r>
        <w:t>e v rozsahu a za podmínek stanovených touto smlouvou poskytnout objednateli níže specifikované plnění (dále jenom „dodávka“):</w:t>
      </w:r>
    </w:p>
    <w:p w14:paraId="761E27B6" w14:textId="0E9C8A63" w:rsidR="002116AD" w:rsidRDefault="00D30A7C" w:rsidP="00F23ED2">
      <w:pPr>
        <w:pStyle w:val="SBSSmlouva"/>
        <w:numPr>
          <w:ilvl w:val="2"/>
          <w:numId w:val="17"/>
        </w:numPr>
        <w:ind w:left="993" w:hanging="426"/>
      </w:pPr>
      <w:r>
        <w:t>dodávka programové</w:t>
      </w:r>
      <w:r w:rsidR="006E74A5">
        <w:t>ho</w:t>
      </w:r>
      <w:r>
        <w:t xml:space="preserve"> vybavení včetně poskytnutí užívacích práv k programovému vybavení </w:t>
      </w:r>
      <w:r w:rsidR="00B26FCD">
        <w:t xml:space="preserve">(dále jen „licencí“) </w:t>
      </w:r>
      <w:r w:rsidRPr="00657B2D">
        <w:t>pro</w:t>
      </w:r>
      <w:r w:rsidR="00DE2D1E" w:rsidRPr="00657B2D">
        <w:t xml:space="preserve"> </w:t>
      </w:r>
      <w:r w:rsidR="004462E7">
        <w:t>2</w:t>
      </w:r>
      <w:r w:rsidR="00995CCB" w:rsidRPr="00657B2D">
        <w:t xml:space="preserve"> 000</w:t>
      </w:r>
      <w:r w:rsidRPr="00657B2D">
        <w:t xml:space="preserve"> </w:t>
      </w:r>
      <w:r w:rsidR="006E74A5" w:rsidRPr="00657B2D">
        <w:t>zařízení</w:t>
      </w:r>
      <w:r w:rsidR="00DE2D1E" w:rsidRPr="00657B2D">
        <w:t xml:space="preserve"> celkem</w:t>
      </w:r>
      <w:r w:rsidR="00080B00">
        <w:t>;</w:t>
      </w:r>
    </w:p>
    <w:p w14:paraId="066891D6" w14:textId="127AD1DF" w:rsidR="002116AD" w:rsidRDefault="00D30A7C" w:rsidP="00F23ED2">
      <w:pPr>
        <w:pStyle w:val="SBSSmlouva"/>
        <w:numPr>
          <w:ilvl w:val="2"/>
          <w:numId w:val="17"/>
        </w:numPr>
        <w:ind w:left="993" w:hanging="426"/>
      </w:pPr>
      <w:r>
        <w:t>technická a uživatelská podpora programového vybavení</w:t>
      </w:r>
      <w:r w:rsidR="004462E7">
        <w:t xml:space="preserve"> (dále jen „maintenance“)</w:t>
      </w:r>
      <w:r>
        <w:t>.</w:t>
      </w:r>
    </w:p>
    <w:p w14:paraId="74AF7703" w14:textId="77777777" w:rsidR="002116AD" w:rsidRDefault="00D30A7C">
      <w:pPr>
        <w:pStyle w:val="SBSSmlouva"/>
        <w:ind w:left="567"/>
      </w:pPr>
      <w:r>
        <w:t>Jednoznačná a podrobná specifikace vlastností programového vybavení a předmětu plnění a jeho rozsahu je uvedena v příloze č. 1 této smlouvy.</w:t>
      </w:r>
    </w:p>
    <w:p w14:paraId="0A7597BE" w14:textId="32491EAB" w:rsidR="002116AD" w:rsidRDefault="00D30A7C" w:rsidP="00F23ED2">
      <w:pPr>
        <w:pStyle w:val="SBSSmlouva"/>
        <w:numPr>
          <w:ilvl w:val="1"/>
          <w:numId w:val="17"/>
        </w:numPr>
        <w:ind w:left="426" w:hanging="426"/>
      </w:pPr>
      <w:r>
        <w:t xml:space="preserve">Produkty a výsledky dodané </w:t>
      </w:r>
      <w:r w:rsidR="004618F0">
        <w:t>poskytovatel</w:t>
      </w:r>
      <w:r>
        <w:t xml:space="preserve">em objednateli budou splňovat požadavky této smlouvy, </w:t>
      </w:r>
      <w:r w:rsidR="002A1098">
        <w:t xml:space="preserve">související zadávací dokumentace </w:t>
      </w:r>
      <w:r w:rsidR="005930EA">
        <w:t xml:space="preserve">k této veřejné zakázce </w:t>
      </w:r>
      <w:r>
        <w:t xml:space="preserve">a </w:t>
      </w:r>
      <w:r w:rsidR="00EF5FAF">
        <w:t>požadavky veškerých právních předpisů a podmínek vztahujících se k předmětu této smlouvy.</w:t>
      </w:r>
    </w:p>
    <w:p w14:paraId="1880B8E9" w14:textId="4491C5CE" w:rsidR="00657516" w:rsidRDefault="00F64559" w:rsidP="00F23ED2">
      <w:pPr>
        <w:pStyle w:val="SBSSmlouva"/>
        <w:numPr>
          <w:ilvl w:val="1"/>
          <w:numId w:val="17"/>
        </w:numPr>
        <w:ind w:left="426" w:hanging="426"/>
      </w:pPr>
      <w:r>
        <w:t>Poskytovatel</w:t>
      </w:r>
      <w:r w:rsidR="00657516">
        <w:t xml:space="preserve"> je povinen předat a objednatel je povinen převzít plnění této smlouvy ve sjednané době, na sjednaném místě a způsobem a v kvalitě podle podmínek dohodnutých v této smlouvě.</w:t>
      </w:r>
    </w:p>
    <w:p w14:paraId="5C4B0BFE" w14:textId="77777777" w:rsidR="002116AD" w:rsidRDefault="00D30A7C" w:rsidP="00F23ED2">
      <w:pPr>
        <w:pStyle w:val="SBSSmlouva"/>
        <w:numPr>
          <w:ilvl w:val="1"/>
          <w:numId w:val="17"/>
        </w:numPr>
        <w:ind w:left="426" w:hanging="426"/>
      </w:pPr>
      <w:r>
        <w:t>Smluvní strany prohlašují, že předmět smlouvy není plněním nemožným a že smlouvu uzavřely po pečlivém zvážení všech možných důsledků.</w:t>
      </w:r>
    </w:p>
    <w:p w14:paraId="4618036A" w14:textId="77777777" w:rsidR="002116AD" w:rsidRDefault="00D30A7C" w:rsidP="001F41ED">
      <w:pPr>
        <w:pStyle w:val="JVS2"/>
      </w:pPr>
      <w:r>
        <w:t>Plnění předmětu smlouvy</w:t>
      </w:r>
    </w:p>
    <w:p w14:paraId="061DFD41" w14:textId="29ED9F37" w:rsidR="00FD64A0" w:rsidRDefault="006618A3" w:rsidP="00FD64A0">
      <w:pPr>
        <w:pStyle w:val="SBSSmlouva"/>
        <w:numPr>
          <w:ilvl w:val="1"/>
          <w:numId w:val="9"/>
        </w:numPr>
        <w:ind w:left="426" w:hanging="426"/>
      </w:pPr>
      <w:r>
        <w:t xml:space="preserve">Místem plnění předmětu této smlouvy </w:t>
      </w:r>
      <w:r w:rsidR="005963B2">
        <w:t xml:space="preserve">je </w:t>
      </w:r>
      <w:r>
        <w:t>Magistrát města Ostravy, Prokešovo nám. č. 8, Ostrava</w:t>
      </w:r>
      <w:r w:rsidR="00EC7C99">
        <w:t>.</w:t>
      </w:r>
    </w:p>
    <w:p w14:paraId="26AEC1F7" w14:textId="1BA0FEE6" w:rsidR="004462E7" w:rsidRDefault="004462E7" w:rsidP="00F451AA">
      <w:pPr>
        <w:pStyle w:val="SBSSmlouva"/>
        <w:numPr>
          <w:ilvl w:val="1"/>
          <w:numId w:val="9"/>
        </w:numPr>
      </w:pPr>
      <w:r w:rsidRPr="004462E7">
        <w:t xml:space="preserve">Plnění dle čl. III. odst. 1. písm. a) v rozsahu 1 500 licencí dodá poskytovatel objednateli nejpozději do </w:t>
      </w:r>
      <w:r w:rsidR="000C02BB">
        <w:t>14dnů</w:t>
      </w:r>
      <w:r w:rsidRPr="004462E7">
        <w:t xml:space="preserve"> od nabytí účinnosti smlouvy.</w:t>
      </w:r>
    </w:p>
    <w:p w14:paraId="2A929B3E" w14:textId="38FD9BDD" w:rsidR="005963B2" w:rsidRDefault="00FD64A0" w:rsidP="00F451AA">
      <w:pPr>
        <w:pStyle w:val="SBSSmlouva"/>
        <w:numPr>
          <w:ilvl w:val="1"/>
          <w:numId w:val="9"/>
        </w:numPr>
      </w:pPr>
      <w:r>
        <w:t xml:space="preserve">3.   </w:t>
      </w:r>
      <w:r w:rsidR="004462E7">
        <w:t>Zbývající p</w:t>
      </w:r>
      <w:r w:rsidR="00007CD1" w:rsidRPr="00007CD1">
        <w:t xml:space="preserve">lnění dle čl. </w:t>
      </w:r>
      <w:r w:rsidR="00007CD1">
        <w:t>I</w:t>
      </w:r>
      <w:r w:rsidR="00007CD1" w:rsidRPr="00007CD1">
        <w:t xml:space="preserve">II. odst. 1. </w:t>
      </w:r>
      <w:r w:rsidR="00DF278D">
        <w:t xml:space="preserve">písm. a) </w:t>
      </w:r>
      <w:r w:rsidR="004462E7">
        <w:t xml:space="preserve">bude </w:t>
      </w:r>
      <w:r w:rsidR="00007CD1" w:rsidRPr="00007CD1">
        <w:t xml:space="preserve">po dobu trvání smlouvy poskytovatelem realizováno na základě písemných </w:t>
      </w:r>
      <w:r w:rsidR="005963B2">
        <w:t>požadavků</w:t>
      </w:r>
      <w:r w:rsidR="005963B2" w:rsidRPr="00007CD1">
        <w:t xml:space="preserve"> </w:t>
      </w:r>
      <w:r w:rsidR="00007CD1" w:rsidRPr="00007CD1">
        <w:t>objednatele e</w:t>
      </w:r>
      <w:r w:rsidR="004462E7">
        <w:t>-</w:t>
      </w:r>
      <w:r w:rsidR="00007CD1" w:rsidRPr="00007CD1">
        <w:t xml:space="preserve">mailem na adresu poskytovatele: </w:t>
      </w:r>
      <w:hyperlink r:id="rId8" w:history="1">
        <w:r w:rsidR="00137AE2" w:rsidRPr="004279CC">
          <w:rPr>
            <w:rStyle w:val="Hypertextovodkaz"/>
          </w:rPr>
          <w:t>info@kompit.cz</w:t>
        </w:r>
      </w:hyperlink>
      <w:r w:rsidR="00007CD1" w:rsidRPr="00007CD1">
        <w:t xml:space="preserve">. Termín dodání požadovaných licencí je do </w:t>
      </w:r>
      <w:r w:rsidR="000C02BB">
        <w:t>14dnů</w:t>
      </w:r>
      <w:r w:rsidR="00007CD1" w:rsidRPr="00007CD1">
        <w:t xml:space="preserve"> od zadání </w:t>
      </w:r>
      <w:r w:rsidR="005963B2">
        <w:t>požadavku</w:t>
      </w:r>
      <w:r w:rsidR="00007CD1" w:rsidRPr="00007CD1">
        <w:t>.</w:t>
      </w:r>
      <w:r w:rsidR="004462E7">
        <w:t xml:space="preserve"> Objednatel není povinen odebrat celkový počet licencí uvedený v čl. III. odst. 1. písm. a) této smlouvy.</w:t>
      </w:r>
    </w:p>
    <w:p w14:paraId="67BBE4D7" w14:textId="7F6897D0" w:rsidR="00FD64A0" w:rsidRDefault="00E1017A" w:rsidP="00F451AA">
      <w:pPr>
        <w:pStyle w:val="SBSSmlouva"/>
        <w:numPr>
          <w:ilvl w:val="1"/>
          <w:numId w:val="9"/>
        </w:numPr>
      </w:pPr>
      <w:r w:rsidRPr="000E55C3">
        <w:lastRenderedPageBreak/>
        <w:t xml:space="preserve">Předání plnění předmětu smlouvy </w:t>
      </w:r>
      <w:r w:rsidR="000859F1">
        <w:t xml:space="preserve">dle čl. III. odst. 1. </w:t>
      </w:r>
      <w:r w:rsidR="004462E7">
        <w:t xml:space="preserve">písm. a) smlouvy, </w:t>
      </w:r>
      <w:r w:rsidRPr="000E55C3">
        <w:t xml:space="preserve">potvrdí smluvní strany podpisem </w:t>
      </w:r>
      <w:r w:rsidR="00404E34">
        <w:t>dodacího listu</w:t>
      </w:r>
      <w:r w:rsidR="000859F1">
        <w:t xml:space="preserve">, který bude obsahovat </w:t>
      </w:r>
      <w:r w:rsidR="004462E7">
        <w:t>počet dodaných licencí a datum zahájení poskytování maintenance dle čl. III. odst. 1. písm. b) smlouvy, který bude stanoven vždy k 1. dni měsíce následujícího po měsíci, ve kterém byla dodávka licencí realizována.</w:t>
      </w:r>
    </w:p>
    <w:p w14:paraId="137F5498" w14:textId="6D1C298A" w:rsidR="002116AD" w:rsidRDefault="00E712C5" w:rsidP="00F451AA">
      <w:pPr>
        <w:pStyle w:val="SBSSmlouva"/>
        <w:numPr>
          <w:ilvl w:val="1"/>
          <w:numId w:val="9"/>
        </w:numPr>
      </w:pPr>
      <w:r>
        <w:t>Poskytovatel</w:t>
      </w:r>
      <w:r w:rsidR="00D30A7C">
        <w:t xml:space="preserve"> splní své závazky z této smlouvy jejich předáním bez vad bránících provozu programového vybavení.</w:t>
      </w:r>
    </w:p>
    <w:p w14:paraId="75D8E488" w14:textId="0AEF9D8C" w:rsidR="00E712C5" w:rsidRDefault="00E712C5" w:rsidP="00F451AA">
      <w:pPr>
        <w:pStyle w:val="SBSSmlouva"/>
        <w:numPr>
          <w:ilvl w:val="1"/>
          <w:numId w:val="9"/>
        </w:numPr>
      </w:pPr>
      <w:r w:rsidRPr="00E712C5">
        <w:rPr>
          <w:bCs/>
        </w:rPr>
        <w:t>Ve věcech plnění předmětu této smlouvy dle čl. II</w:t>
      </w:r>
      <w:r>
        <w:rPr>
          <w:bCs/>
        </w:rPr>
        <w:t>I</w:t>
      </w:r>
      <w:r w:rsidRPr="00E712C5">
        <w:rPr>
          <w:bCs/>
        </w:rPr>
        <w:t>. je za objednatele oprávněna jednat vedoucí odboru projektů IT služeb a outsourcingu Magistrátu města Ostravy, případně osoba jí k tomuto jednání pověřená</w:t>
      </w:r>
      <w:r>
        <w:rPr>
          <w:bCs/>
        </w:rPr>
        <w:t>.</w:t>
      </w:r>
    </w:p>
    <w:p w14:paraId="7D5C72F3" w14:textId="0BCDD4E3" w:rsidR="002116AD" w:rsidRDefault="00D30A7C" w:rsidP="001F41ED">
      <w:pPr>
        <w:pStyle w:val="JVS2"/>
      </w:pPr>
      <w:r>
        <w:t>Cena za poskytované služby</w:t>
      </w:r>
    </w:p>
    <w:p w14:paraId="5EB2CDBC" w14:textId="35669D2C" w:rsidR="002116AD" w:rsidRDefault="00D30A7C">
      <w:pPr>
        <w:pStyle w:val="SBSSmlouva"/>
        <w:numPr>
          <w:ilvl w:val="1"/>
          <w:numId w:val="4"/>
        </w:numPr>
        <w:ind w:left="426" w:hanging="426"/>
      </w:pPr>
      <w:bookmarkStart w:id="1" w:name="_Ref254619163"/>
      <w:r>
        <w:t xml:space="preserve">Cena za plnění předmětu této smlouvy je stanovena dohodou smluvních stran a činí </w:t>
      </w:r>
      <w:r w:rsidR="00137AE2" w:rsidRPr="00137AE2">
        <w:rPr>
          <w:b/>
        </w:rPr>
        <w:t>16,90</w:t>
      </w:r>
      <w:r>
        <w:t xml:space="preserve"> </w:t>
      </w:r>
      <w:r>
        <w:rPr>
          <w:b/>
        </w:rPr>
        <w:t>Kč</w:t>
      </w:r>
      <w:r w:rsidR="002B6E99">
        <w:rPr>
          <w:b/>
        </w:rPr>
        <w:t xml:space="preserve"> / licenci</w:t>
      </w:r>
      <w:r w:rsidR="00584F16">
        <w:rPr>
          <w:b/>
        </w:rPr>
        <w:t xml:space="preserve"> </w:t>
      </w:r>
      <w:r w:rsidR="007A7B8E">
        <w:rPr>
          <w:b/>
        </w:rPr>
        <w:t>/</w:t>
      </w:r>
      <w:r w:rsidR="002E6369">
        <w:rPr>
          <w:b/>
        </w:rPr>
        <w:t xml:space="preserve"> </w:t>
      </w:r>
      <w:r w:rsidR="00A9617F">
        <w:rPr>
          <w:b/>
        </w:rPr>
        <w:t>měsíc</w:t>
      </w:r>
      <w:r>
        <w:rPr>
          <w:b/>
        </w:rPr>
        <w:t xml:space="preserve"> bez DPH</w:t>
      </w:r>
      <w:r>
        <w:t>.</w:t>
      </w:r>
      <w:r w:rsidR="007D5636" w:rsidRPr="007D5636">
        <w:rPr>
          <w:sz w:val="20"/>
          <w:szCs w:val="20"/>
        </w:rPr>
        <w:t xml:space="preserve"> </w:t>
      </w:r>
      <w:r w:rsidR="007D5636" w:rsidRPr="007D5636">
        <w:t>Celkové plnění smlouvy je stanoveno do výše 2 000 000 Kč bez DPH</w:t>
      </w:r>
      <w:r w:rsidR="00883688">
        <w:t>.</w:t>
      </w:r>
    </w:p>
    <w:bookmarkEnd w:id="1"/>
    <w:p w14:paraId="0C8B9013" w14:textId="59FB65FC" w:rsidR="002116AD" w:rsidRDefault="00D30A7C">
      <w:pPr>
        <w:pStyle w:val="SBSSmlouva"/>
        <w:numPr>
          <w:ilvl w:val="1"/>
          <w:numId w:val="4"/>
        </w:numPr>
        <w:ind w:left="426" w:hanging="426"/>
      </w:pPr>
      <w:r>
        <w:t>Cena za poskytované služby je dohodnuta jako nejvýše přípustná a platí po celou dobu účinnosti smlouvy.</w:t>
      </w:r>
    </w:p>
    <w:p w14:paraId="6122D628" w14:textId="1CB895F9" w:rsidR="002116AD" w:rsidRDefault="00D30A7C">
      <w:pPr>
        <w:pStyle w:val="SBSSmlouva"/>
        <w:numPr>
          <w:ilvl w:val="1"/>
          <w:numId w:val="4"/>
        </w:numPr>
        <w:ind w:left="426" w:hanging="426"/>
      </w:pPr>
      <w:r>
        <w:t xml:space="preserve">Součástí ceny jsou veškeré práce, dodávky, služby, poplatky a jiné náklady nezbytné pro řádné a úplné splnění předmětu této smlouvy, včetně veškerých nákladů spojených s účastí </w:t>
      </w:r>
      <w:r w:rsidR="004618F0">
        <w:t>poskytovatel</w:t>
      </w:r>
      <w:r>
        <w:t>e na všech jednáních týkajících se předmětu plnění této smlouvy.</w:t>
      </w:r>
    </w:p>
    <w:p w14:paraId="107EB1A6" w14:textId="0313D6A2" w:rsidR="002116AD" w:rsidRDefault="00D30A7C">
      <w:pPr>
        <w:pStyle w:val="SBSSmlouva"/>
        <w:numPr>
          <w:ilvl w:val="1"/>
          <w:numId w:val="4"/>
        </w:numPr>
        <w:ind w:left="426" w:hanging="426"/>
      </w:pPr>
      <w:r>
        <w:t xml:space="preserve">K dohodnuté ceně bude připočtena sazba DPH platná ke dni uskutečnění příslušného zdanitelného plnění. </w:t>
      </w:r>
      <w:r w:rsidR="00565A1C">
        <w:t>Poskytovatel</w:t>
      </w:r>
      <w:r>
        <w:t xml:space="preserve"> odpovídá za to, že sazba daně z přidané hodnoty bude stanovena v souladu s platnými právními předpisy.</w:t>
      </w:r>
    </w:p>
    <w:p w14:paraId="6771DD1B" w14:textId="6890416A" w:rsidR="002116AD" w:rsidRDefault="00D30A7C">
      <w:pPr>
        <w:pStyle w:val="SBSSmlouva"/>
        <w:numPr>
          <w:ilvl w:val="1"/>
          <w:numId w:val="4"/>
        </w:numPr>
        <w:ind w:left="426" w:hanging="426"/>
      </w:pPr>
      <w:r>
        <w:t xml:space="preserve">Smluvní strany se dohodly, že dojde-li v průběhu plnění předmětu této smlouvy ke změně zákonné sazby DPH stanovené pro příslušné plnění vyplývající z této smlouvy, je </w:t>
      </w:r>
      <w:r w:rsidR="004618F0">
        <w:t>poskytovatel</w:t>
      </w:r>
      <w:r>
        <w:t xml:space="preserve"> od okamžiku nabytí účinnosti změněné sazby DPH povinen účtovat objednateli k ceně bez DPH a odměně bez DPH daň z přidané hodnoty dle platné sazby. O této skutečnosti není nutné uzavírat dodatek k této smlouvě.</w:t>
      </w:r>
    </w:p>
    <w:bookmarkEnd w:id="0"/>
    <w:p w14:paraId="163C50AB" w14:textId="77777777" w:rsidR="002116AD" w:rsidRDefault="00D30A7C" w:rsidP="001F41ED">
      <w:pPr>
        <w:pStyle w:val="JVS2"/>
      </w:pPr>
      <w:r>
        <w:t>Platební podmínky</w:t>
      </w:r>
    </w:p>
    <w:p w14:paraId="22EF6D44" w14:textId="0777531B" w:rsidR="002116AD" w:rsidRDefault="00565A1C">
      <w:pPr>
        <w:pStyle w:val="SBSSmlouva"/>
        <w:numPr>
          <w:ilvl w:val="1"/>
          <w:numId w:val="5"/>
        </w:numPr>
        <w:ind w:left="426" w:hanging="426"/>
      </w:pPr>
      <w:r>
        <w:t>Poskytovatel</w:t>
      </w:r>
      <w:r w:rsidR="00D30A7C">
        <w:t xml:space="preserve"> prohlašuje, že nežádá zálohu k náhradě hotových výdajů. Náhrada nákladů účelně vynaložených při plnění předmětu smlouvy je obsažena ve sjednané ceně dle čl. </w:t>
      </w:r>
      <w:r w:rsidR="00FD64A0">
        <w:t xml:space="preserve">V. </w:t>
      </w:r>
      <w:r w:rsidR="00D30A7C">
        <w:t xml:space="preserve"> této smlouvy.</w:t>
      </w:r>
    </w:p>
    <w:p w14:paraId="563F8592" w14:textId="763C0EEF" w:rsidR="002116AD" w:rsidRDefault="00D30A7C">
      <w:pPr>
        <w:pStyle w:val="SBSSmlouva"/>
        <w:numPr>
          <w:ilvl w:val="1"/>
          <w:numId w:val="5"/>
        </w:numPr>
        <w:ind w:left="426" w:hanging="426"/>
      </w:pPr>
      <w:r>
        <w:t>Podkladem pro úhradu smluvní ceny je vyúčtování nazvané faktura (dále jen „faktura“), které bude mít náležitosti daňového dokladu dle § 29 zákona č. 235/2004 Sb., o dani z přidané hodnoty, ve znění pozdějších předpisů.</w:t>
      </w:r>
    </w:p>
    <w:p w14:paraId="0D1F3C2D" w14:textId="030C449C" w:rsidR="00672E2C" w:rsidRDefault="00672E2C" w:rsidP="00672E2C">
      <w:pPr>
        <w:pStyle w:val="Odstavec1"/>
        <w:numPr>
          <w:ilvl w:val="1"/>
          <w:numId w:val="5"/>
        </w:numPr>
        <w:ind w:left="426" w:hanging="426"/>
      </w:pPr>
      <w:r>
        <w:t xml:space="preserve">Faktura za první </w:t>
      </w:r>
      <w:r w:rsidR="00434F69">
        <w:t xml:space="preserve">dodávku </w:t>
      </w:r>
      <w:r w:rsidR="0014569E">
        <w:t>dle čl. IV. odst. 2 této smlouvy</w:t>
      </w:r>
      <w:r>
        <w:t xml:space="preserve">, bude vystavena </w:t>
      </w:r>
      <w:r w:rsidR="00E9190A">
        <w:t xml:space="preserve">do pěti (5) dnů od zahájení poskytování maintenance, </w:t>
      </w:r>
      <w:r>
        <w:t>ve výši stanovené násobkem jednotkové ceny za licenci za měsíc, počt</w:t>
      </w:r>
      <w:r w:rsidR="00434F69">
        <w:t>em</w:t>
      </w:r>
      <w:r>
        <w:t xml:space="preserve"> dodaných licencí a počtem 12 měs</w:t>
      </w:r>
      <w:r w:rsidR="001445EF">
        <w:t>í</w:t>
      </w:r>
      <w:r>
        <w:t>ců.</w:t>
      </w:r>
      <w:r w:rsidR="00016311">
        <w:t xml:space="preserve"> Přílohou bude oboustranně podepsaný dodací list.</w:t>
      </w:r>
    </w:p>
    <w:p w14:paraId="362F81F9" w14:textId="0F956E68" w:rsidR="00EC626E" w:rsidRDefault="00EC626E" w:rsidP="00672E2C">
      <w:pPr>
        <w:pStyle w:val="Odstavec1"/>
        <w:numPr>
          <w:ilvl w:val="1"/>
          <w:numId w:val="5"/>
        </w:numPr>
        <w:ind w:left="426" w:hanging="426"/>
      </w:pPr>
      <w:r>
        <w:t xml:space="preserve">Faktura za </w:t>
      </w:r>
      <w:r w:rsidR="00214011">
        <w:t xml:space="preserve">každou další </w:t>
      </w:r>
      <w:r w:rsidR="00434F69">
        <w:t xml:space="preserve">dodávku </w:t>
      </w:r>
      <w:r>
        <w:t xml:space="preserve">dle čl. IV. odst. </w:t>
      </w:r>
      <w:r w:rsidR="00434F69">
        <w:t>3</w:t>
      </w:r>
      <w:r>
        <w:t xml:space="preserve"> této smlouvy, bude vystavena</w:t>
      </w:r>
      <w:r w:rsidR="00E9190A">
        <w:t xml:space="preserve"> do pěti (5) dnů od zahájení poskytování maintenance, </w:t>
      </w:r>
      <w:r>
        <w:t>ve výši stanovené násobkem jednotkové ceny za licenci za měsíc, počt</w:t>
      </w:r>
      <w:r w:rsidR="00434F69">
        <w:t>em</w:t>
      </w:r>
      <w:r>
        <w:t xml:space="preserve"> </w:t>
      </w:r>
      <w:r w:rsidR="00434F69">
        <w:t xml:space="preserve">dodaných </w:t>
      </w:r>
      <w:r>
        <w:t>licencí</w:t>
      </w:r>
      <w:r w:rsidR="00214011">
        <w:t xml:space="preserve"> </w:t>
      </w:r>
      <w:r>
        <w:t>a počtem</w:t>
      </w:r>
      <w:r w:rsidR="00434F69">
        <w:t xml:space="preserve"> celých</w:t>
      </w:r>
      <w:r>
        <w:t xml:space="preserve"> měsíců</w:t>
      </w:r>
      <w:r w:rsidR="00672C56">
        <w:t xml:space="preserve"> zbývajících do nejbližšího </w:t>
      </w:r>
      <w:r w:rsidR="00672C56">
        <w:lastRenderedPageBreak/>
        <w:t xml:space="preserve">výročí </w:t>
      </w:r>
      <w:r w:rsidR="00434F69">
        <w:t>zahájení poskytování maintenance z </w:t>
      </w:r>
      <w:r w:rsidR="00E10AF9">
        <w:t xml:space="preserve">první </w:t>
      </w:r>
      <w:r w:rsidR="00434F69">
        <w:t>dodávky</w:t>
      </w:r>
      <w:r w:rsidR="00E10AF9">
        <w:t>.</w:t>
      </w:r>
      <w:r w:rsidR="00016311" w:rsidRPr="00016311">
        <w:t xml:space="preserve"> </w:t>
      </w:r>
      <w:r w:rsidR="00016311">
        <w:t>Přílohou bude oboustranně podepsaný dodací list.</w:t>
      </w:r>
    </w:p>
    <w:p w14:paraId="63D58A39" w14:textId="3BCC2541" w:rsidR="00622EEA" w:rsidRDefault="006364B8" w:rsidP="00E10AF9">
      <w:pPr>
        <w:pStyle w:val="Odstavec1"/>
        <w:numPr>
          <w:ilvl w:val="1"/>
          <w:numId w:val="5"/>
        </w:numPr>
        <w:ind w:left="426" w:hanging="426"/>
      </w:pPr>
      <w:r>
        <w:t>Faktur</w:t>
      </w:r>
      <w:r w:rsidR="008A5D55">
        <w:t>a</w:t>
      </w:r>
      <w:r>
        <w:t xml:space="preserve"> za </w:t>
      </w:r>
      <w:r w:rsidR="008A5D55">
        <w:t xml:space="preserve">prodloužení užívání programového vybavení </w:t>
      </w:r>
      <w:r w:rsidR="00B5442C">
        <w:t>o 12 měsíců</w:t>
      </w:r>
      <w:r w:rsidR="007E2D0B">
        <w:t>,</w:t>
      </w:r>
      <w:r w:rsidR="00451340">
        <w:t xml:space="preserve"> vždy</w:t>
      </w:r>
      <w:r w:rsidR="00B5442C">
        <w:t xml:space="preserve"> od výročí </w:t>
      </w:r>
      <w:r w:rsidR="00E9190A">
        <w:t>zahájení poskytování maintenance z první dodávky</w:t>
      </w:r>
      <w:r w:rsidR="00997E51">
        <w:t xml:space="preserve">, bude vystavena </w:t>
      </w:r>
      <w:r w:rsidR="00E42320">
        <w:t>do pěti</w:t>
      </w:r>
      <w:r w:rsidR="00997E51">
        <w:t xml:space="preserve"> (5)</w:t>
      </w:r>
      <w:r w:rsidR="00E42320">
        <w:t xml:space="preserve"> dnů </w:t>
      </w:r>
      <w:r w:rsidR="00CE6831">
        <w:t xml:space="preserve">od </w:t>
      </w:r>
      <w:r w:rsidR="00451340">
        <w:t xml:space="preserve">tohoto </w:t>
      </w:r>
      <w:r w:rsidR="00E42320">
        <w:t>výročí</w:t>
      </w:r>
      <w:r w:rsidR="00124A9C">
        <w:t>, maximálně 2 x po dobu trvání této smlouvy</w:t>
      </w:r>
      <w:r w:rsidR="00D26B25">
        <w:t xml:space="preserve"> </w:t>
      </w:r>
      <w:r w:rsidR="003E4AF5">
        <w:t xml:space="preserve">ve výši </w:t>
      </w:r>
      <w:r w:rsidR="00A67448">
        <w:t>stanovené násobkem jednotkové ceny za licenci za měsíc, počtu licencí v užívání objedn</w:t>
      </w:r>
      <w:r w:rsidR="00CE2230">
        <w:t>atelem a počtem 12 měs</w:t>
      </w:r>
      <w:r w:rsidR="00EC626E">
        <w:t>í</w:t>
      </w:r>
      <w:r w:rsidR="00CE2230">
        <w:t>ců.</w:t>
      </w:r>
      <w:r w:rsidR="00D960C2">
        <w:t xml:space="preserve"> </w:t>
      </w:r>
    </w:p>
    <w:p w14:paraId="77391FBE" w14:textId="2DC0D058" w:rsidR="002116AD" w:rsidRDefault="00D30A7C">
      <w:pPr>
        <w:pStyle w:val="SBSSmlouva"/>
        <w:numPr>
          <w:ilvl w:val="1"/>
          <w:numId w:val="5"/>
        </w:numPr>
        <w:ind w:left="426" w:hanging="426"/>
      </w:pPr>
      <w:r>
        <w:t xml:space="preserve">Kromě náležitostí stanovených platnými právními předpisy pro daňový doklad je </w:t>
      </w:r>
      <w:r w:rsidR="004618F0">
        <w:t>poskytovatel</w:t>
      </w:r>
      <w:r>
        <w:t xml:space="preserve"> povinen ve faktuře uvést i tyto údaje:</w:t>
      </w:r>
    </w:p>
    <w:p w14:paraId="6E8FB1A5"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 xml:space="preserve">číslo smlouvy a datum jejího uzavření, identifikátor veřejné zakázky, </w:t>
      </w:r>
    </w:p>
    <w:p w14:paraId="199EEB33"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předmět smlouvy a jeho přesnou specifikaci ve slovním vyjádření (nestačí pouze odkaz na číslo uzavřené smlouvy),</w:t>
      </w:r>
    </w:p>
    <w:p w14:paraId="00B1B881"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dobu splatnosti faktury,</w:t>
      </w:r>
    </w:p>
    <w:p w14:paraId="3CFFF073"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označení banky a číslo účtu, na který musí být zaplaceno,</w:t>
      </w:r>
    </w:p>
    <w:p w14:paraId="41B83F79"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 xml:space="preserve">označení útvaru kupujícího, který akci likviduje (tj. odbor projektů IT služeb a outsourcingu), </w:t>
      </w:r>
    </w:p>
    <w:p w14:paraId="5C473D8A" w14:textId="5467E623" w:rsidR="002116AD" w:rsidRDefault="00875F52" w:rsidP="00F23ED2">
      <w:pPr>
        <w:numPr>
          <w:ilvl w:val="0"/>
          <w:numId w:val="16"/>
        </w:numPr>
        <w:tabs>
          <w:tab w:val="left" w:pos="1134"/>
        </w:tabs>
        <w:spacing w:before="120"/>
        <w:ind w:left="1134" w:hanging="425"/>
        <w:rPr>
          <w:szCs w:val="22"/>
        </w:rPr>
      </w:pPr>
      <w:r w:rsidRPr="00875F52">
        <w:rPr>
          <w:szCs w:val="22"/>
        </w:rPr>
        <w:t>jméno osoby, která fakturu vystavila, vč. kontaktního telefonu</w:t>
      </w:r>
      <w:r w:rsidR="00D30A7C">
        <w:rPr>
          <w:szCs w:val="22"/>
        </w:rPr>
        <w:t>.</w:t>
      </w:r>
    </w:p>
    <w:p w14:paraId="3410C847" w14:textId="6FF9C224" w:rsidR="002116AD" w:rsidRDefault="00D30A7C">
      <w:pPr>
        <w:pStyle w:val="SBSSmlouva"/>
        <w:numPr>
          <w:ilvl w:val="1"/>
          <w:numId w:val="5"/>
        </w:numPr>
        <w:ind w:left="426" w:hanging="426"/>
      </w:pPr>
      <w:r>
        <w:t xml:space="preserve">Doba splatnosti faktury </w:t>
      </w:r>
      <w:r w:rsidRPr="00D30A7C">
        <w:t xml:space="preserve">činí </w:t>
      </w:r>
      <w:r w:rsidR="00802222">
        <w:t>30</w:t>
      </w:r>
      <w:r w:rsidRPr="00D30A7C">
        <w:t xml:space="preserve"> kalendářních dnů po jejím</w:t>
      </w:r>
      <w:r>
        <w:t xml:space="preserve"> doručení objednateli. Pro ostatní platby (např. úroků z prodlení, smluvních pokut, náhrady škody aj.)</w:t>
      </w:r>
      <w:r w:rsidR="00EB1A67">
        <w:t xml:space="preserve"> </w:t>
      </w:r>
      <w:r>
        <w:t xml:space="preserve"> </w:t>
      </w:r>
      <w:r w:rsidR="00E9190A">
        <w:t xml:space="preserve">si </w:t>
      </w:r>
      <w:r>
        <w:t>smluvní strany sjednávají 10denní dobu splatnosti</w:t>
      </w:r>
      <w:r w:rsidR="00E9190A">
        <w:t xml:space="preserve"> od doručení výzvy k úhradě</w:t>
      </w:r>
      <w:r>
        <w:t>.</w:t>
      </w:r>
    </w:p>
    <w:p w14:paraId="02E009EA" w14:textId="77777777" w:rsidR="002116AD" w:rsidRDefault="00D30A7C">
      <w:pPr>
        <w:pStyle w:val="SBSSmlouva"/>
        <w:numPr>
          <w:ilvl w:val="1"/>
          <w:numId w:val="5"/>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67E8F95F" w14:textId="62FB70F1" w:rsidR="002116AD" w:rsidRDefault="00D30A7C">
      <w:pPr>
        <w:pStyle w:val="SBSSmlouva"/>
        <w:numPr>
          <w:ilvl w:val="1"/>
          <w:numId w:val="5"/>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w:t>
      </w:r>
      <w:r w:rsidR="00565A1C">
        <w:t>Poskytovatel</w:t>
      </w:r>
      <w:r>
        <w:t xml:space="preserve"> provede opravu vystavením nové faktury. Od doby odeslání chybné faktury přestává běžet původní doba splatnosti. Celá doba splatnosti běží opět ode dne doručení nově vyhotovené faktury objednateli. </w:t>
      </w:r>
    </w:p>
    <w:p w14:paraId="6FB3A786" w14:textId="77777777" w:rsidR="002116AD" w:rsidRDefault="00D30A7C">
      <w:pPr>
        <w:pStyle w:val="SBSSmlouva"/>
        <w:numPr>
          <w:ilvl w:val="1"/>
          <w:numId w:val="5"/>
        </w:numPr>
        <w:ind w:left="426" w:hanging="426"/>
      </w:pPr>
      <w:r>
        <w:t xml:space="preserve">Faktura bude doručena do datové schránky objednatele nebo na elektronickou podatelnu </w:t>
      </w:r>
      <w:hyperlink r:id="rId9" w:history="1">
        <w:r>
          <w:rPr>
            <w:rStyle w:val="Hypertextovodkaz"/>
          </w:rPr>
          <w:t>posta@ostrava.cz</w:t>
        </w:r>
      </w:hyperlink>
      <w:r>
        <w:t xml:space="preserve"> nebo osobně proti podpisu zmocněné osoby nebo jako doporučené psaní prostřednictvím držitele poštovní licence.</w:t>
      </w:r>
    </w:p>
    <w:p w14:paraId="5A2EB3BE" w14:textId="588F1472" w:rsidR="002116AD" w:rsidRDefault="00E9190A">
      <w:pPr>
        <w:pStyle w:val="SBSSmlouva"/>
        <w:numPr>
          <w:ilvl w:val="1"/>
          <w:numId w:val="5"/>
        </w:numPr>
        <w:ind w:left="426" w:hanging="426"/>
        <w:rPr>
          <w:rFonts w:cs="Arial"/>
        </w:rPr>
      </w:pPr>
      <w:r>
        <w:t>Smluvní s</w:t>
      </w:r>
      <w:r w:rsidR="00D30A7C">
        <w:t xml:space="preserve">trany se dohodly, že platba bude provedena na číslo účtu uvedené </w:t>
      </w:r>
      <w:r w:rsidR="004618F0">
        <w:t>poskytovatel</w:t>
      </w:r>
      <w:r w:rsidR="00D30A7C">
        <w:t>em ve faktuře bez ohledu na číslo účtu uvedené v</w:t>
      </w:r>
      <w:r>
        <w:t xml:space="preserve"> záhlaví</w:t>
      </w:r>
      <w:r w:rsidR="00D30A7C">
        <w:t xml:space="preserve"> této smlouv</w:t>
      </w:r>
      <w:r>
        <w:t>y</w:t>
      </w:r>
      <w:r w:rsidR="00D30A7C">
        <w:t>. Musí se však jednat o číslo účtu zveřejněné způsobem umožňujícím dálkový přístup podle § 96 zákona č. 235/2004 Sb., o dani z přidané hodnoty, ve znění pozdějších předpisů. Zároveň se musí jednat o účet vedený v tuzemsku.</w:t>
      </w:r>
    </w:p>
    <w:p w14:paraId="4CB267CC" w14:textId="77777777" w:rsidR="002116AD" w:rsidRDefault="00D30A7C">
      <w:pPr>
        <w:pStyle w:val="SBSSmlouva"/>
        <w:numPr>
          <w:ilvl w:val="1"/>
          <w:numId w:val="5"/>
        </w:numPr>
        <w:ind w:left="426" w:hanging="426"/>
      </w:pPr>
      <w:r>
        <w:t>Povinnost zaplatit je splněna dnem odepsání příslušné částky z účtu objednatele.</w:t>
      </w:r>
    </w:p>
    <w:p w14:paraId="7344ECE6" w14:textId="0283B487" w:rsidR="002116AD" w:rsidRDefault="00D30A7C">
      <w:pPr>
        <w:pStyle w:val="SBSSmlouva"/>
        <w:numPr>
          <w:ilvl w:val="1"/>
          <w:numId w:val="5"/>
        </w:numPr>
        <w:ind w:left="426" w:hanging="426"/>
        <w:rPr>
          <w:rFonts w:cs="Arial"/>
        </w:rPr>
      </w:pPr>
      <w:r>
        <w:t xml:space="preserve">Pokud se stane </w:t>
      </w:r>
      <w:r w:rsidR="004618F0">
        <w:t>poskytovatel</w:t>
      </w:r>
      <w:r>
        <w:t xml:space="preserve"> nespolehlivým plátcem daně dle § 106a zákona č. 235/2004 Sb., o dani z přidané hodnoty, ve znění pozdějších předpisů, je objednatel oprávněn uhradit </w:t>
      </w:r>
      <w:r w:rsidR="004618F0">
        <w:t>poskytovatel</w:t>
      </w:r>
      <w:r>
        <w:t xml:space="preserve">i za zdanitelné plnění částku bez DPH a úhradu samotné DPH provést přímo </w:t>
      </w:r>
      <w:r>
        <w:lastRenderedPageBreak/>
        <w:t xml:space="preserve">na příslušný účet daného finančního úřadu, dle § 109a zákona o dani z přidané hodnoty. Zaplacení částky ve výši daně na účet správce daně </w:t>
      </w:r>
      <w:r w:rsidR="004618F0">
        <w:t>poskytovatel</w:t>
      </w:r>
      <w:r>
        <w:t xml:space="preserve">e a zaplacení částky bez DPH </w:t>
      </w:r>
      <w:r w:rsidR="004618F0">
        <w:t>poskytovatel</w:t>
      </w:r>
      <w:r>
        <w:t>i bude považováno za splnění závazku objednatele uhradit sjednanou cenu</w:t>
      </w:r>
      <w:r w:rsidR="000C02BB">
        <w:t>.</w:t>
      </w:r>
    </w:p>
    <w:p w14:paraId="0B8F93A8" w14:textId="77777777" w:rsidR="002116AD" w:rsidRDefault="00D30A7C" w:rsidP="001F41ED">
      <w:pPr>
        <w:pStyle w:val="JVS2"/>
      </w:pPr>
      <w:r>
        <w:t>Převod vlastnictví a převod práv k užití produktů</w:t>
      </w:r>
    </w:p>
    <w:p w14:paraId="1E2039F3" w14:textId="29711434" w:rsidR="002116AD" w:rsidRDefault="00565A1C" w:rsidP="00F23ED2">
      <w:pPr>
        <w:pStyle w:val="Odstavecseseznamem"/>
        <w:numPr>
          <w:ilvl w:val="1"/>
          <w:numId w:val="10"/>
        </w:numPr>
        <w:ind w:left="426" w:hanging="426"/>
        <w:rPr>
          <w:rFonts w:ascii="Arial" w:hAnsi="Arial"/>
          <w:sz w:val="22"/>
          <w:szCs w:val="24"/>
          <w:lang w:eastAsia="cs-CZ"/>
        </w:rPr>
      </w:pPr>
      <w:r>
        <w:rPr>
          <w:rFonts w:ascii="Arial" w:hAnsi="Arial"/>
          <w:sz w:val="22"/>
          <w:szCs w:val="24"/>
          <w:lang w:eastAsia="cs-CZ"/>
        </w:rPr>
        <w:t>Poskytovatel</w:t>
      </w:r>
      <w:r w:rsidR="00D30A7C">
        <w:rPr>
          <w:rFonts w:ascii="Arial" w:hAnsi="Arial"/>
          <w:sz w:val="22"/>
          <w:szCs w:val="24"/>
          <w:lang w:eastAsia="cs-CZ"/>
        </w:rPr>
        <w:t xml:space="preserve"> objednateli garantuje, že veškeré programové produkty (počítačové programy) dodané </w:t>
      </w:r>
      <w:r w:rsidR="004618F0">
        <w:rPr>
          <w:rFonts w:ascii="Arial" w:hAnsi="Arial"/>
          <w:sz w:val="22"/>
          <w:szCs w:val="24"/>
          <w:lang w:eastAsia="cs-CZ"/>
        </w:rPr>
        <w:t>poskytovatel</w:t>
      </w:r>
      <w:r w:rsidR="00D30A7C">
        <w:rPr>
          <w:rFonts w:ascii="Arial" w:hAnsi="Arial"/>
          <w:sz w:val="22"/>
          <w:szCs w:val="24"/>
          <w:lang w:eastAsia="cs-CZ"/>
        </w:rPr>
        <w:t>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555BCF4E" w14:textId="0CED0B24" w:rsidR="002116AD" w:rsidRDefault="00565A1C" w:rsidP="00F23ED2">
      <w:pPr>
        <w:pStyle w:val="SBSSmlouva"/>
        <w:numPr>
          <w:ilvl w:val="1"/>
          <w:numId w:val="10"/>
        </w:numPr>
        <w:ind w:left="426" w:hanging="426"/>
      </w:pPr>
      <w:r>
        <w:t>Poskytovatel</w:t>
      </w:r>
      <w:r w:rsidR="00D30A7C">
        <w:t xml:space="preserve"> poskytuje objednateli k dodaným produktům (jež mají povahu autorského díla) </w:t>
      </w:r>
      <w:r w:rsidR="00D30A7C" w:rsidRPr="00531132">
        <w:t>časově omezenou</w:t>
      </w:r>
      <w:r w:rsidR="00593A7D" w:rsidRPr="00531132">
        <w:t xml:space="preserve"> na dobu trvání této smlouvy</w:t>
      </w:r>
      <w:r w:rsidR="00D30A7C" w:rsidRPr="00531132">
        <w:t>, nevýhradní a převoditelnou licenci,</w:t>
      </w:r>
      <w:r w:rsidR="00D30A7C">
        <w:t xml:space="preserve"> a to výlučně k účelu touto smlouvou sledovanému. Objednatel se u všech produktů tohoto charakteru stává po jejich </w:t>
      </w:r>
      <w:r w:rsidR="00D52FB5">
        <w:t>převzetí</w:t>
      </w:r>
      <w:r w:rsidR="00D30A7C">
        <w:t xml:space="preserve"> pouze oprávněným uživatelem rozmnoženin a vlastníkem záznamových materiálů, na kterých jsou tyto rozmnoženiny umístěny. </w:t>
      </w:r>
      <w:r>
        <w:t>Poskytovatel</w:t>
      </w:r>
      <w:r w:rsidR="00D30A7C">
        <w:t xml:space="preserve"> prohlašuje, že je oprávněn objednateli poskytnout předmět smlouvy, včetně oprávnění k výkonu práva užití, k užití pro účely této smlouvy v souladu s autorským zákonem. Objednatel není povinen licenci využít.</w:t>
      </w:r>
      <w:r w:rsidR="00AA19E0">
        <w:t xml:space="preserve"> Licence je poskytována na území </w:t>
      </w:r>
      <w:r w:rsidR="00257C41">
        <w:t>České republiky.</w:t>
      </w:r>
    </w:p>
    <w:p w14:paraId="3E2CCDBC" w14:textId="77777777" w:rsidR="002116AD" w:rsidRDefault="00D30A7C" w:rsidP="00F23ED2">
      <w:pPr>
        <w:pStyle w:val="SBSSmlouva"/>
        <w:numPr>
          <w:ilvl w:val="1"/>
          <w:numId w:val="10"/>
        </w:numPr>
        <w:ind w:left="426" w:hanging="426"/>
      </w:pPr>
      <w:r>
        <w:t>Nebezpečí škody přechází na objednatele dnem protokolárního předání plnění bez vad a nedodělků objednateli.</w:t>
      </w:r>
    </w:p>
    <w:p w14:paraId="7AA423DF" w14:textId="57D658A8" w:rsidR="00F23ED2" w:rsidRDefault="00F23ED2" w:rsidP="00F23ED2">
      <w:pPr>
        <w:pStyle w:val="JVS2"/>
        <w:ind w:left="426" w:hanging="284"/>
      </w:pPr>
      <w:r>
        <w:t>Ochrana informací</w:t>
      </w:r>
    </w:p>
    <w:p w14:paraId="6BD7B9D5" w14:textId="77777777" w:rsidR="0017604F" w:rsidRPr="00BC0BBD" w:rsidRDefault="0017604F" w:rsidP="00BC0BBD">
      <w:pPr>
        <w:pStyle w:val="SBSSmlouva"/>
        <w:numPr>
          <w:ilvl w:val="1"/>
          <w:numId w:val="28"/>
        </w:numPr>
        <w:ind w:left="426" w:hanging="426"/>
      </w:pPr>
      <w:r>
        <w:t>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4E011065" w14:textId="77777777" w:rsidR="0017604F" w:rsidRDefault="0017604F" w:rsidP="00BC0BBD">
      <w:pPr>
        <w:pStyle w:val="SBSSmlouva"/>
        <w:numPr>
          <w:ilvl w:val="1"/>
          <w:numId w:val="28"/>
        </w:numPr>
        <w:ind w:left="426" w:hanging="426"/>
      </w:pPr>
      <w:r>
        <w:t>Povinnost objednatele dle zákona č. 106/1999 Sb., o svobodném přístupu k informacím, ve znění pozdějších předpisů, není ustanovením odst. 1. tohoto článku dotčena.</w:t>
      </w:r>
    </w:p>
    <w:p w14:paraId="19DEE1D0" w14:textId="77777777" w:rsidR="0017604F" w:rsidRPr="00BC0BBD" w:rsidRDefault="0017604F" w:rsidP="00BC0BBD">
      <w:pPr>
        <w:pStyle w:val="SBSSmlouva"/>
        <w:numPr>
          <w:ilvl w:val="1"/>
          <w:numId w:val="28"/>
        </w:numPr>
        <w:ind w:left="426" w:hanging="426"/>
      </w:pPr>
      <w:r>
        <w:t>Závazek k ochraně a utajení trvá i po ukončení smlouvy.</w:t>
      </w:r>
    </w:p>
    <w:p w14:paraId="1D230C46" w14:textId="1689AA5A" w:rsidR="00D07C19" w:rsidRDefault="0017604F" w:rsidP="00BC0BBD">
      <w:pPr>
        <w:pStyle w:val="SBSSmlouva"/>
        <w:numPr>
          <w:ilvl w:val="1"/>
          <w:numId w:val="28"/>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57DD7C70" w14:textId="77777777" w:rsidR="002116AD" w:rsidRDefault="00D30A7C" w:rsidP="001F41ED">
      <w:pPr>
        <w:pStyle w:val="JVS2"/>
      </w:pPr>
      <w:r>
        <w:lastRenderedPageBreak/>
        <w:t>Odpovědnost za škodu</w:t>
      </w:r>
    </w:p>
    <w:p w14:paraId="66FBB80A" w14:textId="77777777" w:rsidR="002116AD" w:rsidRDefault="00D30A7C" w:rsidP="00F23ED2">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40D596A9" w14:textId="77777777" w:rsidR="00E9190A" w:rsidRDefault="00D30A7C" w:rsidP="00F23ED2">
      <w:pPr>
        <w:pStyle w:val="SBSSmlouva"/>
        <w:numPr>
          <w:ilvl w:val="1"/>
          <w:numId w:val="12"/>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1303EC">
        <w:t>Poskytovatel</w:t>
      </w:r>
      <w:r>
        <w:t xml:space="preserve"> objednateli neodpovídá za jakékoli škody vzniklé z chybného, neúplného nebo nevčasného užití dodaných produktů pracovníky objednatele. </w:t>
      </w:r>
    </w:p>
    <w:p w14:paraId="61D0524A" w14:textId="42AA3668" w:rsidR="002116AD" w:rsidRDefault="00E9190A" w:rsidP="00F23ED2">
      <w:pPr>
        <w:pStyle w:val="SBSSmlouva"/>
        <w:numPr>
          <w:ilvl w:val="1"/>
          <w:numId w:val="12"/>
        </w:numPr>
        <w:ind w:left="426" w:hanging="426"/>
      </w:pPr>
      <w:r w:rsidRPr="00E9190A">
        <w:t>Žádná ze smluvních stran není odpovědná za prodlení s plněním povinnosti stanovené touto smlouvou, pokud bylo způsobeno „vyšší mocí“ (dále jen vyšší moc).</w:t>
      </w:r>
      <w:r w:rsidRPr="00E9190A">
        <w:rPr>
          <w:rFonts w:asciiTheme="majorHAnsi" w:eastAsia="Georgia" w:hAnsiTheme="majorHAnsi" w:cstheme="majorHAnsi"/>
          <w:sz w:val="20"/>
          <w:szCs w:val="20"/>
        </w:rPr>
        <w:t xml:space="preserve"> </w:t>
      </w:r>
      <w:r w:rsidRPr="00E9190A">
        <w:t>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Povinná strana se nemůže dovolat vyšší moci, pokud na její účinky druhou smluvní stranu bez zbytečného odkladu neupozornila</w:t>
      </w:r>
      <w:r>
        <w:t>.</w:t>
      </w:r>
    </w:p>
    <w:p w14:paraId="05BAEEAB" w14:textId="622278DC" w:rsidR="00E9190A" w:rsidRDefault="00E9190A" w:rsidP="00F23ED2">
      <w:pPr>
        <w:pStyle w:val="SBSSmlouva"/>
        <w:numPr>
          <w:ilvl w:val="1"/>
          <w:numId w:val="12"/>
        </w:numPr>
        <w:ind w:left="426" w:hanging="426"/>
      </w:pPr>
      <w:r w:rsidRPr="00E9190A">
        <w:t>Za vyšší moc dle předchozího odstavce se považuje zejm. válečný stav, živelná pohroma, či stav epidemie nemoci. V případě epidemie nemoci pak lze takovýto stav považovat za vyšší moc pouze v případě, kdy je tento pojen s vyhlášeným nouzovým stavem ze strany vlády ČR či země, která je součástí dodavatelského řetězce dané Komodity, a to v době maximálně do 30 kalendářních dní od data ukončení nouzového stavu</w:t>
      </w:r>
      <w:r w:rsidR="00A34C96">
        <w:t>.</w:t>
      </w:r>
    </w:p>
    <w:p w14:paraId="4991E5FD" w14:textId="77777777" w:rsidR="002116AD" w:rsidRDefault="00D30A7C" w:rsidP="00F23ED2">
      <w:pPr>
        <w:pStyle w:val="SBSSmlouva"/>
        <w:numPr>
          <w:ilvl w:val="1"/>
          <w:numId w:val="12"/>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7D30F3C6" w14:textId="70C37B1D" w:rsidR="002116AD" w:rsidRDefault="0026249B" w:rsidP="001F41ED">
      <w:pPr>
        <w:pStyle w:val="JVS2"/>
      </w:pPr>
      <w:r>
        <w:t>O</w:t>
      </w:r>
      <w:r w:rsidR="00D30A7C">
        <w:t xml:space="preserve">dpovědnost za vady </w:t>
      </w:r>
    </w:p>
    <w:p w14:paraId="5A04DD1A" w14:textId="6295E639" w:rsidR="002116AD" w:rsidRDefault="001303EC" w:rsidP="00F23ED2">
      <w:pPr>
        <w:pStyle w:val="SBSSmlouva"/>
        <w:numPr>
          <w:ilvl w:val="1"/>
          <w:numId w:val="13"/>
        </w:numPr>
        <w:ind w:left="426" w:hanging="426"/>
      </w:pPr>
      <w:r>
        <w:t>Poskytovatelem</w:t>
      </w:r>
      <w:r w:rsidR="00D30A7C">
        <w:t xml:space="preserve"> poskytnuté dodávky, práce, nebo služby mají vady, jestliže jejich provedení neodpovídá účelu smlouvy a požadavkům uvedeným ve smlouvě, příslušným právním předpisům, normám nebo dokumentaci, vztahujícím se k jejich provedení.</w:t>
      </w:r>
    </w:p>
    <w:p w14:paraId="07A31720" w14:textId="5E13C454" w:rsidR="002116AD" w:rsidRDefault="00D30A7C" w:rsidP="00F23ED2">
      <w:pPr>
        <w:pStyle w:val="SBSSmlouva"/>
        <w:numPr>
          <w:ilvl w:val="1"/>
          <w:numId w:val="13"/>
        </w:numPr>
        <w:ind w:left="426" w:hanging="426"/>
      </w:pPr>
      <w:r>
        <w:t xml:space="preserve">Nedohodnou-li se smluvní strany jinak, zavazuje se objednatel veškeré zjištěné vady (dále jen „vady“) nahlásit </w:t>
      </w:r>
      <w:r w:rsidR="004618F0">
        <w:t>poskytovatel</w:t>
      </w:r>
      <w:r>
        <w:t>i neprodleně po jejich zjištění.</w:t>
      </w:r>
    </w:p>
    <w:p w14:paraId="16BAD096" w14:textId="3A464504" w:rsidR="002116AD" w:rsidRDefault="00D30A7C" w:rsidP="00F23ED2">
      <w:pPr>
        <w:pStyle w:val="SBSSmlouva"/>
        <w:numPr>
          <w:ilvl w:val="1"/>
          <w:numId w:val="13"/>
        </w:numPr>
        <w:ind w:left="426" w:hanging="426"/>
      </w:pPr>
      <w:r>
        <w:t xml:space="preserve">Vady  musí být technickými zástupci objednatele hlášeny </w:t>
      </w:r>
      <w:r w:rsidR="004618F0">
        <w:t>poskytovatel</w:t>
      </w:r>
      <w:r>
        <w:t xml:space="preserve">i prostřednictvím systému helpdesk </w:t>
      </w:r>
      <w:r w:rsidR="004618F0">
        <w:t>poskytovatel</w:t>
      </w:r>
      <w:r w:rsidR="00137AE2">
        <w:t xml:space="preserve">e na adrese: </w:t>
      </w:r>
      <w:hyperlink r:id="rId10" w:history="1">
        <w:r w:rsidR="00137AE2" w:rsidRPr="004279CC">
          <w:rPr>
            <w:rStyle w:val="Hypertextovodkaz"/>
          </w:rPr>
          <w:t>info@kompit.cz</w:t>
        </w:r>
      </w:hyperlink>
      <w:r w:rsidR="00137AE2">
        <w:t xml:space="preserve"> ne</w:t>
      </w:r>
      <w:r>
        <w:t xml:space="preserve">bo telefonicky na čísle </w:t>
      </w:r>
      <w:r w:rsidR="00137AE2">
        <w:t>+420 735 178 868.</w:t>
      </w:r>
    </w:p>
    <w:p w14:paraId="17E0D98B" w14:textId="1E57BD3E" w:rsidR="002116AD" w:rsidRDefault="00D30A7C" w:rsidP="00F23ED2">
      <w:pPr>
        <w:pStyle w:val="SBSSmlouva"/>
        <w:numPr>
          <w:ilvl w:val="1"/>
          <w:numId w:val="13"/>
        </w:numPr>
        <w:ind w:left="426" w:hanging="426"/>
      </w:pPr>
      <w:r>
        <w:t>Objednatel se zavazuje, že vyvine veškerou potřebnou součinnost při odstraňování závad a</w:t>
      </w:r>
      <w:r w:rsidR="0060243A">
        <w:t> </w:t>
      </w:r>
      <w:r>
        <w:t xml:space="preserve">bude spolupracovat se </w:t>
      </w:r>
      <w:r w:rsidR="004618F0">
        <w:t>poskytovatel</w:t>
      </w:r>
      <w:r>
        <w:t>em na detailním a podrobném popisu požadavku tak, aby bylo možné určit jeho příčinu.</w:t>
      </w:r>
    </w:p>
    <w:p w14:paraId="2806752D" w14:textId="263ADB1D" w:rsidR="002116AD" w:rsidRDefault="001303EC" w:rsidP="00F23ED2">
      <w:pPr>
        <w:pStyle w:val="SBSSmlouva"/>
        <w:numPr>
          <w:ilvl w:val="1"/>
          <w:numId w:val="13"/>
        </w:numPr>
        <w:ind w:left="426" w:hanging="426"/>
      </w:pPr>
      <w:r>
        <w:t>Poskytovatel</w:t>
      </w:r>
      <w:r w:rsidR="00D30A7C">
        <w:t xml:space="preserve"> neodpovídá za vady a újmy, které byly způsobeny nesprávným užitím výsledků poskytnutých </w:t>
      </w:r>
      <w:r w:rsidR="004618F0">
        <w:t>poskytovatel</w:t>
      </w:r>
      <w:r w:rsidR="00D30A7C">
        <w:t xml:space="preserve">em podle této smlouvy, ani za vady které byly způsobeny jinými příčinami a které nevyplývají z výsledků poskytnutých </w:t>
      </w:r>
      <w:r w:rsidR="004618F0">
        <w:t>poskytovatel</w:t>
      </w:r>
      <w:r w:rsidR="00D30A7C">
        <w:t xml:space="preserve">em podle této smlouvy. </w:t>
      </w:r>
    </w:p>
    <w:p w14:paraId="1ACA045C" w14:textId="2771E7C0" w:rsidR="002116AD" w:rsidRDefault="001303EC" w:rsidP="00F23ED2">
      <w:pPr>
        <w:pStyle w:val="SBSSmlouva"/>
        <w:numPr>
          <w:ilvl w:val="1"/>
          <w:numId w:val="13"/>
        </w:numPr>
        <w:ind w:left="426" w:hanging="426"/>
      </w:pPr>
      <w:r>
        <w:t>Poskytovatel</w:t>
      </w:r>
      <w:r w:rsidR="00D30A7C">
        <w:t xml:space="preserve"> neodpovídá zejména za vady, které:</w:t>
      </w:r>
    </w:p>
    <w:p w14:paraId="5315FC10" w14:textId="77777777"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t>byly způsobeny nesprávnými podklady nebo informacemi poskytnutými objednatelem;</w:t>
      </w:r>
    </w:p>
    <w:p w14:paraId="0D73C5F6" w14:textId="29D52C5F"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lastRenderedPageBreak/>
        <w:t xml:space="preserve">vznikly neodborným zacházením objednatele nebo nedodržením </w:t>
      </w:r>
      <w:r w:rsidR="004618F0">
        <w:rPr>
          <w:rFonts w:ascii="Arial" w:hAnsi="Arial" w:cs="Arial"/>
          <w:sz w:val="22"/>
          <w:szCs w:val="22"/>
        </w:rPr>
        <w:t>poskytovatel</w:t>
      </w:r>
      <w:r>
        <w:rPr>
          <w:rFonts w:ascii="Arial" w:hAnsi="Arial" w:cs="Arial"/>
          <w:sz w:val="22"/>
          <w:szCs w:val="22"/>
        </w:rPr>
        <w:t>em předané dokumentace dle této smlouvy;</w:t>
      </w:r>
    </w:p>
    <w:p w14:paraId="2D7E212C" w14:textId="77777777"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t>způsobila třetí osoba; za třetí osobu dle této smlouvy nejsou považováni řádně proškolení zástupci objednatele;</w:t>
      </w:r>
    </w:p>
    <w:p w14:paraId="5ACB4E4E" w14:textId="77777777" w:rsidR="002116AD" w:rsidRDefault="00D30A7C" w:rsidP="00F23ED2">
      <w:pPr>
        <w:pStyle w:val="Odstavecseseznamem"/>
        <w:numPr>
          <w:ilvl w:val="0"/>
          <w:numId w:val="14"/>
        </w:numPr>
        <w:suppressAutoHyphens w:val="0"/>
        <w:spacing w:before="120"/>
        <w:ind w:left="851" w:hanging="284"/>
        <w:rPr>
          <w:szCs w:val="22"/>
        </w:rPr>
      </w:pPr>
      <w:r>
        <w:rPr>
          <w:rFonts w:ascii="Arial" w:hAnsi="Arial" w:cs="Arial"/>
          <w:sz w:val="22"/>
          <w:szCs w:val="22"/>
        </w:rPr>
        <w:t>vznikly neodvratitelnou okolností či událostí</w:t>
      </w:r>
      <w:r>
        <w:rPr>
          <w:szCs w:val="22"/>
        </w:rPr>
        <w:t>.</w:t>
      </w:r>
    </w:p>
    <w:p w14:paraId="2F4445B9" w14:textId="77777777" w:rsidR="002116AD" w:rsidRDefault="00D30A7C" w:rsidP="00F23ED2">
      <w:pPr>
        <w:pStyle w:val="SBSSmlouva"/>
        <w:numPr>
          <w:ilvl w:val="1"/>
          <w:numId w:val="13"/>
        </w:numPr>
        <w:ind w:left="426" w:hanging="426"/>
      </w:pPr>
      <w:r>
        <w:t>Termíny odstranění vady, jež neodpovídá účelu smlouvy a požadavkům uvedeným ve smlouvě, příslušným právním předpisům, normám nebo dokumentaci, jsou uvedeny v příloze č. 1 této smlouvy.</w:t>
      </w:r>
    </w:p>
    <w:p w14:paraId="69338FD0" w14:textId="6154ABD3" w:rsidR="002116AD" w:rsidRDefault="00D30A7C" w:rsidP="00F23ED2">
      <w:pPr>
        <w:pStyle w:val="SBSSmlouva"/>
        <w:numPr>
          <w:ilvl w:val="1"/>
          <w:numId w:val="13"/>
        </w:numPr>
        <w:ind w:left="426" w:hanging="426"/>
      </w:pPr>
      <w:r>
        <w:t xml:space="preserve">Objednatel je povinen umožnit </w:t>
      </w:r>
      <w:r w:rsidR="004618F0">
        <w:t>poskytovatel</w:t>
      </w:r>
      <w:r>
        <w:t>i odstranění vady.</w:t>
      </w:r>
    </w:p>
    <w:p w14:paraId="7A2114F2" w14:textId="13BA6BC2" w:rsidR="002116AD" w:rsidRDefault="00D30A7C" w:rsidP="00F23ED2">
      <w:pPr>
        <w:pStyle w:val="SBSSmlouva"/>
        <w:numPr>
          <w:ilvl w:val="1"/>
          <w:numId w:val="13"/>
        </w:numPr>
        <w:ind w:left="426" w:hanging="426"/>
      </w:pPr>
      <w:r>
        <w:t xml:space="preserve">Smluvní strany se dohodly, že objednatel je povinen zajistit pro odstranění vad technické podmínky dálkového přístupu pro pracovníky </w:t>
      </w:r>
      <w:r w:rsidR="001303EC">
        <w:t>poskytovatele,</w:t>
      </w:r>
      <w:r>
        <w:t xml:space="preserve"> a to pro každý jednotlivý případ požadavku na servisní zásah. Formu zabezpečení definuje objednatel. </w:t>
      </w:r>
    </w:p>
    <w:p w14:paraId="622D87D1" w14:textId="77777777" w:rsidR="002116AD" w:rsidRDefault="00D30A7C" w:rsidP="001F41ED">
      <w:pPr>
        <w:pStyle w:val="JVS2"/>
      </w:pPr>
      <w:r>
        <w:t>Sankční ujednání</w:t>
      </w:r>
    </w:p>
    <w:p w14:paraId="07C0392B" w14:textId="077BF481" w:rsidR="002116AD" w:rsidRDefault="00D30A7C" w:rsidP="00F23ED2">
      <w:pPr>
        <w:pStyle w:val="SBSSmlouva"/>
        <w:numPr>
          <w:ilvl w:val="1"/>
          <w:numId w:val="6"/>
        </w:numPr>
        <w:tabs>
          <w:tab w:val="num" w:pos="1065"/>
        </w:tabs>
        <w:ind w:left="426" w:hanging="426"/>
      </w:pPr>
      <w:r>
        <w:t xml:space="preserve">V případě nedodržení termínu </w:t>
      </w:r>
      <w:r w:rsidR="00FA34BE">
        <w:t>plnění</w:t>
      </w:r>
      <w:r>
        <w:t xml:space="preserve"> dle této smlouvy dle čl. </w:t>
      </w:r>
      <w:r w:rsidR="00153363">
        <w:t>I</w:t>
      </w:r>
      <w:r>
        <w:t>V. odst. 2</w:t>
      </w:r>
      <w:r w:rsidR="00FD64A0">
        <w:t xml:space="preserve"> a 3</w:t>
      </w:r>
      <w:r>
        <w:t xml:space="preserve">., ze strany </w:t>
      </w:r>
      <w:r w:rsidR="004618F0">
        <w:t>poskytovatel</w:t>
      </w:r>
      <w:r>
        <w:t xml:space="preserve">e, je </w:t>
      </w:r>
      <w:r w:rsidR="004618F0">
        <w:t>poskytovatel</w:t>
      </w:r>
      <w:r>
        <w:t xml:space="preserve"> povinen zaplatit objednateli smluvní pokutu ve výši 0,</w:t>
      </w:r>
      <w:r w:rsidR="00B22A4C">
        <w:t>05</w:t>
      </w:r>
      <w:r>
        <w:t xml:space="preserve"> % z</w:t>
      </w:r>
      <w:r w:rsidR="00AC02A5">
        <w:t> </w:t>
      </w:r>
      <w:r w:rsidR="00F252E6">
        <w:t>roční ceny</w:t>
      </w:r>
      <w:r w:rsidR="001249E2">
        <w:t xml:space="preserve"> </w:t>
      </w:r>
      <w:r w:rsidR="00AC02A5">
        <w:t xml:space="preserve">nedodaných licencí </w:t>
      </w:r>
      <w:r w:rsidR="001249E2">
        <w:t xml:space="preserve">bez </w:t>
      </w:r>
      <w:r w:rsidR="00F252E6">
        <w:t>DPH ujednané</w:t>
      </w:r>
      <w:r w:rsidR="00A431FA">
        <w:t xml:space="preserve"> v </w:t>
      </w:r>
      <w:r>
        <w:t xml:space="preserve">čl. V. odst. 1. této </w:t>
      </w:r>
      <w:r w:rsidR="00F252E6">
        <w:t>smlouvy za</w:t>
      </w:r>
      <w:r>
        <w:t xml:space="preserve"> každý i započatý den</w:t>
      </w:r>
      <w:r w:rsidR="001624B9">
        <w:t xml:space="preserve"> prodlení</w:t>
      </w:r>
      <w:r w:rsidR="007E57AB">
        <w:t>.</w:t>
      </w:r>
      <w:r>
        <w:t xml:space="preserve"> </w:t>
      </w:r>
    </w:p>
    <w:p w14:paraId="745DCABC" w14:textId="09B1440C" w:rsidR="002116AD" w:rsidRDefault="00D30A7C" w:rsidP="00F23ED2">
      <w:pPr>
        <w:pStyle w:val="Odstavec1"/>
        <w:numPr>
          <w:ilvl w:val="1"/>
          <w:numId w:val="20"/>
        </w:numPr>
        <w:ind w:left="425" w:hanging="425"/>
      </w:pPr>
      <w:r>
        <w:t xml:space="preserve">V případě </w:t>
      </w:r>
      <w:r w:rsidR="003F70E5">
        <w:t xml:space="preserve">nedodržení termínů k odstranění vady </w:t>
      </w:r>
      <w:r>
        <w:t xml:space="preserve">uvedených v příloze č. 1 této smlouvy, je </w:t>
      </w:r>
      <w:r w:rsidR="004618F0">
        <w:t>poskytovatel</w:t>
      </w:r>
      <w:r>
        <w:t xml:space="preserve"> povinen zaplatit objednateli smluvní pokutu ve výši </w:t>
      </w:r>
      <w:r w:rsidR="001B7D98">
        <w:t>1 0</w:t>
      </w:r>
      <w:r>
        <w:t>00,- Kč bez DPH za každý i</w:t>
      </w:r>
      <w:r w:rsidR="008C7DD6">
        <w:t> </w:t>
      </w:r>
      <w:r>
        <w:t>započatý den prodlení a za každý jednotlivý případ.</w:t>
      </w:r>
    </w:p>
    <w:p w14:paraId="1F595C20" w14:textId="4DA7AAAC" w:rsidR="00151D00" w:rsidRDefault="00A32C37" w:rsidP="00F23ED2">
      <w:pPr>
        <w:pStyle w:val="Odstavec1"/>
        <w:numPr>
          <w:ilvl w:val="1"/>
          <w:numId w:val="20"/>
        </w:numPr>
        <w:ind w:left="425" w:hanging="425"/>
      </w:pPr>
      <w:r w:rsidRPr="00A32C37">
        <w:t xml:space="preserve">V případě nesplnění jakýchkoliv dalších povinností </w:t>
      </w:r>
      <w:r>
        <w:t>poskytovatele</w:t>
      </w:r>
      <w:r w:rsidRPr="00A32C37">
        <w:t xml:space="preserve"> vyplývajících z této smlouvy, mimo povinností uvedených výše v tomto článku smlouvy, je </w:t>
      </w:r>
      <w:r>
        <w:t>poskytovatel</w:t>
      </w:r>
      <w:r w:rsidRPr="00A32C37">
        <w:t xml:space="preserve"> povinen zaplatit </w:t>
      </w:r>
      <w:r>
        <w:t>objednateli</w:t>
      </w:r>
      <w:r w:rsidRPr="00A32C37">
        <w:t xml:space="preserve"> smluvní pokutu ve výši 1 000,-Kč za každý zjištěný případ porušení smlouvy</w:t>
      </w:r>
      <w:r w:rsidR="001B7D98">
        <w:t>.</w:t>
      </w:r>
    </w:p>
    <w:p w14:paraId="64CD73FD" w14:textId="4BA548FD" w:rsidR="002116AD" w:rsidRDefault="00D30A7C" w:rsidP="00A34C96">
      <w:pPr>
        <w:pStyle w:val="SBSSmlouva"/>
        <w:numPr>
          <w:ilvl w:val="1"/>
          <w:numId w:val="6"/>
        </w:numPr>
        <w:ind w:left="426" w:hanging="426"/>
      </w:pPr>
      <w:r>
        <w:t xml:space="preserve">Pro případ prodlení se zaplacením dohodnuté </w:t>
      </w:r>
      <w:r w:rsidR="003F6EEF">
        <w:t>ceny v</w:t>
      </w:r>
      <w:r>
        <w:t> rozporu s platebními podmínkami sjednanými v této smlouvě, je objednatel povinen zaplatit úrok z prodlení ve výši 0,0</w:t>
      </w:r>
      <w:r w:rsidR="003F6EEF">
        <w:t>1</w:t>
      </w:r>
      <w:r>
        <w:t>5 % z dlužné částky za každý i započatý den prodlení</w:t>
      </w:r>
      <w:r w:rsidR="00A34C96">
        <w:t xml:space="preserve"> a za každý jednotlivý případ</w:t>
      </w:r>
      <w:r>
        <w:t>.</w:t>
      </w:r>
    </w:p>
    <w:p w14:paraId="38E7AC65" w14:textId="77777777" w:rsidR="002116AD" w:rsidRDefault="00D30A7C" w:rsidP="00F23ED2">
      <w:pPr>
        <w:pStyle w:val="SBSSmlouva"/>
        <w:numPr>
          <w:ilvl w:val="1"/>
          <w:numId w:val="6"/>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2ACD5F5B" w14:textId="77777777" w:rsidR="002116AD" w:rsidRDefault="00D30A7C" w:rsidP="00F23ED2">
      <w:pPr>
        <w:pStyle w:val="SBSSmlouva"/>
        <w:numPr>
          <w:ilvl w:val="1"/>
          <w:numId w:val="6"/>
        </w:numPr>
        <w:ind w:left="426" w:hanging="426"/>
      </w:pPr>
      <w:r>
        <w:t>Smluvní pokuty se nevztahují na zásahy vyšší moci, která způsobí havárii, poruchu, nutnost servisního zásahu nebo výpadek služeb.</w:t>
      </w:r>
    </w:p>
    <w:p w14:paraId="23CFF689" w14:textId="77777777" w:rsidR="002116AD" w:rsidRDefault="00D30A7C" w:rsidP="00F23ED2">
      <w:pPr>
        <w:pStyle w:val="SBSSmlouva"/>
        <w:numPr>
          <w:ilvl w:val="1"/>
          <w:numId w:val="6"/>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7C319C64" w14:textId="3A2A5ED1" w:rsidR="002116AD" w:rsidRDefault="00D30A7C" w:rsidP="00F23ED2">
      <w:pPr>
        <w:pStyle w:val="SBSSmlouva"/>
        <w:numPr>
          <w:ilvl w:val="1"/>
          <w:numId w:val="6"/>
        </w:numPr>
        <w:ind w:left="426" w:hanging="426"/>
      </w:pPr>
      <w:r>
        <w:t>Smluvní pokuty sjednané touto smlouvou zaplatí povinná strana nezávisle na zavinění a</w:t>
      </w:r>
      <w:r w:rsidR="008C7DD6">
        <w:t> </w:t>
      </w:r>
      <w:r>
        <w:t>na tom, zda a v jaké výši vznikne druhé straně škoda, kterou lze vymáhat samostatně.</w:t>
      </w:r>
    </w:p>
    <w:p w14:paraId="16499221" w14:textId="77777777" w:rsidR="002116AD" w:rsidRDefault="00D30A7C" w:rsidP="00F23ED2">
      <w:pPr>
        <w:pStyle w:val="SBSSmlouva"/>
        <w:numPr>
          <w:ilvl w:val="1"/>
          <w:numId w:val="6"/>
        </w:numPr>
        <w:ind w:left="426" w:hanging="426"/>
      </w:pPr>
      <w:r>
        <w:t>Smluvní pokuty se nezapočítávají na náhradu případně vzniklé škody. Objednatel má právo na náhradu škody v plné výši vedle smluvní pokuty.</w:t>
      </w:r>
    </w:p>
    <w:p w14:paraId="1F77C1C0" w14:textId="316012A4" w:rsidR="002116AD" w:rsidRDefault="00D30A7C" w:rsidP="00F23ED2">
      <w:pPr>
        <w:pStyle w:val="SBSSmlouva"/>
        <w:numPr>
          <w:ilvl w:val="1"/>
          <w:numId w:val="6"/>
        </w:numPr>
        <w:ind w:left="426" w:hanging="426"/>
      </w:pPr>
      <w:r>
        <w:t xml:space="preserve">Smluvní pokuty je objednatel oprávněn započíst proti pohledávce </w:t>
      </w:r>
      <w:r w:rsidR="004618F0">
        <w:t>poskytovatel</w:t>
      </w:r>
      <w:r>
        <w:t>e.</w:t>
      </w:r>
    </w:p>
    <w:p w14:paraId="50509A59" w14:textId="77777777" w:rsidR="002116AD" w:rsidRDefault="00D30A7C" w:rsidP="001F41ED">
      <w:pPr>
        <w:pStyle w:val="JVS2"/>
      </w:pPr>
      <w:r>
        <w:lastRenderedPageBreak/>
        <w:t>Závěrečná ustanovení</w:t>
      </w:r>
    </w:p>
    <w:p w14:paraId="3F3E19A1" w14:textId="755A09A3" w:rsidR="002116AD" w:rsidRDefault="00D30A7C" w:rsidP="00F23ED2">
      <w:pPr>
        <w:pStyle w:val="SBSSmlouva"/>
        <w:numPr>
          <w:ilvl w:val="1"/>
          <w:numId w:val="7"/>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B22426">
        <w:t>05872</w:t>
      </w:r>
      <w:r>
        <w:t>/RM</w:t>
      </w:r>
      <w:r w:rsidR="00D12FDF">
        <w:t>2226</w:t>
      </w:r>
      <w:r>
        <w:t>/</w:t>
      </w:r>
      <w:r w:rsidR="00B22426">
        <w:t>85</w:t>
      </w:r>
      <w:r>
        <w:t xml:space="preserve"> ze dne </w:t>
      </w:r>
      <w:r w:rsidR="00B22426">
        <w:t>19</w:t>
      </w:r>
      <w:r>
        <w:t xml:space="preserve">. </w:t>
      </w:r>
      <w:r w:rsidR="00B22426">
        <w:t>11</w:t>
      </w:r>
      <w:r>
        <w:t>. 202</w:t>
      </w:r>
      <w:r w:rsidR="00D12FDF">
        <w:t>4</w:t>
      </w:r>
      <w:r>
        <w:t>, kterým bylo rozhodnuto o zadání veřejné zakázky malého rozsahu</w:t>
      </w:r>
      <w:r w:rsidR="00B92D8B">
        <w:t xml:space="preserve"> s názvem </w:t>
      </w:r>
      <w:r w:rsidR="006E3503">
        <w:t>„</w:t>
      </w:r>
      <w:r w:rsidR="005B0726">
        <w:t>Software pro s</w:t>
      </w:r>
      <w:r w:rsidR="00A34C96">
        <w:t>práv</w:t>
      </w:r>
      <w:r w:rsidR="005B0726">
        <w:t>u</w:t>
      </w:r>
      <w:r w:rsidR="00A34C96">
        <w:t xml:space="preserve"> </w:t>
      </w:r>
      <w:r w:rsidR="00692520">
        <w:t>koncových zařízení</w:t>
      </w:r>
      <w:r w:rsidR="006E3503">
        <w:t>“</w:t>
      </w:r>
      <w:r>
        <w:t>.</w:t>
      </w:r>
    </w:p>
    <w:p w14:paraId="4C6A1266" w14:textId="77777777" w:rsidR="002116AD" w:rsidRDefault="00D30A7C" w:rsidP="00F23ED2">
      <w:pPr>
        <w:pStyle w:val="SBSSmlouva"/>
        <w:numPr>
          <w:ilvl w:val="1"/>
          <w:numId w:val="7"/>
        </w:numPr>
        <w:ind w:left="426" w:hanging="426"/>
        <w:rPr>
          <w:rFonts w:cs="Arial"/>
          <w:szCs w:val="22"/>
        </w:rPr>
      </w:pPr>
      <w:r>
        <w:t>Smlouva nabývá účinnosti dnem jejího uveřejnění v celostátním Registru smluv.</w:t>
      </w:r>
    </w:p>
    <w:p w14:paraId="1C50B5E3" w14:textId="395FB063" w:rsidR="002116AD" w:rsidRDefault="00D30A7C" w:rsidP="00F23ED2">
      <w:pPr>
        <w:pStyle w:val="SBSSmlouva"/>
        <w:numPr>
          <w:ilvl w:val="1"/>
          <w:numId w:val="7"/>
        </w:numPr>
        <w:ind w:left="426" w:hanging="426"/>
        <w:rPr>
          <w:rFonts w:cs="Arial"/>
          <w:szCs w:val="22"/>
        </w:rPr>
      </w:pPr>
      <w:r>
        <w:t xml:space="preserve">Smlouva se uzavírá na dobu určitou </w:t>
      </w:r>
      <w:r w:rsidR="00E84BBB" w:rsidRPr="00531132">
        <w:t>do uplynutí</w:t>
      </w:r>
      <w:r w:rsidRPr="00531132">
        <w:t xml:space="preserve"> </w:t>
      </w:r>
      <w:r w:rsidR="00CD0BDA" w:rsidRPr="00531132">
        <w:t>36</w:t>
      </w:r>
      <w:r w:rsidRPr="00531132">
        <w:t xml:space="preserve"> měsíců</w:t>
      </w:r>
      <w:r w:rsidR="00FD5D47" w:rsidRPr="00531132">
        <w:t xml:space="preserve"> od</w:t>
      </w:r>
      <w:r w:rsidR="00FD5D47">
        <w:t xml:space="preserve"> data zahájení poskytování </w:t>
      </w:r>
      <w:r w:rsidR="00A34C96">
        <w:t>maintenance</w:t>
      </w:r>
      <w:r w:rsidR="00FD5D47">
        <w:t>.</w:t>
      </w:r>
    </w:p>
    <w:p w14:paraId="49AE008E" w14:textId="77777777" w:rsidR="002116AD" w:rsidRDefault="00D30A7C" w:rsidP="00F23ED2">
      <w:pPr>
        <w:pStyle w:val="SBSSmlouva"/>
        <w:numPr>
          <w:ilvl w:val="1"/>
          <w:numId w:val="7"/>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33581C68" w14:textId="77777777" w:rsidR="002116AD" w:rsidRDefault="00D30A7C" w:rsidP="00F23ED2">
      <w:pPr>
        <w:pStyle w:val="SBSSmlouva"/>
        <w:numPr>
          <w:ilvl w:val="1"/>
          <w:numId w:val="7"/>
        </w:numPr>
        <w:ind w:left="426" w:hanging="42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468CEF" w14:textId="1CFFB63C" w:rsidR="002116AD" w:rsidRDefault="00D30A7C" w:rsidP="00F23ED2">
      <w:pPr>
        <w:pStyle w:val="SBSSmlouva"/>
        <w:numPr>
          <w:ilvl w:val="1"/>
          <w:numId w:val="7"/>
        </w:numPr>
        <w:ind w:left="426" w:hanging="426"/>
      </w:pPr>
      <w:r>
        <w:t>Změnit nebo doplnit tuto smlouvu mohou smluvní strany pouze formou písemných dodatků (s výjimkou vyhrazených změn), které budou vzestupně číslovány, výslovně prohlášeny za dodatek této smlouvy a podepsány oprávněnými zástupci smluvních stran. Za písemnou formu nebude pro tento účel považována výměna e-mailových zpráv</w:t>
      </w:r>
      <w:r w:rsidR="00A34C96">
        <w:t xml:space="preserve"> či jiných elektronických zpráv</w:t>
      </w:r>
      <w:r>
        <w:t>.</w:t>
      </w:r>
    </w:p>
    <w:p w14:paraId="6B998DC7" w14:textId="0A06EE09" w:rsidR="002116AD" w:rsidRDefault="009511CF" w:rsidP="00F23ED2">
      <w:pPr>
        <w:pStyle w:val="SBSSmlouva"/>
        <w:numPr>
          <w:ilvl w:val="1"/>
          <w:numId w:val="7"/>
        </w:numPr>
        <w:ind w:left="426" w:hanging="426"/>
      </w:pPr>
      <w:r>
        <w:t xml:space="preserve">Smluvní strany mohou ukončit smluvní vztah </w:t>
      </w:r>
      <w:r w:rsidR="00D30A7C">
        <w:t>písemnou dohodou.</w:t>
      </w:r>
    </w:p>
    <w:p w14:paraId="60C21609" w14:textId="77777777" w:rsidR="002116AD" w:rsidRDefault="00D30A7C" w:rsidP="00F23ED2">
      <w:pPr>
        <w:pStyle w:val="SBSSmlouva"/>
        <w:numPr>
          <w:ilvl w:val="1"/>
          <w:numId w:val="7"/>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10D45022" w14:textId="237AFDD3" w:rsidR="002116AD" w:rsidRDefault="00D30A7C" w:rsidP="00F23ED2">
      <w:pPr>
        <w:pStyle w:val="SBSSmlouva"/>
        <w:numPr>
          <w:ilvl w:val="1"/>
          <w:numId w:val="7"/>
        </w:numPr>
        <w:ind w:left="426" w:hanging="426"/>
        <w:rPr>
          <w:szCs w:val="22"/>
        </w:rPr>
      </w:pPr>
      <w:r>
        <w:t xml:space="preserve">V případě zániku závazku před jeho řádným splněním je </w:t>
      </w:r>
      <w:r w:rsidR="004618F0">
        <w:t>poskytovatel</w:t>
      </w:r>
      <w:r>
        <w:t xml:space="preserve"> povinen ihned předat objednateli nedokončené plnění včetně věcí, které opatřil a které jsou součástí předmětu této smlouvy a uhradit případně vzniklou škodu. Objednatel je povinen uhradit </w:t>
      </w:r>
      <w:r w:rsidR="004618F0">
        <w:t>poskytovatel</w:t>
      </w:r>
      <w:r>
        <w:t>i cenu věcí, které opatřil a které se staly součástí předmětu této smlouvy. Smluvní strany uzavřou dohodu, ve které upraví vzájemná práva a povinnosti.</w:t>
      </w:r>
    </w:p>
    <w:p w14:paraId="3C12DB4E" w14:textId="685D8A4A" w:rsidR="002116AD" w:rsidRDefault="004F3985" w:rsidP="00F23ED2">
      <w:pPr>
        <w:pStyle w:val="SBSSmlouva"/>
        <w:numPr>
          <w:ilvl w:val="1"/>
          <w:numId w:val="7"/>
        </w:numPr>
        <w:ind w:left="426" w:hanging="426"/>
      </w:pPr>
      <w:r>
        <w:t>Poskytovatel</w:t>
      </w:r>
      <w:r w:rsidR="00D30A7C">
        <w:t xml:space="preserve"> nemůže bez souhlasu objednatele postoupit svá práva a povinnosti plynoucí ze smlouvy, ani tuto smlouvu, třetí osobě.</w:t>
      </w:r>
    </w:p>
    <w:p w14:paraId="3A740698" w14:textId="7147C46C" w:rsidR="002116AD" w:rsidRDefault="0045447A" w:rsidP="00F23ED2">
      <w:pPr>
        <w:pStyle w:val="SBSSmlouva"/>
        <w:numPr>
          <w:ilvl w:val="1"/>
          <w:numId w:val="7"/>
        </w:numPr>
        <w:ind w:left="426" w:hanging="426"/>
      </w:pPr>
      <w:r w:rsidRPr="0045447A">
        <w:t>Ukáže-li se některé z ustanovení této smlouvy zdánlivým (nicotným), posoudí se vliv této vady na ostatní ustanovení smlouvy obdobně podle § 576 občanského zákoníku</w:t>
      </w:r>
      <w:r w:rsidR="00D30A7C">
        <w:t>.</w:t>
      </w:r>
    </w:p>
    <w:p w14:paraId="46EEF552" w14:textId="0A34EBC4" w:rsidR="002116AD" w:rsidRDefault="004F3985" w:rsidP="00F23ED2">
      <w:pPr>
        <w:pStyle w:val="SBSSmlouva"/>
        <w:numPr>
          <w:ilvl w:val="1"/>
          <w:numId w:val="7"/>
        </w:numPr>
        <w:ind w:left="426" w:hanging="426"/>
      </w:pPr>
      <w:r>
        <w:t>Poskytovatel</w:t>
      </w:r>
      <w:r w:rsidR="00D30A7C">
        <w:t xml:space="preserve"> je povinen poskytovat objednateli veškeré informace, doklady apod. písemnou formou.</w:t>
      </w:r>
    </w:p>
    <w:p w14:paraId="58462F31" w14:textId="77777777" w:rsidR="002116AD" w:rsidRDefault="00D30A7C" w:rsidP="00F23ED2">
      <w:pPr>
        <w:pStyle w:val="SBSSmlouva"/>
        <w:numPr>
          <w:ilvl w:val="1"/>
          <w:numId w:val="7"/>
        </w:numPr>
        <w:ind w:left="426" w:hanging="426"/>
      </w:pPr>
      <w:r>
        <w:t>Písemnosti se považují za doručené i v případě, že kterákoliv ze stran její doručení odmítne či jinak znemožní.</w:t>
      </w:r>
    </w:p>
    <w:p w14:paraId="178D53EE" w14:textId="77777777" w:rsidR="002116AD" w:rsidRDefault="00D30A7C" w:rsidP="00F23ED2">
      <w:pPr>
        <w:pStyle w:val="SBSSmlouva"/>
        <w:numPr>
          <w:ilvl w:val="1"/>
          <w:numId w:val="7"/>
        </w:numPr>
        <w:ind w:left="426" w:hanging="426"/>
      </w:pPr>
      <w:r>
        <w:t xml:space="preserve">Vše, co bylo dohodnuto před uzavřením smlouvy, je právně irelevantní a mezi smluvními stranami platí jen to, co je dohodnuto v této písemné smlouvě. </w:t>
      </w:r>
    </w:p>
    <w:p w14:paraId="23D97EDF" w14:textId="77777777" w:rsidR="002116AD" w:rsidRDefault="00D30A7C" w:rsidP="00F23ED2">
      <w:pPr>
        <w:pStyle w:val="SBSSmlouva"/>
        <w:numPr>
          <w:ilvl w:val="1"/>
          <w:numId w:val="7"/>
        </w:numPr>
        <w:ind w:left="426" w:hanging="426"/>
      </w:pPr>
      <w:r>
        <w:t>Tato smlouva je uzavřena v elektronické podobě.</w:t>
      </w:r>
    </w:p>
    <w:p w14:paraId="69E4E755" w14:textId="77777777" w:rsidR="002116AD" w:rsidRDefault="00D30A7C" w:rsidP="00F23ED2">
      <w:pPr>
        <w:pStyle w:val="SBSSmlouva"/>
        <w:numPr>
          <w:ilvl w:val="1"/>
          <w:numId w:val="7"/>
        </w:numPr>
        <w:ind w:left="426" w:hanging="426"/>
      </w:pPr>
      <w:r>
        <w:lastRenderedPageBreak/>
        <w:t>Smluvní strany shodně prohlašují, že si tuto smlouvu před jejím podepsáním přečetly, a že s jejím obsahem souhlasí.</w:t>
      </w:r>
    </w:p>
    <w:p w14:paraId="0D8B9C2C" w14:textId="77777777" w:rsidR="002116AD" w:rsidRDefault="00D30A7C" w:rsidP="00F23ED2">
      <w:pPr>
        <w:pStyle w:val="SBSSmlouva"/>
        <w:numPr>
          <w:ilvl w:val="1"/>
          <w:numId w:val="7"/>
        </w:numPr>
        <w:ind w:left="426" w:hanging="426"/>
      </w:pPr>
      <w:r>
        <w:t>Nedílnou součástí této smlouvy jsou následující přílohy:</w:t>
      </w:r>
    </w:p>
    <w:p w14:paraId="4733372C" w14:textId="4B64F5AE" w:rsidR="002116AD" w:rsidRDefault="00D30A7C" w:rsidP="00F451AA">
      <w:pPr>
        <w:pStyle w:val="SBSSmlouva"/>
        <w:spacing w:before="60"/>
        <w:ind w:left="709"/>
      </w:pPr>
      <w:r>
        <w:t>Příloha č. 1 – Podrobná specifikace předmětu plnění</w:t>
      </w:r>
      <w:r w:rsidR="00661A6D">
        <w:t xml:space="preserve"> a cenová kalkulace</w:t>
      </w:r>
    </w:p>
    <w:p w14:paraId="7B31F6AA" w14:textId="1E5D9EF0" w:rsidR="00F451AA" w:rsidRDefault="00F451AA" w:rsidP="00F451AA">
      <w:pPr>
        <w:pStyle w:val="SBSSmlouva"/>
        <w:spacing w:before="60"/>
        <w:ind w:left="709"/>
      </w:pPr>
    </w:p>
    <w:p w14:paraId="08A70F2B" w14:textId="77777777" w:rsidR="00F451AA" w:rsidRDefault="00F451AA" w:rsidP="00F451AA">
      <w:pPr>
        <w:pStyle w:val="SBSSmlouva"/>
        <w:spacing w:before="60"/>
        <w:ind w:left="709"/>
      </w:pPr>
    </w:p>
    <w:tbl>
      <w:tblPr>
        <w:tblW w:w="0" w:type="auto"/>
        <w:tblLook w:val="04A0" w:firstRow="1" w:lastRow="0" w:firstColumn="1" w:lastColumn="0" w:noHBand="0" w:noVBand="1"/>
      </w:tblPr>
      <w:tblGrid>
        <w:gridCol w:w="4626"/>
        <w:gridCol w:w="280"/>
        <w:gridCol w:w="4634"/>
      </w:tblGrid>
      <w:tr w:rsidR="001F7D3E" w:rsidRPr="001F7D3E" w14:paraId="73B74EA8" w14:textId="77777777" w:rsidTr="00DA7BF8">
        <w:trPr>
          <w:trHeight w:val="273"/>
        </w:trPr>
        <w:tc>
          <w:tcPr>
            <w:tcW w:w="4626" w:type="dxa"/>
            <w:tcBorders>
              <w:bottom w:val="single" w:sz="4" w:space="0" w:color="auto"/>
            </w:tcBorders>
            <w:shd w:val="clear" w:color="auto" w:fill="auto"/>
          </w:tcPr>
          <w:p w14:paraId="4AA4A9C9" w14:textId="7BE17D7C" w:rsidR="001F7D3E" w:rsidRPr="001F7D3E" w:rsidRDefault="001F7D3E" w:rsidP="001F7D3E">
            <w:pPr>
              <w:pStyle w:val="SBSSmlouva"/>
              <w:spacing w:before="60"/>
              <w:rPr>
                <w:b/>
              </w:rPr>
            </w:pPr>
            <w:r w:rsidRPr="001F7D3E">
              <w:rPr>
                <w:b/>
              </w:rPr>
              <w:t xml:space="preserve">Za </w:t>
            </w:r>
            <w:r>
              <w:rPr>
                <w:b/>
              </w:rPr>
              <w:t>objednatele</w:t>
            </w:r>
          </w:p>
        </w:tc>
        <w:tc>
          <w:tcPr>
            <w:tcW w:w="280" w:type="dxa"/>
            <w:shd w:val="clear" w:color="auto" w:fill="auto"/>
          </w:tcPr>
          <w:p w14:paraId="2A1264AE" w14:textId="77777777" w:rsidR="001F7D3E" w:rsidRPr="001F7D3E" w:rsidRDefault="001F7D3E" w:rsidP="001F7D3E">
            <w:pPr>
              <w:pStyle w:val="SBSSmlouva"/>
              <w:spacing w:before="60"/>
              <w:rPr>
                <w:b/>
              </w:rPr>
            </w:pPr>
          </w:p>
        </w:tc>
        <w:tc>
          <w:tcPr>
            <w:tcW w:w="4634" w:type="dxa"/>
            <w:tcBorders>
              <w:bottom w:val="single" w:sz="4" w:space="0" w:color="auto"/>
            </w:tcBorders>
            <w:shd w:val="clear" w:color="auto" w:fill="auto"/>
          </w:tcPr>
          <w:p w14:paraId="1EAD26D4" w14:textId="7DD5E2EF" w:rsidR="001F7D3E" w:rsidRPr="001F7D3E" w:rsidRDefault="001F7D3E" w:rsidP="001F7D3E">
            <w:pPr>
              <w:pStyle w:val="SBSSmlouva"/>
              <w:spacing w:before="60"/>
              <w:rPr>
                <w:b/>
              </w:rPr>
            </w:pPr>
            <w:r w:rsidRPr="001F7D3E">
              <w:rPr>
                <w:b/>
              </w:rPr>
              <w:t xml:space="preserve">Za </w:t>
            </w:r>
            <w:r w:rsidR="004618F0">
              <w:rPr>
                <w:b/>
              </w:rPr>
              <w:t>poskytovatel</w:t>
            </w:r>
            <w:r>
              <w:rPr>
                <w:b/>
              </w:rPr>
              <w:t>e</w:t>
            </w:r>
          </w:p>
        </w:tc>
      </w:tr>
      <w:tr w:rsidR="001F7D3E" w:rsidRPr="001F7D3E" w14:paraId="75D3AAAD" w14:textId="77777777" w:rsidTr="00DA7BF8">
        <w:trPr>
          <w:cantSplit/>
          <w:trHeight w:val="1134"/>
        </w:trPr>
        <w:tc>
          <w:tcPr>
            <w:tcW w:w="4626" w:type="dxa"/>
            <w:tcBorders>
              <w:bottom w:val="single" w:sz="4" w:space="0" w:color="auto"/>
            </w:tcBorders>
            <w:shd w:val="clear" w:color="auto" w:fill="auto"/>
          </w:tcPr>
          <w:p w14:paraId="5A517359" w14:textId="77777777" w:rsidR="001F7D3E" w:rsidRPr="001F7D3E" w:rsidRDefault="001F7D3E" w:rsidP="001F7D3E">
            <w:pPr>
              <w:pStyle w:val="SBSSmlouva"/>
              <w:spacing w:before="60"/>
              <w:rPr>
                <w:b/>
              </w:rPr>
            </w:pPr>
          </w:p>
        </w:tc>
        <w:tc>
          <w:tcPr>
            <w:tcW w:w="280" w:type="dxa"/>
            <w:shd w:val="clear" w:color="auto" w:fill="auto"/>
          </w:tcPr>
          <w:p w14:paraId="01C301F7" w14:textId="77777777" w:rsidR="001F7D3E" w:rsidRPr="001F7D3E" w:rsidRDefault="001F7D3E" w:rsidP="001F7D3E">
            <w:pPr>
              <w:pStyle w:val="SBSSmlouva"/>
              <w:spacing w:before="60"/>
              <w:rPr>
                <w:b/>
              </w:rPr>
            </w:pPr>
          </w:p>
        </w:tc>
        <w:tc>
          <w:tcPr>
            <w:tcW w:w="4634" w:type="dxa"/>
            <w:tcBorders>
              <w:bottom w:val="single" w:sz="4" w:space="0" w:color="auto"/>
            </w:tcBorders>
            <w:shd w:val="clear" w:color="auto" w:fill="auto"/>
          </w:tcPr>
          <w:p w14:paraId="312F1209" w14:textId="77777777" w:rsidR="001F7D3E" w:rsidRPr="001F7D3E" w:rsidRDefault="001F7D3E" w:rsidP="001F7D3E">
            <w:pPr>
              <w:pStyle w:val="SBSSmlouva"/>
              <w:spacing w:before="60"/>
              <w:rPr>
                <w:b/>
              </w:rPr>
            </w:pPr>
          </w:p>
        </w:tc>
      </w:tr>
      <w:tr w:rsidR="001F7D3E" w:rsidRPr="001F7D3E" w14:paraId="26E2DC05" w14:textId="77777777" w:rsidTr="00DA7BF8">
        <w:tc>
          <w:tcPr>
            <w:tcW w:w="4626" w:type="dxa"/>
            <w:tcBorders>
              <w:top w:val="single" w:sz="4" w:space="0" w:color="auto"/>
            </w:tcBorders>
            <w:shd w:val="clear" w:color="auto" w:fill="auto"/>
          </w:tcPr>
          <w:p w14:paraId="5447A3A9" w14:textId="77777777" w:rsidR="001F7D3E" w:rsidRPr="001F7D3E" w:rsidRDefault="001F7D3E" w:rsidP="001F7D3E">
            <w:pPr>
              <w:pStyle w:val="SBSSmlouva"/>
              <w:spacing w:before="60"/>
              <w:rPr>
                <w:bCs/>
              </w:rPr>
            </w:pPr>
            <w:r w:rsidRPr="001F7D3E">
              <w:rPr>
                <w:b/>
              </w:rPr>
              <w:t>Mgr. Andrea Hoffmannová, Ph.D.</w:t>
            </w:r>
            <w:r w:rsidRPr="001F7D3E">
              <w:rPr>
                <w:bCs/>
              </w:rPr>
              <w:t xml:space="preserve"> </w:t>
            </w:r>
          </w:p>
          <w:p w14:paraId="5B5E6B20" w14:textId="77777777" w:rsidR="001F7D3E" w:rsidRPr="001F7D3E" w:rsidRDefault="001F7D3E" w:rsidP="001F7D3E">
            <w:pPr>
              <w:pStyle w:val="SBSSmlouva"/>
              <w:spacing w:before="60"/>
              <w:rPr>
                <w:bCs/>
              </w:rPr>
            </w:pPr>
            <w:r w:rsidRPr="001F7D3E">
              <w:rPr>
                <w:bCs/>
              </w:rPr>
              <w:t>náměstkyně primátora</w:t>
            </w:r>
          </w:p>
          <w:p w14:paraId="50409792" w14:textId="77777777" w:rsidR="001F7D3E" w:rsidRPr="001F7D3E" w:rsidRDefault="001F7D3E" w:rsidP="001F7D3E">
            <w:pPr>
              <w:pStyle w:val="SBSSmlouva"/>
              <w:spacing w:before="60"/>
              <w:rPr>
                <w:bCs/>
              </w:rPr>
            </w:pPr>
            <w:r w:rsidRPr="001F7D3E">
              <w:rPr>
                <w:bCs/>
              </w:rPr>
              <w:t>na základě plné moci</w:t>
            </w:r>
          </w:p>
        </w:tc>
        <w:tc>
          <w:tcPr>
            <w:tcW w:w="280" w:type="dxa"/>
            <w:shd w:val="clear" w:color="auto" w:fill="auto"/>
          </w:tcPr>
          <w:p w14:paraId="590399EC" w14:textId="77777777" w:rsidR="001F7D3E" w:rsidRPr="001F7D3E" w:rsidRDefault="001F7D3E" w:rsidP="001F7D3E">
            <w:pPr>
              <w:pStyle w:val="SBSSmlouva"/>
              <w:rPr>
                <w:b/>
              </w:rPr>
            </w:pPr>
          </w:p>
        </w:tc>
        <w:tc>
          <w:tcPr>
            <w:tcW w:w="4634" w:type="dxa"/>
            <w:tcBorders>
              <w:top w:val="single" w:sz="4" w:space="0" w:color="auto"/>
            </w:tcBorders>
            <w:shd w:val="clear" w:color="auto" w:fill="auto"/>
          </w:tcPr>
          <w:p w14:paraId="7A34E36C" w14:textId="1676D713" w:rsidR="001F7D3E" w:rsidRPr="001F7D3E" w:rsidRDefault="0050095B" w:rsidP="001F7D3E">
            <w:pPr>
              <w:pStyle w:val="SBSSmlouva"/>
              <w:rPr>
                <w:b/>
                <w:bCs/>
              </w:rPr>
            </w:pPr>
            <w:r>
              <w:rPr>
                <w:b/>
              </w:rPr>
              <w:t>Ing. Roman Karásek, Vít Čapek</w:t>
            </w:r>
          </w:p>
          <w:p w14:paraId="5A05ADA1" w14:textId="686197C2" w:rsidR="001F7D3E" w:rsidRPr="001F7D3E" w:rsidRDefault="0050095B" w:rsidP="001F7D3E">
            <w:pPr>
              <w:pStyle w:val="SBSSmlouva"/>
              <w:spacing w:before="60"/>
              <w:rPr>
                <w:b/>
              </w:rPr>
            </w:pPr>
            <w:r>
              <w:t>jednatelé společnosti</w:t>
            </w:r>
          </w:p>
        </w:tc>
      </w:tr>
      <w:tr w:rsidR="001F7D3E" w:rsidRPr="001F7D3E" w14:paraId="17EB3915" w14:textId="77777777" w:rsidTr="00DA7BF8">
        <w:tc>
          <w:tcPr>
            <w:tcW w:w="4626" w:type="dxa"/>
            <w:shd w:val="clear" w:color="auto" w:fill="auto"/>
          </w:tcPr>
          <w:p w14:paraId="681F802F" w14:textId="77777777" w:rsidR="001F7D3E" w:rsidRPr="001F7D3E" w:rsidRDefault="001F7D3E" w:rsidP="001F7D3E">
            <w:pPr>
              <w:pStyle w:val="SBSSmlouva"/>
              <w:rPr>
                <w:b/>
                <w:bCs/>
              </w:rPr>
            </w:pPr>
            <w:r w:rsidRPr="001F7D3E">
              <w:t>„podepsáno elektronicky“</w:t>
            </w:r>
          </w:p>
        </w:tc>
        <w:tc>
          <w:tcPr>
            <w:tcW w:w="280" w:type="dxa"/>
            <w:shd w:val="clear" w:color="auto" w:fill="auto"/>
          </w:tcPr>
          <w:p w14:paraId="1B857925" w14:textId="77777777" w:rsidR="001F7D3E" w:rsidRPr="001F7D3E" w:rsidRDefault="001F7D3E" w:rsidP="001F7D3E">
            <w:pPr>
              <w:pStyle w:val="SBSSmlouva"/>
              <w:rPr>
                <w:b/>
              </w:rPr>
            </w:pPr>
          </w:p>
        </w:tc>
        <w:tc>
          <w:tcPr>
            <w:tcW w:w="4634" w:type="dxa"/>
            <w:shd w:val="clear" w:color="auto" w:fill="auto"/>
          </w:tcPr>
          <w:p w14:paraId="6A8553C2" w14:textId="77777777" w:rsidR="001F7D3E" w:rsidRPr="001F7D3E" w:rsidRDefault="001F7D3E" w:rsidP="001F7D3E">
            <w:pPr>
              <w:pStyle w:val="SBSSmlouva"/>
              <w:rPr>
                <w:b/>
                <w:bCs/>
              </w:rPr>
            </w:pPr>
            <w:r w:rsidRPr="001F7D3E">
              <w:t>„podepsáno elektronicky“</w:t>
            </w:r>
          </w:p>
        </w:tc>
      </w:tr>
    </w:tbl>
    <w:p w14:paraId="12D86E53" w14:textId="77777777" w:rsidR="002116AD" w:rsidRDefault="002116AD">
      <w:pPr>
        <w:pStyle w:val="SBSSmlouva"/>
        <w:spacing w:before="60"/>
      </w:pPr>
    </w:p>
    <w:p w14:paraId="34D10EFD" w14:textId="612EBB89" w:rsidR="002116AD" w:rsidRDefault="002116AD">
      <w:pPr>
        <w:tabs>
          <w:tab w:val="left" w:pos="0"/>
          <w:tab w:val="left" w:pos="4990"/>
        </w:tabs>
        <w:rPr>
          <w:szCs w:val="22"/>
        </w:rPr>
      </w:pPr>
    </w:p>
    <w:p w14:paraId="5338E211" w14:textId="3E2E67E3" w:rsidR="002116AD" w:rsidRDefault="00D30A7C">
      <w:pPr>
        <w:pageBreakBefore/>
        <w:spacing w:after="240"/>
        <w:jc w:val="right"/>
        <w:outlineLvl w:val="0"/>
        <w:rPr>
          <w:rFonts w:ascii="Times New Roman" w:hAnsi="Times New Roman"/>
          <w:sz w:val="24"/>
          <w:szCs w:val="24"/>
        </w:rPr>
      </w:pPr>
      <w:r>
        <w:lastRenderedPageBreak/>
        <w:t>Příloha č. 1 ke smlouvě č.:</w:t>
      </w:r>
      <w:r>
        <w:tab/>
      </w:r>
      <w:r w:rsidR="00234EDD">
        <w:t>2784</w:t>
      </w:r>
      <w:r>
        <w:t>/202</w:t>
      </w:r>
      <w:r w:rsidR="0098349F">
        <w:t>4</w:t>
      </w:r>
      <w:r>
        <w:t>/IT</w:t>
      </w:r>
    </w:p>
    <w:p w14:paraId="48457E11" w14:textId="7D99D730" w:rsidR="002116AD" w:rsidRPr="00B3722D" w:rsidRDefault="00D30A7C">
      <w:pPr>
        <w:pStyle w:val="Default"/>
        <w:spacing w:before="120"/>
        <w:outlineLvl w:val="1"/>
        <w:rPr>
          <w:b/>
          <w:bCs/>
          <w:sz w:val="28"/>
          <w:szCs w:val="28"/>
        </w:rPr>
      </w:pPr>
      <w:r w:rsidRPr="00B3722D">
        <w:rPr>
          <w:b/>
          <w:bCs/>
          <w:sz w:val="28"/>
          <w:szCs w:val="28"/>
        </w:rPr>
        <w:t>Specifikace předmětu plnění</w:t>
      </w:r>
      <w:r w:rsidR="00661A6D">
        <w:rPr>
          <w:b/>
          <w:bCs/>
          <w:sz w:val="28"/>
          <w:szCs w:val="28"/>
        </w:rPr>
        <w:t xml:space="preserve"> a cenová kalkulace</w:t>
      </w:r>
    </w:p>
    <w:p w14:paraId="65DD53C6" w14:textId="77777777" w:rsidR="00BB59D8" w:rsidRPr="00BB59D8" w:rsidRDefault="00BB59D8" w:rsidP="00BB59D8">
      <w:pPr>
        <w:spacing w:before="360" w:line="276" w:lineRule="auto"/>
        <w:outlineLvl w:val="2"/>
        <w:rPr>
          <w:rFonts w:eastAsiaTheme="minorEastAsia" w:cs="Arial"/>
          <w:b/>
          <w:bCs/>
          <w:caps/>
          <w:color w:val="1F497D" w:themeColor="text2"/>
          <w:spacing w:val="15"/>
          <w:sz w:val="24"/>
          <w:szCs w:val="24"/>
        </w:rPr>
      </w:pPr>
      <w:r w:rsidRPr="00BB59D8">
        <w:rPr>
          <w:rFonts w:eastAsiaTheme="minorEastAsia" w:cs="Arial"/>
          <w:b/>
          <w:bCs/>
          <w:caps/>
          <w:color w:val="1F497D" w:themeColor="text2"/>
          <w:spacing w:val="15"/>
          <w:sz w:val="24"/>
          <w:szCs w:val="24"/>
        </w:rPr>
        <w:t>Technická specifikace produktu</w:t>
      </w:r>
    </w:p>
    <w:p w14:paraId="34598209" w14:textId="77777777" w:rsidR="0050095B" w:rsidRDefault="0050095B" w:rsidP="00BE1238">
      <w:pPr>
        <w:spacing w:before="200" w:after="200" w:line="276" w:lineRule="auto"/>
        <w:rPr>
          <w:rFonts w:ascii="CIDFont+F5" w:hAnsi="CIDFont+F5" w:cs="CIDFont+F5"/>
          <w:szCs w:val="22"/>
        </w:rPr>
      </w:pPr>
      <w:r>
        <w:rPr>
          <w:rFonts w:ascii="CIDFont+F5" w:hAnsi="CIDFont+F5" w:cs="CIDFont+F5"/>
          <w:szCs w:val="22"/>
        </w:rPr>
        <w:t>HP 3 Year Proactive Insights Services E-LTU</w:t>
      </w:r>
    </w:p>
    <w:p w14:paraId="2CE4CA7F" w14:textId="5131F7A2" w:rsidR="00E87116" w:rsidRDefault="00E87116" w:rsidP="00E87116">
      <w:pPr>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Požadavky na vlastnosti systému</w:t>
      </w:r>
    </w:p>
    <w:p w14:paraId="3C230A2F" w14:textId="77777777" w:rsidR="00E418FB" w:rsidRPr="00E418FB" w:rsidRDefault="00E418FB" w:rsidP="00E418FB">
      <w:pPr>
        <w:keepNext/>
        <w:spacing w:before="120" w:line="276" w:lineRule="auto"/>
        <w:rPr>
          <w:rFonts w:cs="Arial"/>
          <w:b/>
          <w:bCs/>
          <w:iCs/>
          <w:color w:val="000000"/>
        </w:rPr>
      </w:pPr>
      <w:r w:rsidRPr="00E418FB">
        <w:rPr>
          <w:rFonts w:cs="Arial"/>
          <w:b/>
          <w:bCs/>
          <w:iCs/>
          <w:color w:val="000000"/>
        </w:rPr>
        <w:t>Požadavky na systém pro monitoring a proaktivní správu koncových zařízení.</w:t>
      </w:r>
    </w:p>
    <w:p w14:paraId="274A7070" w14:textId="22416D5E" w:rsidR="00E418FB" w:rsidRPr="00E418FB" w:rsidRDefault="009171F1" w:rsidP="00E418FB">
      <w:pPr>
        <w:keepNext/>
        <w:spacing w:before="120" w:line="276" w:lineRule="auto"/>
        <w:rPr>
          <w:rFonts w:cs="Arial"/>
          <w:iCs/>
          <w:color w:val="000000"/>
        </w:rPr>
      </w:pPr>
      <w:r>
        <w:rPr>
          <w:rFonts w:cs="Arial"/>
          <w:iCs/>
          <w:color w:val="000000"/>
        </w:rPr>
        <w:t xml:space="preserve">Objednatel </w:t>
      </w:r>
      <w:r w:rsidR="00E418FB" w:rsidRPr="00E418FB">
        <w:rPr>
          <w:rFonts w:cs="Arial"/>
          <w:iCs/>
          <w:color w:val="000000"/>
        </w:rPr>
        <w:t xml:space="preserve">poptává dodávku systému, </w:t>
      </w:r>
      <w:r>
        <w:rPr>
          <w:rFonts w:cs="Arial"/>
          <w:iCs/>
          <w:color w:val="000000"/>
        </w:rPr>
        <w:t xml:space="preserve">umožňujícího </w:t>
      </w:r>
      <w:r w:rsidRPr="00E418FB">
        <w:rPr>
          <w:rFonts w:cs="Arial"/>
          <w:iCs/>
          <w:color w:val="000000"/>
        </w:rPr>
        <w:t>pomocí telemetrie a automatizace</w:t>
      </w:r>
      <w:r>
        <w:rPr>
          <w:rFonts w:cs="Arial"/>
          <w:iCs/>
          <w:color w:val="000000"/>
        </w:rPr>
        <w:t>,</w:t>
      </w:r>
      <w:r w:rsidR="00E418FB" w:rsidRPr="00E418FB">
        <w:rPr>
          <w:rFonts w:cs="Arial"/>
          <w:iCs/>
          <w:color w:val="000000"/>
        </w:rPr>
        <w:t xml:space="preserve"> měřit</w:t>
      </w:r>
      <w:r>
        <w:rPr>
          <w:rFonts w:cs="Arial"/>
          <w:iCs/>
          <w:color w:val="000000"/>
        </w:rPr>
        <w:t>,</w:t>
      </w:r>
      <w:r w:rsidR="00E418FB" w:rsidRPr="00E418FB">
        <w:rPr>
          <w:rFonts w:cs="Arial"/>
          <w:iCs/>
          <w:color w:val="000000"/>
        </w:rPr>
        <w:t xml:space="preserve"> sledovat a optimalizovat výkon koncového zařízení. </w:t>
      </w:r>
      <w:r>
        <w:rPr>
          <w:rFonts w:cs="Arial"/>
          <w:iCs/>
          <w:color w:val="000000"/>
        </w:rPr>
        <w:t xml:space="preserve">Dodaný systém musí poskytovat </w:t>
      </w:r>
      <w:r w:rsidR="00E418FB" w:rsidRPr="00E418FB">
        <w:rPr>
          <w:rFonts w:cs="Arial"/>
          <w:iCs/>
          <w:color w:val="000000"/>
        </w:rPr>
        <w:t>přehledy a doporučení pro optimalizaci výkonu koncových zařízení a identifik</w:t>
      </w:r>
      <w:r>
        <w:rPr>
          <w:rFonts w:cs="Arial"/>
          <w:iCs/>
          <w:color w:val="000000"/>
        </w:rPr>
        <w:t>ovat</w:t>
      </w:r>
      <w:r w:rsidR="00E418FB" w:rsidRPr="00E418FB">
        <w:rPr>
          <w:rFonts w:cs="Arial"/>
          <w:iCs/>
          <w:color w:val="000000"/>
        </w:rPr>
        <w:t xml:space="preserve"> možné problémy s</w:t>
      </w:r>
      <w:r>
        <w:rPr>
          <w:rFonts w:cs="Arial"/>
          <w:iCs/>
          <w:color w:val="000000"/>
        </w:rPr>
        <w:t> </w:t>
      </w:r>
      <w:r w:rsidR="00E418FB" w:rsidRPr="00E418FB">
        <w:rPr>
          <w:rFonts w:cs="Arial"/>
          <w:iCs/>
          <w:color w:val="000000"/>
        </w:rPr>
        <w:t>hardwarem</w:t>
      </w:r>
      <w:r>
        <w:rPr>
          <w:rFonts w:cs="Arial"/>
          <w:iCs/>
          <w:color w:val="000000"/>
        </w:rPr>
        <w:t xml:space="preserve"> zařízení</w:t>
      </w:r>
      <w:r w:rsidR="00E418FB" w:rsidRPr="00E418FB">
        <w:rPr>
          <w:rFonts w:cs="Arial"/>
          <w:iCs/>
          <w:color w:val="000000"/>
        </w:rPr>
        <w:t xml:space="preserve"> dříve, než k nim dojde. Řešení </w:t>
      </w:r>
      <w:r>
        <w:rPr>
          <w:rFonts w:cs="Arial"/>
          <w:iCs/>
          <w:color w:val="000000"/>
        </w:rPr>
        <w:t xml:space="preserve">bude </w:t>
      </w:r>
      <w:r w:rsidR="00E418FB" w:rsidRPr="00E418FB">
        <w:rPr>
          <w:rFonts w:cs="Arial"/>
          <w:iCs/>
          <w:color w:val="000000"/>
        </w:rPr>
        <w:t>poskyt</w:t>
      </w:r>
      <w:r>
        <w:rPr>
          <w:rFonts w:cs="Arial"/>
          <w:iCs/>
          <w:color w:val="000000"/>
        </w:rPr>
        <w:t>ovat</w:t>
      </w:r>
      <w:r w:rsidR="00E418FB" w:rsidRPr="00E418FB">
        <w:rPr>
          <w:rFonts w:cs="Arial"/>
          <w:iCs/>
          <w:color w:val="000000"/>
        </w:rPr>
        <w:t xml:space="preserve"> přehled o </w:t>
      </w:r>
      <w:r>
        <w:rPr>
          <w:rFonts w:cs="Arial"/>
          <w:iCs/>
          <w:color w:val="000000"/>
        </w:rPr>
        <w:t xml:space="preserve">instalovaném </w:t>
      </w:r>
      <w:r w:rsidR="00E418FB" w:rsidRPr="00E418FB">
        <w:rPr>
          <w:rFonts w:cs="Arial"/>
          <w:iCs/>
          <w:color w:val="000000"/>
        </w:rPr>
        <w:t xml:space="preserve">hardwaru a softwaru </w:t>
      </w:r>
      <w:r>
        <w:rPr>
          <w:rFonts w:cs="Arial"/>
          <w:iCs/>
          <w:color w:val="000000"/>
        </w:rPr>
        <w:t xml:space="preserve">na </w:t>
      </w:r>
      <w:r w:rsidR="00E418FB" w:rsidRPr="00E418FB">
        <w:rPr>
          <w:rFonts w:cs="Arial"/>
          <w:iCs/>
          <w:color w:val="000000"/>
        </w:rPr>
        <w:t>koncov</w:t>
      </w:r>
      <w:r>
        <w:rPr>
          <w:rFonts w:cs="Arial"/>
          <w:iCs/>
          <w:color w:val="000000"/>
        </w:rPr>
        <w:t>ém</w:t>
      </w:r>
      <w:r w:rsidR="00E418FB" w:rsidRPr="00E418FB">
        <w:rPr>
          <w:rFonts w:cs="Arial"/>
          <w:iCs/>
          <w:color w:val="000000"/>
        </w:rPr>
        <w:t xml:space="preserve"> zařízení napříč operačními systémy</w:t>
      </w:r>
      <w:r>
        <w:rPr>
          <w:rFonts w:cs="Arial"/>
          <w:iCs/>
          <w:color w:val="000000"/>
        </w:rPr>
        <w:t>.</w:t>
      </w:r>
    </w:p>
    <w:p w14:paraId="3EC751DF" w14:textId="77777777" w:rsidR="009015F0" w:rsidRPr="009015F0" w:rsidRDefault="009015F0" w:rsidP="009015F0">
      <w:pPr>
        <w:spacing w:before="200" w:after="200" w:line="276" w:lineRule="auto"/>
        <w:rPr>
          <w:rFonts w:asciiTheme="minorHAnsi" w:hAnsiTheme="minorHAnsi" w:cstheme="minorHAnsi"/>
          <w:i/>
          <w:color w:val="000000"/>
        </w:rPr>
      </w:pPr>
      <w:r w:rsidRPr="009015F0">
        <w:rPr>
          <w:rFonts w:asciiTheme="minorHAnsi" w:hAnsiTheme="minorHAnsi" w:cstheme="minorHAnsi"/>
          <w:i/>
          <w:color w:val="000000"/>
        </w:rPr>
        <w:t xml:space="preserve">* </w:t>
      </w:r>
      <w:r w:rsidRPr="009015F0">
        <w:rPr>
          <w:rFonts w:asciiTheme="minorHAnsi" w:hAnsiTheme="minorHAnsi" w:cstheme="minorHAnsi"/>
          <w:i/>
          <w:iCs/>
          <w:color w:val="000000"/>
        </w:rPr>
        <w:t>Uchazeč uvede konkrétní hodnotu / specifikaci požadovaného parametru, popř. ANO nebo 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4A0" w:firstRow="1" w:lastRow="0" w:firstColumn="1" w:lastColumn="0" w:noHBand="0" w:noVBand="1"/>
      </w:tblPr>
      <w:tblGrid>
        <w:gridCol w:w="7366"/>
        <w:gridCol w:w="2410"/>
      </w:tblGrid>
      <w:tr w:rsidR="000C02BB" w14:paraId="5E7BB7E0" w14:textId="77777777" w:rsidTr="000C02BB">
        <w:trPr>
          <w:cantSplit/>
          <w:trHeight w:val="345"/>
          <w:tblHeader/>
        </w:trPr>
        <w:tc>
          <w:tcPr>
            <w:tcW w:w="73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894CB6" w14:textId="77777777" w:rsidR="000C02BB" w:rsidRPr="0061100C" w:rsidRDefault="000C02BB" w:rsidP="00201F4D">
            <w:pPr>
              <w:rPr>
                <w:rFonts w:asciiTheme="minorHAnsi" w:hAnsiTheme="minorHAnsi" w:cstheme="minorHAnsi"/>
                <w:b/>
                <w:bCs/>
                <w:color w:val="1F497D" w:themeColor="text2"/>
                <w:szCs w:val="22"/>
              </w:rPr>
            </w:pPr>
            <w:r w:rsidRPr="0061100C">
              <w:rPr>
                <w:rFonts w:asciiTheme="minorHAnsi" w:hAnsiTheme="minorHAnsi" w:cstheme="minorHAnsi"/>
                <w:b/>
                <w:bCs/>
                <w:color w:val="1F497D" w:themeColor="text2"/>
                <w:szCs w:val="22"/>
              </w:rPr>
              <w:t>Požadované technické a/nebo funkční vlastnosti</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150A94D" w14:textId="77777777" w:rsidR="000C02BB" w:rsidRPr="0061100C" w:rsidRDefault="000C02BB" w:rsidP="00201F4D">
            <w:pPr>
              <w:jc w:val="center"/>
              <w:rPr>
                <w:rFonts w:asciiTheme="minorHAnsi" w:hAnsiTheme="minorHAnsi" w:cstheme="minorHAnsi"/>
                <w:b/>
                <w:bCs/>
                <w:color w:val="1F497D" w:themeColor="text2"/>
                <w:szCs w:val="22"/>
              </w:rPr>
            </w:pPr>
            <w:r w:rsidRPr="0061100C">
              <w:rPr>
                <w:rFonts w:asciiTheme="minorHAnsi" w:hAnsiTheme="minorHAnsi" w:cstheme="minorHAnsi"/>
                <w:b/>
                <w:bCs/>
                <w:color w:val="1F497D" w:themeColor="text2"/>
                <w:szCs w:val="22"/>
              </w:rPr>
              <w:t>Splněno *</w:t>
            </w:r>
          </w:p>
        </w:tc>
      </w:tr>
      <w:tr w:rsidR="000C02BB" w14:paraId="3D8BD9D7" w14:textId="77777777" w:rsidTr="000C02BB">
        <w:trPr>
          <w:cantSplit/>
          <w:trHeight w:val="345"/>
        </w:trPr>
        <w:tc>
          <w:tcPr>
            <w:tcW w:w="73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B4A0276" w14:textId="77777777" w:rsidR="000C02BB" w:rsidRPr="0061100C" w:rsidRDefault="000C02BB" w:rsidP="000C02BB">
            <w:pPr>
              <w:pStyle w:val="Odstavecseseznamem"/>
              <w:numPr>
                <w:ilvl w:val="0"/>
                <w:numId w:val="30"/>
              </w:numPr>
              <w:jc w:val="left"/>
              <w:rPr>
                <w:rFonts w:asciiTheme="minorHAnsi" w:eastAsia="Arial" w:hAnsiTheme="minorHAnsi" w:cstheme="minorHAnsi"/>
                <w:bCs/>
                <w:color w:val="000000"/>
                <w:sz w:val="22"/>
                <w:szCs w:val="22"/>
              </w:rPr>
            </w:pPr>
            <w:r w:rsidRPr="0061100C">
              <w:rPr>
                <w:rFonts w:asciiTheme="minorHAnsi" w:eastAsia="Arial" w:hAnsiTheme="minorHAnsi" w:cstheme="minorHAnsi"/>
                <w:bCs/>
                <w:color w:val="000000"/>
                <w:sz w:val="22"/>
                <w:szCs w:val="22"/>
              </w:rPr>
              <w:t>POŽADAVKY NA OBECNÉ FUNKCE A OVLÁDÁNÍ</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4D4CE5" w14:textId="77777777" w:rsidR="000C02BB" w:rsidRPr="0061100C" w:rsidRDefault="000C02BB" w:rsidP="00201F4D">
            <w:pPr>
              <w:pStyle w:val="Nadpis3"/>
              <w:spacing w:before="0" w:after="0"/>
              <w:jc w:val="center"/>
              <w:rPr>
                <w:rFonts w:asciiTheme="minorHAnsi" w:hAnsiTheme="minorHAnsi" w:cstheme="minorHAnsi"/>
                <w:b w:val="0"/>
                <w:bCs w:val="0"/>
                <w:color w:val="000000"/>
                <w:sz w:val="22"/>
                <w:szCs w:val="22"/>
              </w:rPr>
            </w:pPr>
          </w:p>
        </w:tc>
      </w:tr>
      <w:tr w:rsidR="000C02BB" w14:paraId="208C4C75" w14:textId="77777777" w:rsidTr="000C02BB">
        <w:trPr>
          <w:cantSplit/>
          <w:trHeight w:val="345"/>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0CF45" w14:textId="77777777" w:rsidR="000C02BB" w:rsidRPr="00D6629D" w:rsidRDefault="000C02BB" w:rsidP="00201F4D">
            <w:pPr>
              <w:rPr>
                <w:rFonts w:asciiTheme="minorHAnsi" w:hAnsiTheme="minorHAnsi" w:cstheme="minorHAnsi"/>
                <w:b/>
                <w:bCs/>
                <w:color w:val="000000"/>
                <w:szCs w:val="22"/>
              </w:rPr>
            </w:pPr>
            <w:bookmarkStart w:id="2" w:name="_Hlk87279880"/>
            <w:r w:rsidRPr="0061100C">
              <w:rPr>
                <w:rFonts w:asciiTheme="minorHAnsi" w:hAnsiTheme="minorHAnsi" w:cstheme="minorHAnsi"/>
                <w:bCs/>
                <w:color w:val="000000"/>
                <w:szCs w:val="22"/>
              </w:rPr>
              <w:t xml:space="preserve">Systém musí poskytovat minimálně tyto základní informace o </w:t>
            </w:r>
            <w:r>
              <w:rPr>
                <w:rFonts w:asciiTheme="minorHAnsi" w:hAnsiTheme="minorHAnsi" w:cstheme="minorHAnsi"/>
                <w:bCs/>
                <w:color w:val="000000"/>
                <w:szCs w:val="22"/>
              </w:rPr>
              <w:t>koncovém zařízení</w:t>
            </w:r>
            <w:r w:rsidRPr="0061100C">
              <w:rPr>
                <w:rFonts w:asciiTheme="minorHAnsi" w:hAnsiTheme="minorHAnsi" w:cstheme="minorHAnsi"/>
                <w:bCs/>
                <w:color w:val="000000"/>
                <w:szCs w:val="22"/>
              </w:rPr>
              <w:t xml:space="preserve">: </w:t>
            </w:r>
          </w:p>
        </w:tc>
      </w:tr>
      <w:tr w:rsidR="000C02BB" w14:paraId="56E25FAA"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15DD56F" w14:textId="77777777" w:rsidR="000C02BB" w:rsidRPr="00797DBA" w:rsidRDefault="000C02BB" w:rsidP="000C02BB">
            <w:pPr>
              <w:pStyle w:val="Odstavecseseznamem"/>
              <w:numPr>
                <w:ilvl w:val="0"/>
                <w:numId w:val="42"/>
              </w:numPr>
              <w:suppressAutoHyphens w:val="0"/>
              <w:contextualSpacing/>
              <w:jc w:val="left"/>
              <w:rPr>
                <w:rFonts w:asciiTheme="minorHAnsi" w:hAnsiTheme="minorHAnsi" w:cstheme="minorHAnsi"/>
                <w:bCs/>
                <w:color w:val="000000"/>
                <w:szCs w:val="22"/>
              </w:rPr>
            </w:pPr>
            <w:r w:rsidRPr="00797DBA">
              <w:rPr>
                <w:rFonts w:asciiTheme="minorHAnsi" w:hAnsiTheme="minorHAnsi" w:cstheme="minorHAnsi"/>
                <w:bCs/>
                <w:color w:val="000000"/>
                <w:szCs w:val="22"/>
              </w:rPr>
              <w:t>sériové číslo, model a typ zařízení, výrobce, operační systém a jeho verze, rok výroby a stav záruky zařízení, pokud výrobce tyto informace poskytuje</w:t>
            </w:r>
            <w:r>
              <w:rPr>
                <w:rFonts w:asciiTheme="minorHAnsi" w:hAnsiTheme="minorHAnsi" w:cstheme="minorHAnsi"/>
                <w:bCs/>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1CE41" w14:textId="214C1404"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0C02BB" w14:paraId="35DE598F"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57CE49C" w14:textId="77777777" w:rsidR="000C02BB" w:rsidRPr="00797DBA" w:rsidRDefault="000C02BB" w:rsidP="000C02BB">
            <w:pPr>
              <w:pStyle w:val="Odstavecseseznamem"/>
              <w:numPr>
                <w:ilvl w:val="0"/>
                <w:numId w:val="42"/>
              </w:numPr>
              <w:suppressAutoHyphens w:val="0"/>
              <w:contextualSpacing/>
              <w:jc w:val="left"/>
              <w:rPr>
                <w:rFonts w:asciiTheme="minorHAnsi" w:hAnsiTheme="minorHAnsi" w:cstheme="minorHAnsi"/>
                <w:bCs/>
                <w:color w:val="000000"/>
                <w:szCs w:val="22"/>
              </w:rPr>
            </w:pPr>
            <w:r w:rsidRPr="000F4426">
              <w:rPr>
                <w:rFonts w:asciiTheme="minorHAnsi" w:hAnsiTheme="minorHAnsi" w:cstheme="minorHAnsi"/>
                <w:bCs/>
                <w:color w:val="000000"/>
                <w:szCs w:val="22"/>
              </w:rPr>
              <w:t xml:space="preserve">HW konfiguraci (minimálně procesor, paměť, disk, grafická </w:t>
            </w:r>
            <w:r>
              <w:rPr>
                <w:rFonts w:asciiTheme="minorHAnsi" w:hAnsiTheme="minorHAnsi" w:cstheme="minorHAnsi"/>
                <w:bCs/>
                <w:color w:val="000000"/>
                <w:szCs w:val="22"/>
              </w:rPr>
              <w:t xml:space="preserve">a síťová </w:t>
            </w:r>
            <w:r w:rsidRPr="000F4426">
              <w:rPr>
                <w:rFonts w:asciiTheme="minorHAnsi" w:hAnsiTheme="minorHAnsi" w:cstheme="minorHAnsi"/>
                <w:bCs/>
                <w:color w:val="000000"/>
                <w:szCs w:val="22"/>
              </w:rPr>
              <w:t>karta)</w:t>
            </w:r>
            <w:r>
              <w:rPr>
                <w:rFonts w:asciiTheme="minorHAnsi" w:hAnsiTheme="minorHAnsi" w:cstheme="minorHAnsi"/>
                <w:bCs/>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B0511" w14:textId="5C6DC641"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0C02BB" w14:paraId="7737DC27"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2E1E8A82" w14:textId="77777777" w:rsidR="000C02BB" w:rsidRPr="00797DBA" w:rsidRDefault="000C02BB" w:rsidP="000C02BB">
            <w:pPr>
              <w:pStyle w:val="Odstavecseseznamem"/>
              <w:numPr>
                <w:ilvl w:val="0"/>
                <w:numId w:val="42"/>
              </w:numPr>
              <w:suppressAutoHyphens w:val="0"/>
              <w:contextualSpacing/>
              <w:jc w:val="left"/>
              <w:rPr>
                <w:rFonts w:asciiTheme="minorHAnsi" w:hAnsiTheme="minorHAnsi" w:cstheme="minorHAnsi"/>
                <w:bCs/>
                <w:color w:val="000000"/>
                <w:szCs w:val="22"/>
              </w:rPr>
            </w:pPr>
            <w:r w:rsidRPr="000F4426">
              <w:rPr>
                <w:rFonts w:asciiTheme="minorHAnsi" w:hAnsiTheme="minorHAnsi" w:cstheme="minorHAnsi"/>
                <w:bCs/>
                <w:color w:val="000000"/>
                <w:szCs w:val="22"/>
              </w:rPr>
              <w:t>informace o připojených periferiích</w:t>
            </w:r>
            <w:r>
              <w:rPr>
                <w:rFonts w:asciiTheme="minorHAnsi" w:hAnsiTheme="minorHAnsi" w:cstheme="minorHAnsi"/>
                <w:bCs/>
                <w:color w:val="000000"/>
                <w:szCs w:val="22"/>
              </w:rPr>
              <w:t xml:space="preserve"> (minimálně </w:t>
            </w:r>
            <w:r w:rsidRPr="000F4426">
              <w:rPr>
                <w:rFonts w:asciiTheme="minorHAnsi" w:hAnsiTheme="minorHAnsi" w:cstheme="minorHAnsi"/>
                <w:bCs/>
                <w:color w:val="000000"/>
                <w:szCs w:val="22"/>
              </w:rPr>
              <w:t>typ, sériové číslo, model,</w:t>
            </w:r>
            <w:r>
              <w:rPr>
                <w:rFonts w:asciiTheme="minorHAnsi" w:hAnsiTheme="minorHAnsi" w:cstheme="minorHAnsi"/>
                <w:bCs/>
                <w:color w:val="000000"/>
                <w:szCs w:val="22"/>
              </w:rPr>
              <w:t xml:space="preserve"> výrobce),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4629C" w14:textId="7838DFC4"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0C02BB" w14:paraId="64ABAED7"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3505AA12" w14:textId="77777777" w:rsidR="000C02BB" w:rsidRPr="00797DBA" w:rsidRDefault="000C02BB" w:rsidP="000C02BB">
            <w:pPr>
              <w:pStyle w:val="Odstavecseseznamem"/>
              <w:numPr>
                <w:ilvl w:val="0"/>
                <w:numId w:val="42"/>
              </w:numPr>
              <w:suppressAutoHyphens w:val="0"/>
              <w:contextualSpacing/>
              <w:jc w:val="left"/>
              <w:rPr>
                <w:rFonts w:asciiTheme="minorHAnsi" w:hAnsiTheme="minorHAnsi" w:cstheme="minorHAnsi"/>
                <w:bCs/>
                <w:color w:val="000000"/>
                <w:szCs w:val="22"/>
              </w:rPr>
            </w:pPr>
            <w:r w:rsidRPr="000F4426">
              <w:rPr>
                <w:rFonts w:asciiTheme="minorHAnsi" w:hAnsiTheme="minorHAnsi" w:cstheme="minorHAnsi"/>
                <w:bCs/>
                <w:color w:val="000000"/>
                <w:szCs w:val="22"/>
              </w:rPr>
              <w:t>informace o instalovaném operačním systému</w:t>
            </w:r>
            <w:r>
              <w:rPr>
                <w:rFonts w:asciiTheme="minorHAnsi" w:hAnsiTheme="minorHAnsi" w:cstheme="minorHAnsi"/>
                <w:bCs/>
                <w:color w:val="000000"/>
                <w:szCs w:val="22"/>
              </w:rPr>
              <w:t xml:space="preserve"> (OS), </w:t>
            </w:r>
            <w:r w:rsidRPr="000F4426">
              <w:rPr>
                <w:rFonts w:asciiTheme="minorHAnsi" w:hAnsiTheme="minorHAnsi" w:cstheme="minorHAnsi"/>
                <w:bCs/>
                <w:color w:val="000000"/>
                <w:szCs w:val="22"/>
              </w:rPr>
              <w:t>ovladačích</w:t>
            </w:r>
            <w:r>
              <w:rPr>
                <w:rFonts w:asciiTheme="minorHAnsi" w:hAnsiTheme="minorHAnsi" w:cstheme="minorHAnsi"/>
                <w:bCs/>
                <w:color w:val="000000"/>
                <w:szCs w:val="22"/>
              </w:rPr>
              <w:t xml:space="preserve"> a BIOSu</w:t>
            </w:r>
            <w:r w:rsidRPr="000F4426">
              <w:rPr>
                <w:rFonts w:asciiTheme="minorHAnsi" w:hAnsiTheme="minorHAnsi" w:cstheme="minorHAnsi"/>
                <w:bCs/>
                <w:color w:val="000000"/>
                <w:szCs w:val="22"/>
              </w:rPr>
              <w:t xml:space="preserve"> (</w:t>
            </w:r>
            <w:r>
              <w:rPr>
                <w:rFonts w:asciiTheme="minorHAnsi" w:hAnsiTheme="minorHAnsi" w:cstheme="minorHAnsi"/>
                <w:bCs/>
                <w:color w:val="000000"/>
                <w:szCs w:val="22"/>
              </w:rPr>
              <w:t xml:space="preserve">minimálně </w:t>
            </w:r>
            <w:r w:rsidRPr="000F4426">
              <w:rPr>
                <w:rFonts w:asciiTheme="minorHAnsi" w:hAnsiTheme="minorHAnsi" w:cstheme="minorHAnsi"/>
                <w:bCs/>
                <w:color w:val="000000"/>
                <w:szCs w:val="22"/>
              </w:rPr>
              <w:t>verze</w:t>
            </w:r>
            <w:r>
              <w:rPr>
                <w:rFonts w:asciiTheme="minorHAnsi" w:hAnsiTheme="minorHAnsi" w:cstheme="minorHAnsi"/>
                <w:bCs/>
                <w:color w:val="000000"/>
                <w:szCs w:val="22"/>
              </w:rPr>
              <w:t xml:space="preserve"> a </w:t>
            </w:r>
            <w:r w:rsidRPr="000F4426">
              <w:rPr>
                <w:rFonts w:asciiTheme="minorHAnsi" w:hAnsiTheme="minorHAnsi" w:cstheme="minorHAnsi"/>
                <w:bCs/>
                <w:color w:val="000000"/>
                <w:szCs w:val="22"/>
              </w:rPr>
              <w:t>aktualizace)</w:t>
            </w:r>
            <w:r>
              <w:rPr>
                <w:rFonts w:asciiTheme="minorHAnsi" w:hAnsiTheme="minorHAnsi" w:cstheme="minorHAnsi"/>
                <w:bCs/>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A4F94" w14:textId="5E23F3D0"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0C02BB" w14:paraId="0344C8CC"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295F5249" w14:textId="77777777" w:rsidR="000C02BB" w:rsidRPr="00797DBA" w:rsidRDefault="000C02BB" w:rsidP="000C02BB">
            <w:pPr>
              <w:pStyle w:val="Odstavecseseznamem"/>
              <w:numPr>
                <w:ilvl w:val="0"/>
                <w:numId w:val="42"/>
              </w:numPr>
              <w:suppressAutoHyphens w:val="0"/>
              <w:contextualSpacing/>
              <w:jc w:val="left"/>
              <w:rPr>
                <w:rFonts w:asciiTheme="minorHAnsi" w:hAnsiTheme="minorHAnsi" w:cstheme="minorHAnsi"/>
                <w:bCs/>
                <w:color w:val="000000"/>
                <w:szCs w:val="22"/>
              </w:rPr>
            </w:pPr>
            <w:r w:rsidRPr="00797DBA">
              <w:rPr>
                <w:rFonts w:asciiTheme="minorHAnsi" w:hAnsiTheme="minorHAnsi" w:cstheme="minorHAnsi"/>
                <w:bCs/>
                <w:color w:val="000000"/>
                <w:szCs w:val="22"/>
              </w:rPr>
              <w:t>přehled instalovaného software</w:t>
            </w:r>
            <w:r>
              <w:rPr>
                <w:rFonts w:asciiTheme="minorHAnsi" w:hAnsiTheme="minorHAnsi" w:cstheme="minorHAnsi"/>
                <w:bCs/>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48EBD" w14:textId="2E93DC8E"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0C02BB" w14:paraId="77048230" w14:textId="77777777" w:rsidTr="000C02BB">
        <w:trPr>
          <w:cantSplit/>
          <w:trHeight w:val="345"/>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7EF50" w14:textId="77777777" w:rsidR="000C02BB" w:rsidRPr="004B0917" w:rsidRDefault="000C02BB" w:rsidP="00201F4D">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Systém musí průběžně provádět:</w:t>
            </w:r>
          </w:p>
        </w:tc>
      </w:tr>
      <w:tr w:rsidR="000C02BB" w14:paraId="0D3C3947"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03037022" w14:textId="77777777" w:rsidR="000C02BB" w:rsidRPr="004B0917" w:rsidRDefault="000C02BB" w:rsidP="000C02BB">
            <w:pPr>
              <w:pStyle w:val="Odstavecseseznamem"/>
              <w:numPr>
                <w:ilvl w:val="0"/>
                <w:numId w:val="42"/>
              </w:numPr>
              <w:suppressAutoHyphens w:val="0"/>
              <w:contextualSpacing/>
              <w:jc w:val="left"/>
              <w:rPr>
                <w:rFonts w:asciiTheme="minorHAnsi" w:eastAsia="Calibri" w:hAnsiTheme="minorHAnsi" w:cstheme="minorHAnsi"/>
                <w:color w:val="000000"/>
                <w:szCs w:val="22"/>
              </w:rPr>
            </w:pPr>
            <w:r w:rsidRPr="004B0917">
              <w:rPr>
                <w:rFonts w:asciiTheme="minorHAnsi" w:eastAsia="Calibri" w:hAnsiTheme="minorHAnsi" w:cstheme="minorHAnsi"/>
                <w:color w:val="000000"/>
                <w:szCs w:val="22"/>
              </w:rPr>
              <w:t>sběr dat o stavu zařízení</w:t>
            </w:r>
            <w:r>
              <w:rPr>
                <w:rFonts w:asciiTheme="minorHAnsi" w:eastAsia="Calibri" w:hAnsiTheme="minorHAnsi" w:cstheme="minorHAnsi"/>
                <w:color w:val="000000"/>
                <w:szCs w:val="22"/>
              </w:rPr>
              <w:t xml:space="preserve"> či jeho součástech, </w:t>
            </w:r>
            <w:r w:rsidRPr="004B0917">
              <w:rPr>
                <w:rFonts w:asciiTheme="minorHAnsi" w:eastAsia="Calibri" w:hAnsiTheme="minorHAnsi" w:cstheme="minorHAnsi"/>
                <w:color w:val="000000"/>
                <w:szCs w:val="22"/>
              </w:rPr>
              <w:t xml:space="preserve">funkčnosti hardwaru </w:t>
            </w:r>
            <w:r>
              <w:rPr>
                <w:rFonts w:asciiTheme="minorHAnsi" w:eastAsia="Calibri" w:hAnsiTheme="minorHAnsi" w:cstheme="minorHAnsi"/>
                <w:color w:val="000000"/>
                <w:szCs w:val="22"/>
              </w:rPr>
              <w:t xml:space="preserve">(minimálně </w:t>
            </w:r>
            <w:r w:rsidRPr="004B0917">
              <w:rPr>
                <w:rFonts w:asciiTheme="minorHAnsi" w:eastAsia="Calibri" w:hAnsiTheme="minorHAnsi" w:cstheme="minorHAnsi"/>
                <w:color w:val="000000"/>
                <w:szCs w:val="22"/>
              </w:rPr>
              <w:t>bateri</w:t>
            </w:r>
            <w:r>
              <w:rPr>
                <w:rFonts w:asciiTheme="minorHAnsi" w:eastAsia="Calibri" w:hAnsiTheme="minorHAnsi" w:cstheme="minorHAnsi"/>
                <w:color w:val="000000"/>
                <w:szCs w:val="22"/>
              </w:rPr>
              <w:t>e</w:t>
            </w:r>
            <w:r w:rsidRPr="004B0917">
              <w:rPr>
                <w:rFonts w:asciiTheme="minorHAnsi" w:eastAsia="Calibri" w:hAnsiTheme="minorHAnsi" w:cstheme="minorHAnsi"/>
                <w:color w:val="000000"/>
                <w:szCs w:val="22"/>
              </w:rPr>
              <w:t>, pevného disku, grafiky, paměti a procesoru</w:t>
            </w:r>
            <w:r>
              <w:rPr>
                <w:rFonts w:asciiTheme="minorHAnsi" w:eastAsia="Calibri" w:hAnsiTheme="minorHAnsi" w:cstheme="minorHAnsi"/>
                <w:color w:val="000000"/>
                <w:szCs w:val="22"/>
              </w:rPr>
              <w:t>)</w:t>
            </w:r>
            <w:r w:rsidRPr="004B0917">
              <w:rPr>
                <w:rFonts w:asciiTheme="minorHAnsi" w:eastAsia="Calibri" w:hAnsiTheme="minorHAnsi" w:cstheme="minorHAnsi"/>
                <w:color w:val="000000"/>
                <w:szCs w:val="22"/>
              </w:rPr>
              <w:t xml:space="preserve"> a softwarových aplikací</w:t>
            </w:r>
            <w:r>
              <w:rPr>
                <w:rFonts w:asciiTheme="minorHAnsi" w:eastAsia="Calibri" w:hAnsiTheme="minorHAnsi" w:cstheme="minorHAnsi"/>
                <w:color w:val="000000"/>
                <w:szCs w:val="22"/>
              </w:rPr>
              <w:t xml:space="preserve"> instalovaných na zařízení,</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18305" w14:textId="1ECFF920"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137AE2" w14:paraId="528E72A2" w14:textId="77777777" w:rsidTr="00A37C6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A6E16D5" w14:textId="77777777" w:rsidR="00137AE2" w:rsidRPr="004B0917" w:rsidRDefault="00137AE2" w:rsidP="00137AE2">
            <w:pPr>
              <w:pStyle w:val="Odstavecseseznamem"/>
              <w:numPr>
                <w:ilvl w:val="0"/>
                <w:numId w:val="42"/>
              </w:numPr>
              <w:suppressAutoHyphens w:val="0"/>
              <w:contextualSpacing/>
              <w:jc w:val="left"/>
              <w:rPr>
                <w:rFonts w:asciiTheme="minorHAnsi" w:eastAsia="Calibri" w:hAnsiTheme="minorHAnsi" w:cstheme="minorHAnsi"/>
                <w:color w:val="000000"/>
                <w:szCs w:val="22"/>
              </w:rPr>
            </w:pPr>
            <w:r w:rsidRPr="004B0917">
              <w:rPr>
                <w:rFonts w:asciiTheme="minorHAnsi" w:eastAsia="Calibri" w:hAnsiTheme="minorHAnsi" w:cstheme="minorHAnsi"/>
                <w:color w:val="000000"/>
                <w:szCs w:val="22"/>
              </w:rPr>
              <w:lastRenderedPageBreak/>
              <w:t>predi</w:t>
            </w:r>
            <w:r>
              <w:rPr>
                <w:rFonts w:asciiTheme="minorHAnsi" w:eastAsia="Calibri" w:hAnsiTheme="minorHAnsi" w:cstheme="minorHAnsi"/>
                <w:color w:val="000000"/>
                <w:szCs w:val="22"/>
              </w:rPr>
              <w:t xml:space="preserve">kce </w:t>
            </w:r>
            <w:r w:rsidRPr="004B0917">
              <w:rPr>
                <w:rFonts w:asciiTheme="minorHAnsi" w:eastAsia="Calibri" w:hAnsiTheme="minorHAnsi" w:cstheme="minorHAnsi"/>
                <w:color w:val="000000"/>
                <w:szCs w:val="22"/>
              </w:rPr>
              <w:t xml:space="preserve">poruch nebo snížení výkonu zařízení či jeho součástí, </w:t>
            </w:r>
            <w:r>
              <w:rPr>
                <w:rFonts w:asciiTheme="minorHAnsi" w:eastAsia="Calibri" w:hAnsiTheme="minorHAnsi" w:cstheme="minorHAnsi"/>
                <w:color w:val="000000"/>
                <w:szCs w:val="22"/>
              </w:rPr>
              <w:t>(</w:t>
            </w:r>
            <w:r w:rsidRPr="004B0917">
              <w:rPr>
                <w:rFonts w:asciiTheme="minorHAnsi" w:eastAsia="Calibri" w:hAnsiTheme="minorHAnsi" w:cstheme="minorHAnsi"/>
                <w:color w:val="000000"/>
                <w:szCs w:val="22"/>
              </w:rPr>
              <w:t>minimálně baterií, pevného disku, grafiky, paměti a procesoru</w:t>
            </w:r>
            <w:r>
              <w:rPr>
                <w:rFonts w:asciiTheme="minorHAnsi" w:eastAsia="Calibri" w:hAnsiTheme="minorHAnsi" w:cstheme="minorHAnsi"/>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C6ED281" w14:textId="35917085" w:rsidR="00137AE2" w:rsidRPr="00D6629D" w:rsidRDefault="00137AE2" w:rsidP="00137AE2">
            <w:pPr>
              <w:jc w:val="center"/>
              <w:rPr>
                <w:rFonts w:asciiTheme="minorHAnsi" w:hAnsiTheme="minorHAnsi" w:cstheme="minorHAnsi"/>
                <w:color w:val="000000"/>
                <w:szCs w:val="22"/>
              </w:rPr>
            </w:pPr>
            <w:r w:rsidRPr="00D85E6A">
              <w:rPr>
                <w:rFonts w:asciiTheme="minorHAnsi" w:hAnsiTheme="minorHAnsi" w:cstheme="minorHAnsi"/>
                <w:color w:val="000000"/>
                <w:szCs w:val="22"/>
              </w:rPr>
              <w:t>ANO</w:t>
            </w:r>
          </w:p>
        </w:tc>
      </w:tr>
      <w:tr w:rsidR="00137AE2" w14:paraId="2278D6B2" w14:textId="77777777" w:rsidTr="00A37C6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3DD08D8A" w14:textId="77777777" w:rsidR="00137AE2" w:rsidRPr="004B0917" w:rsidRDefault="00137AE2" w:rsidP="00137AE2">
            <w:pPr>
              <w:pStyle w:val="Odstavecseseznamem"/>
              <w:numPr>
                <w:ilvl w:val="0"/>
                <w:numId w:val="42"/>
              </w:numPr>
              <w:suppressAutoHyphens w:val="0"/>
              <w:contextualSpacing/>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analýzu výkonu a zatížení </w:t>
            </w:r>
            <w:r w:rsidRPr="004F2DBC">
              <w:rPr>
                <w:rFonts w:asciiTheme="minorHAnsi" w:eastAsia="Calibri" w:hAnsiTheme="minorHAnsi" w:cstheme="minorHAnsi"/>
                <w:color w:val="000000"/>
                <w:szCs w:val="22"/>
              </w:rPr>
              <w:t>HW komponent, minimálně procesoru, paměti</w:t>
            </w:r>
            <w:r>
              <w:rPr>
                <w:rFonts w:asciiTheme="minorHAnsi" w:eastAsia="Calibri" w:hAnsiTheme="minorHAnsi" w:cstheme="minorHAnsi"/>
                <w:color w:val="000000"/>
                <w:szCs w:val="22"/>
              </w:rPr>
              <w:t xml:space="preserve"> a</w:t>
            </w:r>
            <w:r w:rsidRPr="004F2DBC">
              <w:rPr>
                <w:rFonts w:asciiTheme="minorHAnsi" w:eastAsia="Calibri" w:hAnsiTheme="minorHAnsi" w:cstheme="minorHAnsi"/>
                <w:color w:val="000000"/>
                <w:szCs w:val="22"/>
              </w:rPr>
              <w:t xml:space="preserve"> diskové kapacity</w:t>
            </w:r>
            <w:r>
              <w:rPr>
                <w:rFonts w:asciiTheme="minorHAnsi" w:eastAsia="Calibri" w:hAnsiTheme="minorHAnsi" w:cstheme="minorHAnsi"/>
                <w:color w:val="000000"/>
                <w:szCs w:val="22"/>
              </w:rPr>
              <w:t xml:space="preserve"> s rozdělením na</w:t>
            </w:r>
            <w:r w:rsidRPr="004F2DBC">
              <w:rPr>
                <w:rFonts w:asciiTheme="minorHAnsi" w:eastAsia="Calibri" w:hAnsiTheme="minorHAnsi" w:cstheme="minorHAnsi"/>
                <w:color w:val="000000"/>
                <w:szCs w:val="22"/>
              </w:rPr>
              <w:t xml:space="preserve"> využití operačním systémem a aplikacemi</w:t>
            </w:r>
            <w:r>
              <w:rPr>
                <w:rFonts w:asciiTheme="minorHAnsi" w:eastAsia="Calibri" w:hAnsiTheme="minorHAnsi" w:cstheme="minorHAnsi"/>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04D2B510" w14:textId="5127F83D" w:rsidR="00137AE2" w:rsidRPr="00D6629D" w:rsidRDefault="00137AE2" w:rsidP="00137AE2">
            <w:pPr>
              <w:jc w:val="center"/>
              <w:rPr>
                <w:rFonts w:asciiTheme="minorHAnsi" w:hAnsiTheme="minorHAnsi" w:cstheme="minorHAnsi"/>
                <w:color w:val="000000"/>
                <w:szCs w:val="22"/>
              </w:rPr>
            </w:pPr>
            <w:r w:rsidRPr="00D85E6A">
              <w:rPr>
                <w:rFonts w:asciiTheme="minorHAnsi" w:hAnsiTheme="minorHAnsi" w:cstheme="minorHAnsi"/>
                <w:color w:val="000000"/>
                <w:szCs w:val="22"/>
              </w:rPr>
              <w:t>ANO</w:t>
            </w:r>
          </w:p>
        </w:tc>
      </w:tr>
      <w:tr w:rsidR="00137AE2" w14:paraId="31C24550" w14:textId="77777777" w:rsidTr="00A37C6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10D120C4" w14:textId="77777777" w:rsidR="00137AE2" w:rsidRPr="004B0917" w:rsidRDefault="00137AE2" w:rsidP="00137AE2">
            <w:pPr>
              <w:pStyle w:val="Odstavecseseznamem"/>
              <w:numPr>
                <w:ilvl w:val="0"/>
                <w:numId w:val="42"/>
              </w:numPr>
              <w:suppressAutoHyphens w:val="0"/>
              <w:contextualSpacing/>
              <w:jc w:val="left"/>
              <w:rPr>
                <w:rFonts w:asciiTheme="minorHAnsi" w:eastAsia="Calibri" w:hAnsiTheme="minorHAnsi" w:cstheme="minorHAnsi"/>
                <w:color w:val="000000"/>
                <w:szCs w:val="22"/>
              </w:rPr>
            </w:pPr>
            <w:r w:rsidRPr="005011D4">
              <w:rPr>
                <w:rFonts w:asciiTheme="minorHAnsi" w:eastAsia="Calibri" w:hAnsiTheme="minorHAnsi" w:cstheme="minorHAnsi"/>
                <w:color w:val="000000"/>
                <w:szCs w:val="22"/>
              </w:rPr>
              <w:t>upozorňovat na výrazné trvalé přehřátí zařízení</w:t>
            </w:r>
            <w:r>
              <w:rPr>
                <w:rFonts w:asciiTheme="minorHAnsi" w:eastAsia="Calibri" w:hAnsiTheme="minorHAnsi" w:cstheme="minorHAnsi"/>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1E2B839" w14:textId="79FDFB3C" w:rsidR="00137AE2" w:rsidRPr="00D6629D" w:rsidRDefault="00137AE2" w:rsidP="00137AE2">
            <w:pPr>
              <w:jc w:val="center"/>
              <w:rPr>
                <w:rFonts w:asciiTheme="minorHAnsi" w:hAnsiTheme="minorHAnsi" w:cstheme="minorHAnsi"/>
                <w:color w:val="000000"/>
                <w:szCs w:val="22"/>
              </w:rPr>
            </w:pPr>
            <w:r w:rsidRPr="00D85E6A">
              <w:rPr>
                <w:rFonts w:asciiTheme="minorHAnsi" w:hAnsiTheme="minorHAnsi" w:cstheme="minorHAnsi"/>
                <w:color w:val="000000"/>
                <w:szCs w:val="22"/>
              </w:rPr>
              <w:t>ANO</w:t>
            </w:r>
          </w:p>
        </w:tc>
      </w:tr>
      <w:tr w:rsidR="00137AE2" w14:paraId="078A7210" w14:textId="77777777" w:rsidTr="00A37C6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04E9E967" w14:textId="77777777" w:rsidR="00137AE2" w:rsidRPr="005011D4" w:rsidRDefault="00137AE2" w:rsidP="00137AE2">
            <w:pPr>
              <w:pStyle w:val="Odstavecseseznamem"/>
              <w:numPr>
                <w:ilvl w:val="0"/>
                <w:numId w:val="42"/>
              </w:numPr>
              <w:suppressAutoHyphens w:val="0"/>
              <w:contextualSpacing/>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měření doby </w:t>
            </w:r>
            <w:r w:rsidRPr="004F2DBC">
              <w:rPr>
                <w:rFonts w:asciiTheme="minorHAnsi" w:eastAsia="Calibri" w:hAnsiTheme="minorHAnsi" w:cstheme="minorHAnsi"/>
                <w:color w:val="000000"/>
                <w:szCs w:val="22"/>
              </w:rPr>
              <w:t xml:space="preserve">startu a vypnutí </w:t>
            </w:r>
            <w:r>
              <w:rPr>
                <w:rFonts w:asciiTheme="minorHAnsi" w:eastAsia="Calibri" w:hAnsiTheme="minorHAnsi" w:cstheme="minorHAnsi"/>
                <w:color w:val="000000"/>
                <w:szCs w:val="22"/>
              </w:rPr>
              <w:t>operačního systému,</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1CABD801" w14:textId="458E29B6" w:rsidR="00137AE2" w:rsidRPr="00D6629D" w:rsidRDefault="00137AE2" w:rsidP="00137AE2">
            <w:pPr>
              <w:jc w:val="center"/>
              <w:rPr>
                <w:rFonts w:asciiTheme="minorHAnsi" w:hAnsiTheme="minorHAnsi" w:cstheme="minorHAnsi"/>
                <w:color w:val="000000"/>
                <w:szCs w:val="22"/>
              </w:rPr>
            </w:pPr>
            <w:r w:rsidRPr="00D85E6A">
              <w:rPr>
                <w:rFonts w:asciiTheme="minorHAnsi" w:hAnsiTheme="minorHAnsi" w:cstheme="minorHAnsi"/>
                <w:color w:val="000000"/>
                <w:szCs w:val="22"/>
              </w:rPr>
              <w:t>ANO</w:t>
            </w:r>
          </w:p>
        </w:tc>
      </w:tr>
      <w:tr w:rsidR="00137AE2" w14:paraId="1E3483FE" w14:textId="77777777" w:rsidTr="00A37C6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5467F2A" w14:textId="77777777" w:rsidR="00137AE2" w:rsidRDefault="00137AE2" w:rsidP="00137AE2">
            <w:pPr>
              <w:pStyle w:val="Odstavecseseznamem"/>
              <w:numPr>
                <w:ilvl w:val="0"/>
                <w:numId w:val="42"/>
              </w:numPr>
              <w:suppressAutoHyphens w:val="0"/>
              <w:contextualSpacing/>
              <w:jc w:val="left"/>
              <w:rPr>
                <w:rFonts w:asciiTheme="minorHAnsi" w:eastAsia="Calibri" w:hAnsiTheme="minorHAnsi" w:cstheme="minorHAnsi"/>
                <w:color w:val="000000"/>
                <w:szCs w:val="22"/>
              </w:rPr>
            </w:pPr>
            <w:r w:rsidRPr="004F2DBC">
              <w:rPr>
                <w:rFonts w:asciiTheme="minorHAnsi" w:eastAsia="Calibri" w:hAnsiTheme="minorHAnsi" w:cstheme="minorHAnsi"/>
                <w:color w:val="000000"/>
                <w:szCs w:val="22"/>
              </w:rPr>
              <w:t>identifikac</w:t>
            </w:r>
            <w:r>
              <w:rPr>
                <w:rFonts w:asciiTheme="minorHAnsi" w:eastAsia="Calibri" w:hAnsiTheme="minorHAnsi" w:cstheme="minorHAnsi"/>
                <w:color w:val="000000"/>
                <w:szCs w:val="22"/>
              </w:rPr>
              <w:t xml:space="preserve">i a upozornění na </w:t>
            </w:r>
            <w:r w:rsidRPr="004F2DBC">
              <w:rPr>
                <w:rFonts w:asciiTheme="minorHAnsi" w:eastAsia="Calibri" w:hAnsiTheme="minorHAnsi" w:cstheme="minorHAnsi"/>
                <w:color w:val="000000"/>
                <w:szCs w:val="22"/>
              </w:rPr>
              <w:t>aplikac</w:t>
            </w:r>
            <w:r>
              <w:rPr>
                <w:rFonts w:asciiTheme="minorHAnsi" w:eastAsia="Calibri" w:hAnsiTheme="minorHAnsi" w:cstheme="minorHAnsi"/>
                <w:color w:val="000000"/>
                <w:szCs w:val="22"/>
              </w:rPr>
              <w:t>e</w:t>
            </w:r>
            <w:r w:rsidRPr="004F2DBC">
              <w:rPr>
                <w:rFonts w:asciiTheme="minorHAnsi" w:eastAsia="Calibri" w:hAnsiTheme="minorHAnsi" w:cstheme="minorHAnsi"/>
                <w:color w:val="000000"/>
                <w:szCs w:val="22"/>
              </w:rPr>
              <w:t xml:space="preserve"> způsobujících přetížení CPU a pamět</w:t>
            </w:r>
            <w:r>
              <w:rPr>
                <w:rFonts w:asciiTheme="minorHAnsi" w:eastAsia="Calibri" w:hAnsiTheme="minorHAnsi" w:cstheme="minorHAnsi"/>
                <w:color w:val="000000"/>
                <w:szCs w:val="22"/>
              </w:rPr>
              <w:t>i.</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5C8966AB" w14:textId="170B081E" w:rsidR="00137AE2" w:rsidRPr="00D6629D" w:rsidRDefault="00137AE2" w:rsidP="00137AE2">
            <w:pPr>
              <w:jc w:val="center"/>
              <w:rPr>
                <w:rFonts w:asciiTheme="minorHAnsi" w:hAnsiTheme="minorHAnsi" w:cstheme="minorHAnsi"/>
                <w:color w:val="000000"/>
                <w:szCs w:val="22"/>
              </w:rPr>
            </w:pPr>
            <w:r w:rsidRPr="00D85E6A">
              <w:rPr>
                <w:rFonts w:asciiTheme="minorHAnsi" w:hAnsiTheme="minorHAnsi" w:cstheme="minorHAnsi"/>
                <w:color w:val="000000"/>
                <w:szCs w:val="22"/>
              </w:rPr>
              <w:t>ANO</w:t>
            </w:r>
          </w:p>
        </w:tc>
      </w:tr>
      <w:tr w:rsidR="00137AE2" w14:paraId="606178A8" w14:textId="77777777" w:rsidTr="00CB669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FB860E4" w14:textId="77777777" w:rsidR="00137AE2" w:rsidRPr="004D32D5" w:rsidRDefault="00137AE2" w:rsidP="00137AE2">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Systém musí </w:t>
            </w:r>
            <w:r w:rsidRPr="004D32D5">
              <w:rPr>
                <w:rFonts w:asciiTheme="minorHAnsi" w:eastAsia="Calibri" w:hAnsiTheme="minorHAnsi" w:cstheme="minorHAnsi"/>
                <w:color w:val="000000"/>
                <w:szCs w:val="22"/>
              </w:rPr>
              <w:t>zapisovat hlášení o chybách</w:t>
            </w:r>
            <w:r>
              <w:rPr>
                <w:rFonts w:asciiTheme="minorHAnsi" w:eastAsia="Calibri" w:hAnsiTheme="minorHAnsi" w:cstheme="minorHAnsi"/>
                <w:color w:val="000000"/>
                <w:szCs w:val="22"/>
              </w:rPr>
              <w:t>,</w:t>
            </w:r>
            <w:r w:rsidRPr="004D32D5">
              <w:rPr>
                <w:rFonts w:asciiTheme="minorHAnsi" w:eastAsia="Calibri" w:hAnsiTheme="minorHAnsi" w:cstheme="minorHAnsi"/>
                <w:color w:val="000000"/>
                <w:szCs w:val="22"/>
              </w:rPr>
              <w:t xml:space="preserve"> včetně „BlueScreen“ a jejich příčinách</w:t>
            </w:r>
            <w:r>
              <w:rPr>
                <w:rFonts w:asciiTheme="minorHAnsi" w:eastAsia="Calibri" w:hAnsiTheme="minorHAnsi" w:cstheme="minorHAnsi"/>
                <w:color w:val="000000"/>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F69FED1" w14:textId="1EE80FF1" w:rsidR="00137AE2" w:rsidRPr="00D6629D" w:rsidRDefault="00137AE2" w:rsidP="00137AE2">
            <w:pPr>
              <w:jc w:val="center"/>
              <w:rPr>
                <w:rFonts w:asciiTheme="minorHAnsi" w:hAnsiTheme="minorHAnsi" w:cstheme="minorHAnsi"/>
                <w:color w:val="000000"/>
                <w:szCs w:val="22"/>
              </w:rPr>
            </w:pPr>
            <w:r w:rsidRPr="00D05AEE">
              <w:rPr>
                <w:rFonts w:asciiTheme="minorHAnsi" w:hAnsiTheme="minorHAnsi" w:cstheme="minorHAnsi"/>
                <w:color w:val="000000"/>
                <w:szCs w:val="22"/>
              </w:rPr>
              <w:t>ANO</w:t>
            </w:r>
          </w:p>
        </w:tc>
      </w:tr>
      <w:tr w:rsidR="00137AE2" w14:paraId="7CEE6714" w14:textId="77777777" w:rsidTr="00CB669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165EB1FB" w14:textId="77777777" w:rsidR="00137AE2" w:rsidRPr="0061100C" w:rsidRDefault="00137AE2" w:rsidP="00137AE2">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Systém musí</w:t>
            </w:r>
            <w:r w:rsidRPr="0061100C">
              <w:rPr>
                <w:rFonts w:asciiTheme="minorHAnsi" w:eastAsia="Calibri" w:hAnsiTheme="minorHAnsi" w:cstheme="minorHAnsi"/>
                <w:color w:val="000000"/>
                <w:szCs w:val="22"/>
              </w:rPr>
              <w:t xml:space="preserve"> identifikovat systémy</w:t>
            </w:r>
            <w:r>
              <w:rPr>
                <w:rFonts w:asciiTheme="minorHAnsi" w:eastAsia="Calibri" w:hAnsiTheme="minorHAnsi" w:cstheme="minorHAnsi"/>
                <w:color w:val="000000"/>
                <w:szCs w:val="22"/>
              </w:rPr>
              <w:t xml:space="preserve"> a zařízení</w:t>
            </w:r>
            <w:r w:rsidRPr="0061100C">
              <w:rPr>
                <w:rFonts w:asciiTheme="minorHAnsi" w:eastAsia="Calibri" w:hAnsiTheme="minorHAnsi" w:cstheme="minorHAnsi"/>
                <w:color w:val="000000"/>
                <w:szCs w:val="22"/>
              </w:rPr>
              <w:t xml:space="preserve"> ohrožené selháním</w:t>
            </w:r>
            <w:r>
              <w:rPr>
                <w:rFonts w:asciiTheme="minorHAnsi" w:eastAsia="Calibri" w:hAnsiTheme="minorHAnsi" w:cstheme="minorHAnsi"/>
                <w:color w:val="000000"/>
                <w:szCs w:val="22"/>
              </w:rPr>
              <w:t xml:space="preserve">, minimálně </w:t>
            </w:r>
            <w:r w:rsidRPr="0061100C">
              <w:rPr>
                <w:rFonts w:asciiTheme="minorHAnsi" w:eastAsia="Calibri" w:hAnsiTheme="minorHAnsi" w:cstheme="minorHAnsi"/>
                <w:color w:val="000000"/>
                <w:szCs w:val="22"/>
              </w:rPr>
              <w:t>disk, baterie</w:t>
            </w:r>
            <w:r>
              <w:rPr>
                <w:rFonts w:asciiTheme="minorHAnsi" w:eastAsia="Calibri" w:hAnsiTheme="minorHAnsi" w:cstheme="minorHAnsi"/>
                <w:color w:val="000000"/>
                <w:szCs w:val="22"/>
              </w:rPr>
              <w:t xml:space="preserve"> nebo operační systém</w:t>
            </w:r>
            <w:r w:rsidRPr="0061100C">
              <w:rPr>
                <w:rFonts w:asciiTheme="minorHAnsi" w:eastAsia="Calibri" w:hAnsiTheme="minorHAnsi" w:cstheme="minorHAnsi"/>
                <w:color w:val="000000"/>
                <w:szCs w:val="22"/>
              </w:rPr>
              <w:t xml:space="preserve"> a umožnit obsluze na tyto události reagovat dříve, než takový stav nastane. </w:t>
            </w:r>
            <w:r>
              <w:rPr>
                <w:rFonts w:asciiTheme="minorHAnsi" w:eastAsia="Calibri" w:hAnsiTheme="minorHAnsi" w:cstheme="minorHAnsi"/>
                <w:color w:val="000000"/>
                <w:szCs w:val="22"/>
              </w:rPr>
              <w:t>Nestačí pouze přehled využití monitorovaných systémů nebo zařízení.</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9DEA1B5" w14:textId="036CCE57" w:rsidR="00137AE2" w:rsidRPr="00D6629D" w:rsidRDefault="00137AE2" w:rsidP="00137AE2">
            <w:pPr>
              <w:jc w:val="center"/>
              <w:rPr>
                <w:rFonts w:asciiTheme="minorHAnsi" w:hAnsiTheme="minorHAnsi" w:cstheme="minorHAnsi"/>
                <w:color w:val="000000"/>
                <w:szCs w:val="22"/>
              </w:rPr>
            </w:pPr>
            <w:r w:rsidRPr="00D05AEE">
              <w:rPr>
                <w:rFonts w:asciiTheme="minorHAnsi" w:hAnsiTheme="minorHAnsi" w:cstheme="minorHAnsi"/>
                <w:color w:val="000000"/>
                <w:szCs w:val="22"/>
              </w:rPr>
              <w:t>ANO</w:t>
            </w:r>
          </w:p>
        </w:tc>
      </w:tr>
      <w:tr w:rsidR="00137AE2" w14:paraId="48125277" w14:textId="77777777" w:rsidTr="00CB669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0F571A9" w14:textId="77777777" w:rsidR="00137AE2" w:rsidRPr="0061100C" w:rsidRDefault="00137AE2" w:rsidP="00137AE2">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Systém musí m</w:t>
            </w:r>
            <w:r w:rsidRPr="0061100C">
              <w:rPr>
                <w:rFonts w:asciiTheme="minorHAnsi" w:eastAsia="Calibri" w:hAnsiTheme="minorHAnsi" w:cstheme="minorHAnsi"/>
                <w:color w:val="000000"/>
                <w:szCs w:val="22"/>
              </w:rPr>
              <w:t>onitor</w:t>
            </w:r>
            <w:r>
              <w:rPr>
                <w:rFonts w:asciiTheme="minorHAnsi" w:eastAsia="Calibri" w:hAnsiTheme="minorHAnsi" w:cstheme="minorHAnsi"/>
                <w:color w:val="000000"/>
                <w:szCs w:val="22"/>
              </w:rPr>
              <w:t>ovat</w:t>
            </w:r>
            <w:r w:rsidRPr="0061100C">
              <w:rPr>
                <w:rFonts w:asciiTheme="minorHAnsi" w:eastAsia="Calibri" w:hAnsiTheme="minorHAnsi" w:cstheme="minorHAnsi"/>
                <w:color w:val="000000"/>
                <w:szCs w:val="22"/>
              </w:rPr>
              <w:t xml:space="preserve"> stav</w:t>
            </w:r>
            <w:r>
              <w:rPr>
                <w:rFonts w:asciiTheme="minorHAnsi" w:eastAsia="Calibri" w:hAnsiTheme="minorHAnsi" w:cstheme="minorHAnsi"/>
                <w:color w:val="000000"/>
                <w:szCs w:val="22"/>
              </w:rPr>
              <w:t xml:space="preserve"> </w:t>
            </w:r>
            <w:r w:rsidRPr="0061100C">
              <w:rPr>
                <w:rFonts w:asciiTheme="minorHAnsi" w:eastAsia="Calibri" w:hAnsiTheme="minorHAnsi" w:cstheme="minorHAnsi"/>
                <w:color w:val="000000"/>
                <w:szCs w:val="22"/>
              </w:rPr>
              <w:t>antivirové ochrany</w:t>
            </w:r>
            <w:r>
              <w:rPr>
                <w:rFonts w:asciiTheme="minorHAnsi" w:eastAsia="Calibri" w:hAnsiTheme="minorHAnsi" w:cstheme="minorHAnsi"/>
                <w:color w:val="000000"/>
                <w:szCs w:val="22"/>
              </w:rPr>
              <w:t xml:space="preserve"> na koncovém zařízení</w:t>
            </w:r>
            <w:r w:rsidRPr="0061100C">
              <w:rPr>
                <w:rFonts w:asciiTheme="minorHAnsi" w:eastAsia="Calibri" w:hAnsiTheme="minorHAnsi" w:cstheme="minorHAnsi"/>
                <w:color w:val="000000"/>
                <w:szCs w:val="22"/>
              </w:rPr>
              <w:t>, stav firewall</w:t>
            </w:r>
            <w:r>
              <w:rPr>
                <w:rFonts w:asciiTheme="minorHAnsi" w:eastAsia="Calibri" w:hAnsiTheme="minorHAnsi" w:cstheme="minorHAnsi"/>
                <w:color w:val="000000"/>
                <w:szCs w:val="22"/>
              </w:rPr>
              <w:t>u</w:t>
            </w:r>
            <w:r w:rsidRPr="0061100C">
              <w:rPr>
                <w:rFonts w:asciiTheme="minorHAnsi" w:eastAsia="Calibri" w:hAnsiTheme="minorHAnsi" w:cstheme="minorHAnsi"/>
                <w:color w:val="000000"/>
                <w:szCs w:val="22"/>
              </w:rPr>
              <w:t>, stav šifrování</w:t>
            </w:r>
            <w:r>
              <w:rPr>
                <w:rFonts w:asciiTheme="minorHAnsi" w:eastAsia="Calibri" w:hAnsiTheme="minorHAnsi" w:cstheme="minorHAnsi"/>
                <w:color w:val="000000"/>
                <w:szCs w:val="22"/>
              </w:rPr>
              <w:t xml:space="preserve"> disku a </w:t>
            </w:r>
            <w:r w:rsidRPr="0061100C">
              <w:rPr>
                <w:rFonts w:asciiTheme="minorHAnsi" w:eastAsia="Calibri" w:hAnsiTheme="minorHAnsi" w:cstheme="minorHAnsi"/>
                <w:color w:val="000000"/>
                <w:szCs w:val="22"/>
              </w:rPr>
              <w:t>aktivit</w:t>
            </w:r>
            <w:r>
              <w:rPr>
                <w:rFonts w:asciiTheme="minorHAnsi" w:eastAsia="Calibri" w:hAnsiTheme="minorHAnsi" w:cstheme="minorHAnsi"/>
                <w:color w:val="000000"/>
                <w:szCs w:val="22"/>
              </w:rPr>
              <w:t>u</w:t>
            </w:r>
            <w:r w:rsidRPr="0061100C">
              <w:rPr>
                <w:rFonts w:asciiTheme="minorHAnsi" w:eastAsia="Calibri" w:hAnsiTheme="minorHAnsi" w:cstheme="minorHAnsi"/>
                <w:color w:val="000000"/>
                <w:szCs w:val="22"/>
              </w:rPr>
              <w:t xml:space="preserve"> zařízení</w:t>
            </w:r>
            <w:r>
              <w:rPr>
                <w:rFonts w:asciiTheme="minorHAnsi" w:eastAsia="Calibri" w:hAnsiTheme="minorHAnsi" w:cstheme="minorHAnsi"/>
                <w:color w:val="000000"/>
                <w:szCs w:val="22"/>
              </w:rPr>
              <w:t xml:space="preserve"> a identifikovat zařízení, jejichž stav neodpovídá požadovaným nastavením např. neprovedené aktualizace antivirové ochrany, neaktuální ovladače zařízení atp.</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31642ED" w14:textId="7AA26DD1" w:rsidR="00137AE2" w:rsidRPr="00D6629D" w:rsidRDefault="00137AE2" w:rsidP="00137AE2">
            <w:pPr>
              <w:jc w:val="center"/>
              <w:rPr>
                <w:rFonts w:asciiTheme="minorHAnsi" w:hAnsiTheme="minorHAnsi" w:cstheme="minorHAnsi"/>
                <w:color w:val="000000"/>
                <w:szCs w:val="22"/>
              </w:rPr>
            </w:pPr>
            <w:r w:rsidRPr="00D05AEE">
              <w:rPr>
                <w:rFonts w:asciiTheme="minorHAnsi" w:hAnsiTheme="minorHAnsi" w:cstheme="minorHAnsi"/>
                <w:color w:val="000000"/>
                <w:szCs w:val="22"/>
              </w:rPr>
              <w:t>ANO</w:t>
            </w:r>
          </w:p>
        </w:tc>
      </w:tr>
      <w:tr w:rsidR="00137AE2" w14:paraId="5D49947D" w14:textId="77777777" w:rsidTr="00CB669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01F28D4E" w14:textId="77777777" w:rsidR="00137AE2" w:rsidRPr="0061100C" w:rsidRDefault="00137AE2" w:rsidP="00137AE2">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Systém musí pro online s</w:t>
            </w:r>
            <w:r w:rsidRPr="0061100C">
              <w:rPr>
                <w:rFonts w:asciiTheme="minorHAnsi" w:eastAsia="Calibri" w:hAnsiTheme="minorHAnsi" w:cstheme="minorHAnsi"/>
                <w:color w:val="000000"/>
                <w:szCs w:val="22"/>
              </w:rPr>
              <w:t xml:space="preserve">ledování důležitých ukazatelů výkonu </w:t>
            </w:r>
            <w:r>
              <w:rPr>
                <w:rFonts w:asciiTheme="minorHAnsi" w:eastAsia="Calibri" w:hAnsiTheme="minorHAnsi" w:cstheme="minorHAnsi"/>
                <w:color w:val="000000"/>
                <w:szCs w:val="22"/>
              </w:rPr>
              <w:t>koncových</w:t>
            </w:r>
            <w:r w:rsidRPr="0061100C">
              <w:rPr>
                <w:rFonts w:asciiTheme="minorHAnsi" w:eastAsia="Calibri" w:hAnsiTheme="minorHAnsi" w:cstheme="minorHAnsi"/>
                <w:color w:val="000000"/>
                <w:szCs w:val="22"/>
              </w:rPr>
              <w:t xml:space="preserve"> zařízení</w:t>
            </w:r>
            <w:r>
              <w:rPr>
                <w:rFonts w:asciiTheme="minorHAnsi" w:eastAsia="Calibri" w:hAnsiTheme="minorHAnsi" w:cstheme="minorHAnsi"/>
                <w:color w:val="000000"/>
                <w:szCs w:val="22"/>
              </w:rPr>
              <w:t xml:space="preserve"> umožnit vytvářet uživatelsky definované </w:t>
            </w:r>
            <w:r w:rsidRPr="0061100C">
              <w:rPr>
                <w:rFonts w:asciiTheme="minorHAnsi" w:eastAsia="Calibri" w:hAnsiTheme="minorHAnsi" w:cstheme="minorHAnsi"/>
                <w:color w:val="000000"/>
                <w:szCs w:val="22"/>
              </w:rPr>
              <w:t>souhrnn</w:t>
            </w:r>
            <w:r>
              <w:rPr>
                <w:rFonts w:asciiTheme="minorHAnsi" w:eastAsia="Calibri" w:hAnsiTheme="minorHAnsi" w:cstheme="minorHAnsi"/>
                <w:color w:val="000000"/>
                <w:szCs w:val="22"/>
              </w:rPr>
              <w:t>é</w:t>
            </w:r>
            <w:r w:rsidRPr="0061100C">
              <w:rPr>
                <w:rFonts w:asciiTheme="minorHAnsi" w:eastAsia="Calibri" w:hAnsiTheme="minorHAnsi" w:cstheme="minorHAnsi"/>
                <w:color w:val="000000"/>
                <w:szCs w:val="22"/>
              </w:rPr>
              <w:t xml:space="preserve"> report</w:t>
            </w:r>
            <w:r>
              <w:rPr>
                <w:rFonts w:asciiTheme="minorHAnsi" w:eastAsia="Calibri" w:hAnsiTheme="minorHAnsi" w:cstheme="minorHAnsi"/>
                <w:color w:val="000000"/>
                <w:szCs w:val="22"/>
              </w:rPr>
              <w:t>y</w:t>
            </w:r>
            <w:r w:rsidRPr="0061100C">
              <w:rPr>
                <w:rFonts w:asciiTheme="minorHAnsi" w:eastAsia="Calibri" w:hAnsiTheme="minorHAnsi" w:cstheme="minorHAnsi"/>
                <w:color w:val="000000"/>
                <w:szCs w:val="22"/>
              </w:rPr>
              <w:t xml:space="preserve"> za zvolené nebo stanovené období.</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5123964B" w14:textId="14A5F924" w:rsidR="00137AE2" w:rsidRPr="00D6629D" w:rsidRDefault="00137AE2" w:rsidP="00137AE2">
            <w:pPr>
              <w:jc w:val="center"/>
              <w:rPr>
                <w:rFonts w:asciiTheme="minorHAnsi" w:hAnsiTheme="minorHAnsi" w:cstheme="minorHAnsi"/>
                <w:color w:val="000000"/>
                <w:szCs w:val="22"/>
              </w:rPr>
            </w:pPr>
            <w:r w:rsidRPr="00D05AEE">
              <w:rPr>
                <w:rFonts w:asciiTheme="minorHAnsi" w:hAnsiTheme="minorHAnsi" w:cstheme="minorHAnsi"/>
                <w:color w:val="000000"/>
                <w:szCs w:val="22"/>
              </w:rPr>
              <w:t>ANO</w:t>
            </w:r>
          </w:p>
        </w:tc>
      </w:tr>
      <w:tr w:rsidR="000C02BB" w14:paraId="3246CFD8" w14:textId="77777777" w:rsidTr="000C02BB">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AD256B3" w14:textId="77777777" w:rsidR="000C02BB" w:rsidRPr="0061100C" w:rsidRDefault="000C02BB" w:rsidP="00201F4D">
            <w:pPr>
              <w:jc w:val="left"/>
              <w:rPr>
                <w:rFonts w:asciiTheme="minorHAnsi" w:eastAsia="Calibri" w:hAnsiTheme="minorHAnsi" w:cstheme="minorHAnsi"/>
                <w:color w:val="000000"/>
                <w:szCs w:val="22"/>
              </w:rPr>
            </w:pPr>
            <w:r>
              <w:rPr>
                <w:rFonts w:asciiTheme="minorHAnsi" w:eastAsia="Calibri" w:hAnsiTheme="minorHAnsi" w:cstheme="minorHAnsi"/>
                <w:color w:val="000000"/>
                <w:szCs w:val="22"/>
              </w:rPr>
              <w:t>Systém musí mít v rámci uživatelského prostření m</w:t>
            </w:r>
            <w:r w:rsidRPr="0061100C">
              <w:rPr>
                <w:rFonts w:asciiTheme="minorHAnsi" w:eastAsia="Calibri" w:hAnsiTheme="minorHAnsi" w:cstheme="minorHAnsi"/>
                <w:color w:val="000000"/>
                <w:szCs w:val="22"/>
              </w:rPr>
              <w:t xml:space="preserve">ožnost konfigurovat, seskupovat a </w:t>
            </w:r>
            <w:r>
              <w:rPr>
                <w:rFonts w:asciiTheme="minorHAnsi" w:eastAsia="Calibri" w:hAnsiTheme="minorHAnsi" w:cstheme="minorHAnsi"/>
                <w:color w:val="000000"/>
                <w:szCs w:val="22"/>
              </w:rPr>
              <w:t xml:space="preserve">zobrazovat </w:t>
            </w:r>
            <w:r w:rsidRPr="0061100C">
              <w:rPr>
                <w:rFonts w:asciiTheme="minorHAnsi" w:eastAsia="Calibri" w:hAnsiTheme="minorHAnsi" w:cstheme="minorHAnsi"/>
                <w:color w:val="000000"/>
                <w:szCs w:val="22"/>
              </w:rPr>
              <w:t xml:space="preserve">zařízení na základě </w:t>
            </w:r>
            <w:r>
              <w:rPr>
                <w:rFonts w:asciiTheme="minorHAnsi" w:eastAsia="Calibri" w:hAnsiTheme="minorHAnsi" w:cstheme="minorHAnsi"/>
                <w:color w:val="000000"/>
                <w:szCs w:val="22"/>
              </w:rPr>
              <w:t xml:space="preserve">uživatelem </w:t>
            </w:r>
            <w:r w:rsidRPr="0061100C">
              <w:rPr>
                <w:rFonts w:asciiTheme="minorHAnsi" w:eastAsia="Calibri" w:hAnsiTheme="minorHAnsi" w:cstheme="minorHAnsi"/>
                <w:color w:val="000000"/>
                <w:szCs w:val="22"/>
              </w:rPr>
              <w:t>definované hierarchie</w:t>
            </w:r>
            <w:r>
              <w:rPr>
                <w:rFonts w:asciiTheme="minorHAnsi" w:eastAsia="Calibri" w:hAnsiTheme="minorHAnsi" w:cstheme="minorHAnsi"/>
                <w:color w:val="000000"/>
                <w:szCs w:val="22"/>
              </w:rPr>
              <w:t xml:space="preserve"> a skupin.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50252" w14:textId="15260921" w:rsidR="000C02BB" w:rsidRPr="00D6629D" w:rsidRDefault="00137AE2"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bookmarkEnd w:id="2"/>
    </w:tbl>
    <w:p w14:paraId="1E381C11" w14:textId="77777777" w:rsidR="007412AD" w:rsidRDefault="007412AD"/>
    <w:p w14:paraId="608AD600" w14:textId="4F2AED71" w:rsidR="002116AD" w:rsidRDefault="00646842" w:rsidP="000C02BB">
      <w:pPr>
        <w:keepNext/>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w:t>
      </w:r>
      <w:r w:rsidR="00CD3483">
        <w:rPr>
          <w:rFonts w:eastAsiaTheme="minorEastAsia" w:cs="Arial"/>
          <w:b/>
          <w:bCs/>
          <w:caps/>
          <w:color w:val="1F497D" w:themeColor="text2"/>
          <w:spacing w:val="15"/>
          <w:sz w:val="24"/>
          <w:szCs w:val="24"/>
        </w:rPr>
        <w:t>ožadavky na</w:t>
      </w:r>
      <w:r w:rsidR="00D30A7C">
        <w:rPr>
          <w:rFonts w:eastAsiaTheme="minorEastAsia" w:cs="Arial"/>
          <w:b/>
          <w:bCs/>
          <w:caps/>
          <w:color w:val="1F497D" w:themeColor="text2"/>
          <w:spacing w:val="15"/>
          <w:sz w:val="24"/>
          <w:szCs w:val="24"/>
        </w:rPr>
        <w:t xml:space="preserve"> technick</w:t>
      </w:r>
      <w:r w:rsidR="00CD3483">
        <w:rPr>
          <w:rFonts w:eastAsiaTheme="minorEastAsia" w:cs="Arial"/>
          <w:b/>
          <w:bCs/>
          <w:caps/>
          <w:color w:val="1F497D" w:themeColor="text2"/>
          <w:spacing w:val="15"/>
          <w:sz w:val="24"/>
          <w:szCs w:val="24"/>
        </w:rPr>
        <w:t xml:space="preserve">ou </w:t>
      </w:r>
      <w:r w:rsidR="00363698">
        <w:rPr>
          <w:rFonts w:eastAsiaTheme="minorEastAsia" w:cs="Arial"/>
          <w:b/>
          <w:bCs/>
          <w:caps/>
          <w:color w:val="1F497D" w:themeColor="text2"/>
          <w:spacing w:val="15"/>
          <w:sz w:val="24"/>
          <w:szCs w:val="24"/>
        </w:rPr>
        <w:t xml:space="preserve">a uživatelskou </w:t>
      </w:r>
      <w:r w:rsidR="00D30A7C">
        <w:rPr>
          <w:rFonts w:eastAsiaTheme="minorEastAsia" w:cs="Arial"/>
          <w:b/>
          <w:bCs/>
          <w:caps/>
          <w:color w:val="1F497D" w:themeColor="text2"/>
          <w:spacing w:val="15"/>
          <w:sz w:val="24"/>
          <w:szCs w:val="24"/>
        </w:rPr>
        <w:t>podpor</w:t>
      </w:r>
      <w:r w:rsidR="00CD3483">
        <w:rPr>
          <w:rFonts w:eastAsiaTheme="minorEastAsia" w:cs="Arial"/>
          <w:b/>
          <w:bCs/>
          <w:caps/>
          <w:color w:val="1F497D" w:themeColor="text2"/>
          <w:spacing w:val="15"/>
          <w:sz w:val="24"/>
          <w:szCs w:val="24"/>
        </w:rPr>
        <w:t>u</w:t>
      </w:r>
    </w:p>
    <w:p w14:paraId="5E2DD70C" w14:textId="61D6F44A" w:rsidR="00D26DE5" w:rsidRPr="009D3193" w:rsidRDefault="001247F9" w:rsidP="009D3193">
      <w:pPr>
        <w:spacing w:before="120"/>
        <w:rPr>
          <w:rFonts w:eastAsiaTheme="minorEastAsia" w:cs="Arial"/>
          <w:iCs/>
        </w:rPr>
      </w:pPr>
      <w:r>
        <w:rPr>
          <w:rFonts w:eastAsiaTheme="minorEastAsia" w:cs="Arial"/>
        </w:rPr>
        <w:t xml:space="preserve">Součástí předmětu plnění je technická podpora programového vybavení implementovaného u objednatele po </w:t>
      </w:r>
      <w:r w:rsidR="0069131C">
        <w:rPr>
          <w:rFonts w:eastAsiaTheme="minorEastAsia" w:cs="Arial"/>
        </w:rPr>
        <w:t xml:space="preserve">celou </w:t>
      </w:r>
      <w:r>
        <w:rPr>
          <w:rFonts w:eastAsiaTheme="minorEastAsia" w:cs="Arial"/>
        </w:rPr>
        <w:t xml:space="preserve">dobu </w:t>
      </w:r>
      <w:r w:rsidR="0069131C">
        <w:rPr>
          <w:rFonts w:eastAsiaTheme="minorEastAsia" w:cs="Arial"/>
        </w:rPr>
        <w:t>účinnosti smlouvy.</w:t>
      </w:r>
      <w:r w:rsidR="005D519D">
        <w:rPr>
          <w:rFonts w:eastAsiaTheme="minorEastAsia" w:cs="Arial"/>
          <w:iCs/>
        </w:rPr>
        <w:t xml:space="preserve"> Předmětem technické podpory </w:t>
      </w:r>
      <w:r w:rsidR="00845E95">
        <w:rPr>
          <w:rFonts w:eastAsiaTheme="minorEastAsia" w:cs="Arial"/>
          <w:iCs/>
        </w:rPr>
        <w:t>je:</w:t>
      </w:r>
    </w:p>
    <w:p w14:paraId="4E02654B" w14:textId="51A9123F" w:rsidR="002116AD" w:rsidRDefault="00D30A7C" w:rsidP="00F23ED2">
      <w:pPr>
        <w:numPr>
          <w:ilvl w:val="0"/>
          <w:numId w:val="18"/>
        </w:numPr>
        <w:spacing w:before="120"/>
        <w:ind w:hanging="357"/>
        <w:rPr>
          <w:rFonts w:eastAsiaTheme="minorEastAsia" w:cs="Arial"/>
        </w:rPr>
      </w:pPr>
      <w:r>
        <w:rPr>
          <w:rFonts w:eastAsiaTheme="minorEastAsia" w:cs="Arial"/>
        </w:rPr>
        <w:t xml:space="preserve">Přístup k bezpečnostním update, opravám a novým verzím programového vybavení; </w:t>
      </w:r>
    </w:p>
    <w:p w14:paraId="4CF4D81F" w14:textId="77777777" w:rsidR="002116AD" w:rsidRDefault="00D30A7C" w:rsidP="00F23ED2">
      <w:pPr>
        <w:numPr>
          <w:ilvl w:val="0"/>
          <w:numId w:val="18"/>
        </w:numPr>
        <w:spacing w:before="120"/>
        <w:ind w:hanging="357"/>
        <w:rPr>
          <w:rFonts w:eastAsiaTheme="minorEastAsia" w:cs="Arial"/>
        </w:rPr>
      </w:pPr>
      <w:r>
        <w:rPr>
          <w:rFonts w:eastAsiaTheme="minorEastAsia" w:cs="Arial"/>
        </w:rPr>
        <w:t>Implementace a zprovoznění bezpečnostních update, oprav a nových verzí vydaných výrobcem programového vybavení;</w:t>
      </w:r>
    </w:p>
    <w:p w14:paraId="6813E9FC" w14:textId="77777777" w:rsidR="002116AD" w:rsidRDefault="00D30A7C" w:rsidP="00F23ED2">
      <w:pPr>
        <w:numPr>
          <w:ilvl w:val="0"/>
          <w:numId w:val="18"/>
        </w:numPr>
        <w:spacing w:before="120"/>
        <w:ind w:hanging="357"/>
        <w:rPr>
          <w:rFonts w:eastAsiaTheme="minorEastAsia" w:cs="Arial"/>
        </w:rPr>
      </w:pPr>
      <w:r>
        <w:rPr>
          <w:rFonts w:eastAsiaTheme="minorEastAsia" w:cs="Arial"/>
        </w:rPr>
        <w:t>Odstraňování vad programového vybavení v místě instalace s garantovanou reakcí NBD (Next Business Day) nebo lepší s dobou odstranění závady do 5 pracovních dnů od nahlášení;</w:t>
      </w:r>
    </w:p>
    <w:p w14:paraId="5F0468BF" w14:textId="1989EB5F" w:rsidR="002116AD" w:rsidRDefault="00D30A7C" w:rsidP="00F23ED2">
      <w:pPr>
        <w:numPr>
          <w:ilvl w:val="0"/>
          <w:numId w:val="18"/>
        </w:numPr>
        <w:spacing w:before="120"/>
        <w:ind w:hanging="357"/>
        <w:rPr>
          <w:rFonts w:eastAsiaTheme="minorEastAsia" w:cs="Arial"/>
        </w:rPr>
      </w:pPr>
      <w:r>
        <w:rPr>
          <w:rFonts w:eastAsiaTheme="minorEastAsia" w:cs="Arial"/>
        </w:rPr>
        <w:lastRenderedPageBreak/>
        <w:t>Aktualizace dokumentace při změnách programového vybavení;</w:t>
      </w:r>
      <w:r w:rsidR="000C0725">
        <w:rPr>
          <w:rFonts w:eastAsiaTheme="minorEastAsia" w:cs="Arial"/>
        </w:rPr>
        <w:t xml:space="preserve"> </w:t>
      </w:r>
    </w:p>
    <w:p w14:paraId="47335F6C" w14:textId="1876F6B2" w:rsidR="002116AD" w:rsidRDefault="00D30A7C" w:rsidP="00F23ED2">
      <w:pPr>
        <w:numPr>
          <w:ilvl w:val="0"/>
          <w:numId w:val="18"/>
        </w:numPr>
        <w:spacing w:before="120"/>
        <w:ind w:hanging="357"/>
        <w:rPr>
          <w:rFonts w:eastAsiaTheme="minorEastAsia" w:cs="Arial"/>
        </w:rPr>
      </w:pPr>
      <w:r>
        <w:rPr>
          <w:rFonts w:eastAsiaTheme="minorEastAsia" w:cs="Arial"/>
        </w:rPr>
        <w:t xml:space="preserve">Telefonická podpora v českém jazyce v režimu 5 x 9, v pracovní dny od 8 do </w:t>
      </w:r>
      <w:r w:rsidR="00363698">
        <w:rPr>
          <w:rFonts w:eastAsiaTheme="minorEastAsia" w:cs="Arial"/>
        </w:rPr>
        <w:t>17 h</w:t>
      </w:r>
      <w:r>
        <w:rPr>
          <w:rFonts w:eastAsiaTheme="minorEastAsia" w:cs="Arial"/>
        </w:rPr>
        <w:t xml:space="preserve"> na čísle </w:t>
      </w:r>
      <w:r w:rsidR="00137AE2">
        <w:rPr>
          <w:rFonts w:eastAsiaTheme="minorEastAsia" w:cs="Arial"/>
        </w:rPr>
        <w:t>+420 239 016 398</w:t>
      </w:r>
      <w:r>
        <w:rPr>
          <w:rFonts w:eastAsiaTheme="minorEastAsia" w:cs="Arial"/>
        </w:rPr>
        <w:t>;</w:t>
      </w:r>
    </w:p>
    <w:p w14:paraId="18E08BA0" w14:textId="66CD28FD" w:rsidR="002116AD" w:rsidRDefault="00D30A7C" w:rsidP="00F23ED2">
      <w:pPr>
        <w:numPr>
          <w:ilvl w:val="0"/>
          <w:numId w:val="18"/>
        </w:numPr>
        <w:spacing w:before="120"/>
        <w:ind w:hanging="357"/>
        <w:rPr>
          <w:rFonts w:eastAsiaTheme="minorEastAsia" w:cs="Arial"/>
        </w:rPr>
      </w:pPr>
      <w:r>
        <w:rPr>
          <w:rFonts w:eastAsiaTheme="minorEastAsia" w:cs="Arial"/>
        </w:rPr>
        <w:t xml:space="preserve">Provozovaní služby helpdesk písemně na adrese </w:t>
      </w:r>
      <w:hyperlink r:id="rId11" w:history="1">
        <w:r w:rsidR="00137AE2" w:rsidRPr="004279CC">
          <w:rPr>
            <w:rStyle w:val="Hypertextovodkaz"/>
            <w:rFonts w:eastAsiaTheme="minorEastAsia" w:cs="Arial"/>
          </w:rPr>
          <w:t>hpdaas_emea@hp.com</w:t>
        </w:r>
      </w:hyperlink>
      <w:r w:rsidR="00137AE2">
        <w:rPr>
          <w:rFonts w:eastAsiaTheme="minorEastAsia" w:cs="Arial"/>
        </w:rPr>
        <w:t xml:space="preserve"> </w:t>
      </w:r>
      <w:r>
        <w:rPr>
          <w:rFonts w:eastAsiaTheme="minorEastAsia" w:cs="Arial"/>
        </w:rPr>
        <w:t xml:space="preserve">nebo telefonicky na čísle </w:t>
      </w:r>
      <w:r w:rsidR="00137AE2">
        <w:rPr>
          <w:rFonts w:eastAsiaTheme="minorEastAsia" w:cs="Arial"/>
        </w:rPr>
        <w:t>+420 239 016 398</w:t>
      </w:r>
      <w:r>
        <w:rPr>
          <w:rFonts w:eastAsiaTheme="minorEastAsia" w:cs="Arial"/>
        </w:rPr>
        <w:t xml:space="preserve"> </w:t>
      </w:r>
      <w:r w:rsidR="00137AE2">
        <w:rPr>
          <w:rFonts w:eastAsiaTheme="minorEastAsia" w:cs="Arial"/>
        </w:rPr>
        <w:t>–</w:t>
      </w:r>
      <w:r>
        <w:rPr>
          <w:rFonts w:eastAsiaTheme="minorEastAsia" w:cs="Arial"/>
        </w:rPr>
        <w:t xml:space="preserve"> neomezen</w:t>
      </w:r>
      <w:r w:rsidR="00137AE2">
        <w:rPr>
          <w:rFonts w:eastAsiaTheme="minorEastAsia" w:cs="Arial"/>
        </w:rPr>
        <w:t>ě.</w:t>
      </w:r>
    </w:p>
    <w:p w14:paraId="72E256F3" w14:textId="77777777" w:rsidR="002116AD" w:rsidRDefault="002116AD">
      <w:pPr>
        <w:spacing w:before="200" w:after="200" w:line="276" w:lineRule="auto"/>
        <w:contextualSpacing/>
        <w:rPr>
          <w:rFonts w:eastAsiaTheme="minorEastAsia" w:cs="Arial"/>
        </w:rPr>
      </w:pPr>
    </w:p>
    <w:p w14:paraId="54221791" w14:textId="77777777" w:rsidR="00661A6D" w:rsidRDefault="00661A6D">
      <w:pPr>
        <w:spacing w:before="200" w:after="200" w:line="276" w:lineRule="auto"/>
        <w:contextualSpacing/>
        <w:rPr>
          <w:rFonts w:eastAsiaTheme="minorEastAsia" w:cs="Arial"/>
        </w:rPr>
      </w:pPr>
    </w:p>
    <w:p w14:paraId="654CEFE5" w14:textId="033670A3" w:rsidR="00661A6D" w:rsidRDefault="00661A6D" w:rsidP="00661A6D">
      <w:pPr>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Cenová kalkulace</w:t>
      </w:r>
    </w:p>
    <w:tbl>
      <w:tblPr>
        <w:tblStyle w:val="Mkatabulky"/>
        <w:tblW w:w="9668"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28" w:type="dxa"/>
          <w:bottom w:w="28" w:type="dxa"/>
        </w:tblCellMar>
        <w:tblLook w:val="04A0" w:firstRow="1" w:lastRow="0" w:firstColumn="1" w:lastColumn="0" w:noHBand="0" w:noVBand="1"/>
      </w:tblPr>
      <w:tblGrid>
        <w:gridCol w:w="596"/>
        <w:gridCol w:w="4820"/>
        <w:gridCol w:w="850"/>
        <w:gridCol w:w="1701"/>
        <w:gridCol w:w="1701"/>
      </w:tblGrid>
      <w:tr w:rsidR="00661A6D" w14:paraId="7C05F8C1" w14:textId="77777777" w:rsidTr="00661A6D">
        <w:tc>
          <w:tcPr>
            <w:tcW w:w="596" w:type="dxa"/>
            <w:shd w:val="clear" w:color="auto" w:fill="DBE5F1" w:themeFill="accent1" w:themeFillTint="33"/>
            <w:vAlign w:val="center"/>
            <w:hideMark/>
          </w:tcPr>
          <w:p w14:paraId="3A2B0E3A" w14:textId="77777777" w:rsidR="00661A6D" w:rsidRDefault="00661A6D" w:rsidP="001E668E">
            <w:pPr>
              <w:jc w:val="center"/>
              <w:rPr>
                <w:rFonts w:cs="Arial"/>
                <w:color w:val="002060"/>
                <w:sz w:val="20"/>
                <w:lang w:eastAsia="x-none"/>
              </w:rPr>
            </w:pPr>
            <w:r>
              <w:rPr>
                <w:rFonts w:cs="Arial"/>
                <w:color w:val="002060"/>
                <w:sz w:val="20"/>
                <w:lang w:eastAsia="x-none"/>
              </w:rPr>
              <w:t>Pol.</w:t>
            </w:r>
          </w:p>
        </w:tc>
        <w:tc>
          <w:tcPr>
            <w:tcW w:w="4820" w:type="dxa"/>
            <w:shd w:val="clear" w:color="auto" w:fill="DBE5F1" w:themeFill="accent1" w:themeFillTint="33"/>
            <w:vAlign w:val="center"/>
            <w:hideMark/>
          </w:tcPr>
          <w:p w14:paraId="20CD961F" w14:textId="77777777" w:rsidR="00661A6D" w:rsidRDefault="00661A6D" w:rsidP="001E668E">
            <w:pPr>
              <w:jc w:val="center"/>
              <w:rPr>
                <w:rFonts w:cs="Arial"/>
                <w:color w:val="002060"/>
                <w:sz w:val="20"/>
                <w:lang w:eastAsia="x-none"/>
              </w:rPr>
            </w:pPr>
            <w:r>
              <w:rPr>
                <w:rFonts w:cs="Arial"/>
                <w:color w:val="002060"/>
                <w:sz w:val="20"/>
                <w:lang w:eastAsia="x-none"/>
              </w:rPr>
              <w:t>Produkt / Obchodní název / Popis</w:t>
            </w:r>
          </w:p>
        </w:tc>
        <w:tc>
          <w:tcPr>
            <w:tcW w:w="850" w:type="dxa"/>
            <w:shd w:val="clear" w:color="auto" w:fill="DBE5F1" w:themeFill="accent1" w:themeFillTint="33"/>
            <w:vAlign w:val="center"/>
            <w:hideMark/>
          </w:tcPr>
          <w:p w14:paraId="522A7C55" w14:textId="77777777" w:rsidR="00661A6D" w:rsidRDefault="00661A6D" w:rsidP="001E668E">
            <w:pPr>
              <w:jc w:val="center"/>
              <w:rPr>
                <w:rFonts w:cs="Arial"/>
                <w:color w:val="002060"/>
                <w:sz w:val="20"/>
              </w:rPr>
            </w:pPr>
            <w:r>
              <w:rPr>
                <w:rFonts w:cs="Arial"/>
                <w:color w:val="002060"/>
                <w:sz w:val="20"/>
              </w:rPr>
              <w:t>Počet</w:t>
            </w:r>
          </w:p>
          <w:p w14:paraId="0A04EEF1" w14:textId="20D2CDB6" w:rsidR="00661A6D" w:rsidRDefault="00661A6D" w:rsidP="001E668E">
            <w:pPr>
              <w:jc w:val="center"/>
              <w:rPr>
                <w:rFonts w:cs="Arial"/>
                <w:color w:val="002060"/>
                <w:sz w:val="20"/>
              </w:rPr>
            </w:pPr>
            <w:r>
              <w:rPr>
                <w:rFonts w:cs="Arial"/>
                <w:color w:val="002060"/>
                <w:sz w:val="20"/>
              </w:rPr>
              <w:t>licencí</w:t>
            </w:r>
          </w:p>
        </w:tc>
        <w:tc>
          <w:tcPr>
            <w:tcW w:w="1701" w:type="dxa"/>
            <w:shd w:val="clear" w:color="auto" w:fill="DBE5F1" w:themeFill="accent1" w:themeFillTint="33"/>
            <w:vAlign w:val="center"/>
            <w:hideMark/>
          </w:tcPr>
          <w:p w14:paraId="7A4F588E" w14:textId="72BE4BE0" w:rsidR="00661A6D" w:rsidRDefault="00661A6D" w:rsidP="001E668E">
            <w:pPr>
              <w:jc w:val="center"/>
              <w:rPr>
                <w:rFonts w:cs="Arial"/>
                <w:color w:val="002060"/>
                <w:sz w:val="20"/>
              </w:rPr>
            </w:pPr>
            <w:r>
              <w:rPr>
                <w:rFonts w:cs="Arial"/>
                <w:color w:val="002060"/>
                <w:sz w:val="20"/>
              </w:rPr>
              <w:t xml:space="preserve">Cena za lic. </w:t>
            </w:r>
          </w:p>
          <w:p w14:paraId="51054AF4" w14:textId="77777777" w:rsidR="00661A6D" w:rsidRDefault="00661A6D" w:rsidP="001E668E">
            <w:pPr>
              <w:jc w:val="center"/>
              <w:rPr>
                <w:rFonts w:cs="Arial"/>
                <w:color w:val="002060"/>
                <w:sz w:val="20"/>
              </w:rPr>
            </w:pPr>
            <w:r>
              <w:rPr>
                <w:rFonts w:cs="Arial"/>
                <w:color w:val="002060"/>
                <w:sz w:val="20"/>
              </w:rPr>
              <w:t>v Kč bez DPH</w:t>
            </w:r>
          </w:p>
        </w:tc>
        <w:tc>
          <w:tcPr>
            <w:tcW w:w="1701" w:type="dxa"/>
            <w:shd w:val="clear" w:color="auto" w:fill="DBE5F1" w:themeFill="accent1" w:themeFillTint="33"/>
            <w:vAlign w:val="center"/>
            <w:hideMark/>
          </w:tcPr>
          <w:p w14:paraId="531946C9" w14:textId="556F7EF9" w:rsidR="00661A6D" w:rsidRDefault="00661A6D" w:rsidP="001E668E">
            <w:pPr>
              <w:jc w:val="center"/>
              <w:rPr>
                <w:rFonts w:cs="Arial"/>
                <w:color w:val="002060"/>
                <w:sz w:val="20"/>
              </w:rPr>
            </w:pPr>
            <w:r>
              <w:rPr>
                <w:rFonts w:cs="Arial"/>
                <w:color w:val="002060"/>
                <w:sz w:val="20"/>
              </w:rPr>
              <w:t>Celkem za pol.</w:t>
            </w:r>
          </w:p>
          <w:p w14:paraId="0BBD6630" w14:textId="77777777" w:rsidR="00661A6D" w:rsidRDefault="00661A6D" w:rsidP="001E668E">
            <w:pPr>
              <w:jc w:val="center"/>
              <w:rPr>
                <w:rFonts w:cs="Arial"/>
                <w:color w:val="002060"/>
                <w:sz w:val="20"/>
              </w:rPr>
            </w:pPr>
            <w:r>
              <w:rPr>
                <w:rFonts w:cs="Arial"/>
                <w:color w:val="002060"/>
                <w:sz w:val="20"/>
              </w:rPr>
              <w:t>v Kč bez DPH</w:t>
            </w:r>
          </w:p>
        </w:tc>
      </w:tr>
      <w:tr w:rsidR="00661A6D" w14:paraId="4D1CE571" w14:textId="77777777" w:rsidTr="00661A6D">
        <w:trPr>
          <w:trHeight w:val="340"/>
        </w:trPr>
        <w:tc>
          <w:tcPr>
            <w:tcW w:w="596" w:type="dxa"/>
            <w:vAlign w:val="center"/>
          </w:tcPr>
          <w:p w14:paraId="0C250299" w14:textId="77777777" w:rsidR="00661A6D" w:rsidRDefault="00661A6D" w:rsidP="001E668E">
            <w:pPr>
              <w:spacing w:before="60" w:after="60"/>
              <w:jc w:val="center"/>
              <w:rPr>
                <w:rFonts w:cs="Arial"/>
                <w:b/>
                <w:color w:val="000000"/>
                <w:sz w:val="20"/>
              </w:rPr>
            </w:pPr>
            <w:r>
              <w:rPr>
                <w:rFonts w:cs="Arial"/>
                <w:b/>
                <w:color w:val="000000"/>
                <w:sz w:val="20"/>
              </w:rPr>
              <w:t>1.</w:t>
            </w:r>
          </w:p>
        </w:tc>
        <w:tc>
          <w:tcPr>
            <w:tcW w:w="4820" w:type="dxa"/>
            <w:vAlign w:val="center"/>
          </w:tcPr>
          <w:p w14:paraId="02E14C13" w14:textId="2AECBE69" w:rsidR="00661A6D" w:rsidRDefault="00661A6D" w:rsidP="001E668E">
            <w:pPr>
              <w:spacing w:before="60" w:after="60"/>
              <w:rPr>
                <w:rFonts w:cs="Arial"/>
                <w:sz w:val="20"/>
                <w:lang w:eastAsia="x-none"/>
              </w:rPr>
            </w:pPr>
            <w:r>
              <w:rPr>
                <w:rFonts w:cs="Arial"/>
                <w:sz w:val="20"/>
                <w:lang w:eastAsia="x-none"/>
              </w:rPr>
              <w:t>Dodávka programového vybaven včetně technické a uživatelské podpory na období 36 měsíců</w:t>
            </w:r>
          </w:p>
        </w:tc>
        <w:tc>
          <w:tcPr>
            <w:tcW w:w="850" w:type="dxa"/>
            <w:vAlign w:val="center"/>
          </w:tcPr>
          <w:p w14:paraId="183039FD" w14:textId="281412CD" w:rsidR="00661A6D" w:rsidRPr="00661A6D" w:rsidRDefault="00661A6D" w:rsidP="001E668E">
            <w:pPr>
              <w:spacing w:before="60" w:after="60"/>
              <w:jc w:val="center"/>
              <w:rPr>
                <w:rFonts w:cs="Arial"/>
                <w:b/>
                <w:sz w:val="20"/>
              </w:rPr>
            </w:pPr>
            <w:r w:rsidRPr="00661A6D">
              <w:rPr>
                <w:rFonts w:cs="Arial"/>
                <w:sz w:val="20"/>
              </w:rPr>
              <w:t>1 000</w:t>
            </w:r>
          </w:p>
        </w:tc>
        <w:tc>
          <w:tcPr>
            <w:tcW w:w="1701" w:type="dxa"/>
            <w:vAlign w:val="center"/>
          </w:tcPr>
          <w:p w14:paraId="0D2D6486" w14:textId="59EA4C4D" w:rsidR="00661A6D" w:rsidRPr="00661A6D" w:rsidRDefault="00137AE2" w:rsidP="001E668E">
            <w:pPr>
              <w:spacing w:before="60" w:after="60"/>
              <w:jc w:val="center"/>
              <w:rPr>
                <w:rFonts w:cs="Arial"/>
                <w:sz w:val="20"/>
              </w:rPr>
            </w:pPr>
            <w:r>
              <w:rPr>
                <w:rFonts w:cs="Arial"/>
                <w:sz w:val="20"/>
              </w:rPr>
              <w:t>608,40</w:t>
            </w:r>
          </w:p>
        </w:tc>
        <w:tc>
          <w:tcPr>
            <w:tcW w:w="1701" w:type="dxa"/>
            <w:vAlign w:val="center"/>
          </w:tcPr>
          <w:p w14:paraId="21762958" w14:textId="11CB636F" w:rsidR="00661A6D" w:rsidRPr="00661A6D" w:rsidRDefault="00137AE2" w:rsidP="001E668E">
            <w:pPr>
              <w:spacing w:before="60" w:after="60"/>
              <w:jc w:val="center"/>
              <w:rPr>
                <w:rFonts w:cs="Arial"/>
                <w:sz w:val="20"/>
              </w:rPr>
            </w:pPr>
            <w:r>
              <w:rPr>
                <w:rFonts w:cs="Arial"/>
                <w:sz w:val="20"/>
              </w:rPr>
              <w:t>608 400</w:t>
            </w:r>
          </w:p>
        </w:tc>
      </w:tr>
      <w:tr w:rsidR="00661A6D" w14:paraId="1264CDAC" w14:textId="77777777" w:rsidTr="00661A6D">
        <w:trPr>
          <w:trHeight w:val="340"/>
        </w:trPr>
        <w:tc>
          <w:tcPr>
            <w:tcW w:w="7967" w:type="dxa"/>
            <w:gridSpan w:val="4"/>
          </w:tcPr>
          <w:p w14:paraId="7440D0C4" w14:textId="77777777" w:rsidR="00661A6D" w:rsidRPr="00661A6D" w:rsidRDefault="00661A6D" w:rsidP="001E668E">
            <w:pPr>
              <w:spacing w:before="60" w:after="60"/>
              <w:ind w:right="168"/>
              <w:jc w:val="right"/>
              <w:rPr>
                <w:rFonts w:cs="Arial"/>
                <w:sz w:val="20"/>
                <w:lang w:eastAsia="x-none"/>
              </w:rPr>
            </w:pPr>
            <w:r w:rsidRPr="00661A6D">
              <w:rPr>
                <w:rFonts w:cs="Arial"/>
                <w:sz w:val="20"/>
                <w:lang w:eastAsia="x-none"/>
              </w:rPr>
              <w:t>Celkem v Kč bez DPH:</w:t>
            </w:r>
          </w:p>
        </w:tc>
        <w:tc>
          <w:tcPr>
            <w:tcW w:w="1701" w:type="dxa"/>
            <w:vAlign w:val="center"/>
            <w:hideMark/>
          </w:tcPr>
          <w:p w14:paraId="7595E450" w14:textId="1EC2C1CF" w:rsidR="00661A6D" w:rsidRPr="00661A6D" w:rsidRDefault="00137AE2" w:rsidP="001E668E">
            <w:pPr>
              <w:spacing w:before="60" w:after="60"/>
              <w:jc w:val="center"/>
              <w:rPr>
                <w:rFonts w:cs="Arial"/>
                <w:sz w:val="20"/>
                <w:highlight w:val="yellow"/>
              </w:rPr>
            </w:pPr>
            <w:r w:rsidRPr="00137AE2">
              <w:rPr>
                <w:rFonts w:cs="Arial"/>
                <w:sz w:val="20"/>
              </w:rPr>
              <w:t>608 400</w:t>
            </w:r>
          </w:p>
        </w:tc>
      </w:tr>
    </w:tbl>
    <w:p w14:paraId="3068A913" w14:textId="77777777" w:rsidR="00661A6D" w:rsidRDefault="00661A6D">
      <w:pPr>
        <w:spacing w:before="200" w:after="200" w:line="276" w:lineRule="auto"/>
        <w:contextualSpacing/>
        <w:rPr>
          <w:rFonts w:eastAsiaTheme="minorEastAsia" w:cs="Arial"/>
        </w:rPr>
      </w:pPr>
    </w:p>
    <w:sectPr w:rsidR="00661A6D" w:rsidSect="000C02BB">
      <w:headerReference w:type="default" r:id="rId12"/>
      <w:footerReference w:type="default" r:id="rId13"/>
      <w:pgSz w:w="11906" w:h="16838"/>
      <w:pgMar w:top="1843" w:right="1106" w:bottom="2410" w:left="1259"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7F6A7" w14:textId="77777777" w:rsidR="005B186B" w:rsidRDefault="005B186B">
      <w:r>
        <w:separator/>
      </w:r>
    </w:p>
  </w:endnote>
  <w:endnote w:type="continuationSeparator" w:id="0">
    <w:p w14:paraId="23C27FD9" w14:textId="77777777" w:rsidR="005B186B" w:rsidRDefault="005B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IDFont+F5">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11B3" w14:textId="6152B193" w:rsidR="002116AD" w:rsidRDefault="00FC634D">
    <w:pPr>
      <w:pStyle w:val="Zpat"/>
      <w:tabs>
        <w:tab w:val="clear" w:pos="4536"/>
        <w:tab w:val="clear" w:pos="9072"/>
        <w:tab w:val="center" w:pos="709"/>
        <w:tab w:val="left" w:pos="3060"/>
        <w:tab w:val="left" w:pos="8175"/>
      </w:tabs>
      <w:ind w:right="3304" w:hanging="567"/>
      <w:jc w:val="left"/>
      <w:rPr>
        <w:rFonts w:cs="Arial"/>
        <w:b/>
        <w:color w:val="003C69"/>
        <w:sz w:val="16"/>
      </w:rPr>
    </w:pPr>
    <w:r>
      <w:rPr>
        <w:rFonts w:cs="Arial"/>
        <w:noProof/>
        <w:color w:val="003C69"/>
        <w:sz w:val="16"/>
      </w:rPr>
      <w:drawing>
        <wp:anchor distT="0" distB="0" distL="114300" distR="114300" simplePos="0" relativeHeight="251660288" behindDoc="1" locked="0" layoutInCell="1" allowOverlap="1" wp14:anchorId="6D9EC68B" wp14:editId="28F5FBEB">
          <wp:simplePos x="0" y="0"/>
          <wp:positionH relativeFrom="column">
            <wp:posOffset>4544695</wp:posOffset>
          </wp:positionH>
          <wp:positionV relativeFrom="paragraph">
            <wp:posOffset>-120015</wp:posOffset>
          </wp:positionV>
          <wp:extent cx="1801495" cy="220345"/>
          <wp:effectExtent l="0" t="0" r="8255" b="8255"/>
          <wp:wrapSquare wrapText="bothSides"/>
          <wp:docPr id="271837079" name="obrázek 5"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Pr>
        <w:noProof/>
      </w:rPr>
      <w:drawing>
        <wp:anchor distT="0" distB="0" distL="114300" distR="114300" simplePos="0" relativeHeight="251666432" behindDoc="0" locked="0" layoutInCell="1" allowOverlap="1" wp14:anchorId="32254824" wp14:editId="7A5FB44D">
          <wp:simplePos x="0" y="0"/>
          <wp:positionH relativeFrom="margin">
            <wp:posOffset>-314325</wp:posOffset>
          </wp:positionH>
          <wp:positionV relativeFrom="page">
            <wp:posOffset>9413240</wp:posOffset>
          </wp:positionV>
          <wp:extent cx="3705225" cy="609600"/>
          <wp:effectExtent l="0" t="0" r="9525" b="0"/>
          <wp:wrapNone/>
          <wp:docPr id="1247539102"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05225" cy="609600"/>
                  </a:xfrm>
                  <a:prstGeom prst="rect">
                    <a:avLst/>
                  </a:prstGeom>
                  <a:noFill/>
                  <a:ln>
                    <a:noFill/>
                  </a:ln>
                </pic:spPr>
              </pic:pic>
            </a:graphicData>
          </a:graphic>
        </wp:anchor>
      </w:drawing>
    </w:r>
    <w:r w:rsidR="00D30A7C">
      <w:rPr>
        <w:rStyle w:val="slostrnky"/>
        <w:rFonts w:cs="Arial"/>
        <w:color w:val="003C69"/>
        <w:sz w:val="16"/>
      </w:rPr>
      <w:fldChar w:fldCharType="begin"/>
    </w:r>
    <w:r w:rsidR="00D30A7C">
      <w:rPr>
        <w:rStyle w:val="slostrnky"/>
        <w:rFonts w:cs="Arial"/>
        <w:color w:val="003C69"/>
        <w:sz w:val="16"/>
      </w:rPr>
      <w:instrText xml:space="preserve"> PAGE </w:instrText>
    </w:r>
    <w:r w:rsidR="00D30A7C">
      <w:rPr>
        <w:rStyle w:val="slostrnky"/>
        <w:rFonts w:cs="Arial"/>
        <w:color w:val="003C69"/>
        <w:sz w:val="16"/>
      </w:rPr>
      <w:fldChar w:fldCharType="separate"/>
    </w:r>
    <w:r w:rsidR="0050095B">
      <w:rPr>
        <w:rStyle w:val="slostrnky"/>
        <w:rFonts w:cs="Arial"/>
        <w:noProof/>
        <w:color w:val="003C69"/>
        <w:sz w:val="16"/>
      </w:rPr>
      <w:t>12</w:t>
    </w:r>
    <w:r w:rsidR="00D30A7C">
      <w:rPr>
        <w:rStyle w:val="slostrnky"/>
        <w:rFonts w:cs="Arial"/>
        <w:color w:val="003C69"/>
        <w:sz w:val="16"/>
      </w:rPr>
      <w:fldChar w:fldCharType="end"/>
    </w:r>
    <w:r w:rsidR="00D30A7C">
      <w:rPr>
        <w:rStyle w:val="slostrnky"/>
        <w:rFonts w:cs="Arial"/>
        <w:color w:val="003C69"/>
        <w:sz w:val="16"/>
      </w:rPr>
      <w:t>/</w:t>
    </w:r>
    <w:r w:rsidR="00D30A7C">
      <w:rPr>
        <w:rStyle w:val="slostrnky"/>
        <w:rFonts w:cs="Arial"/>
        <w:color w:val="003C69"/>
        <w:sz w:val="16"/>
      </w:rPr>
      <w:fldChar w:fldCharType="begin"/>
    </w:r>
    <w:r w:rsidR="00D30A7C">
      <w:rPr>
        <w:rStyle w:val="slostrnky"/>
        <w:rFonts w:cs="Arial"/>
        <w:color w:val="003C69"/>
        <w:sz w:val="16"/>
      </w:rPr>
      <w:instrText xml:space="preserve"> NUMPAGES </w:instrText>
    </w:r>
    <w:r w:rsidR="00D30A7C">
      <w:rPr>
        <w:rStyle w:val="slostrnky"/>
        <w:rFonts w:cs="Arial"/>
        <w:color w:val="003C69"/>
        <w:sz w:val="16"/>
      </w:rPr>
      <w:fldChar w:fldCharType="separate"/>
    </w:r>
    <w:r w:rsidR="0050095B">
      <w:rPr>
        <w:rStyle w:val="slostrnky"/>
        <w:rFonts w:cs="Arial"/>
        <w:noProof/>
        <w:color w:val="003C69"/>
        <w:sz w:val="16"/>
      </w:rPr>
      <w:t>12</w:t>
    </w:r>
    <w:r w:rsidR="00D30A7C">
      <w:rPr>
        <w:rStyle w:val="slostrnky"/>
        <w:rFonts w:cs="Arial"/>
        <w:color w:val="003C69"/>
        <w:sz w:val="16"/>
      </w:rPr>
      <w:fldChar w:fldCharType="end"/>
    </w:r>
    <w:r w:rsidR="00D30A7C">
      <w:rPr>
        <w:rStyle w:val="slostrnky"/>
        <w:rFonts w:cs="Arial"/>
        <w:color w:val="003C69"/>
        <w:sz w:val="16"/>
      </w:rPr>
      <w:tab/>
    </w:r>
    <w:r>
      <w:rPr>
        <w:rStyle w:val="slostrnky"/>
        <w:rFonts w:cs="Arial"/>
        <w:color w:val="003C69"/>
        <w:sz w:val="16"/>
      </w:rPr>
      <w:t xml:space="preserve">Smlouva na dodávku </w:t>
    </w:r>
    <w:r w:rsidR="00DE061F">
      <w:rPr>
        <w:rStyle w:val="slostrnky"/>
        <w:rFonts w:cs="Arial"/>
        <w:color w:val="003C69"/>
        <w:sz w:val="16"/>
      </w:rPr>
      <w:t>a služby technické podpory programového vybavení</w:t>
    </w:r>
  </w:p>
  <w:p w14:paraId="2491E110" w14:textId="77777777" w:rsidR="002116AD" w:rsidRDefault="00D30A7C">
    <w:pPr>
      <w:pStyle w:val="Zpat"/>
      <w:tabs>
        <w:tab w:val="clear" w:pos="4536"/>
        <w:tab w:val="clear" w:pos="9072"/>
        <w:tab w:val="center" w:pos="709"/>
        <w:tab w:val="left" w:pos="3060"/>
        <w:tab w:val="left" w:pos="8175"/>
      </w:tabs>
      <w:ind w:left="426" w:right="3304"/>
      <w:jc w:val="left"/>
      <w:rPr>
        <w:rFonts w:cs="Arial"/>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9C0C0" w14:textId="77777777" w:rsidR="005B186B" w:rsidRDefault="005B186B">
      <w:r>
        <w:separator/>
      </w:r>
    </w:p>
  </w:footnote>
  <w:footnote w:type="continuationSeparator" w:id="0">
    <w:p w14:paraId="635B4FD6" w14:textId="77777777" w:rsidR="005B186B" w:rsidRDefault="005B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5F04D" w14:textId="77777777" w:rsidR="002116AD" w:rsidRDefault="00D30A7C">
    <w:pPr>
      <w:pStyle w:val="Zhlav"/>
      <w:tabs>
        <w:tab w:val="clear" w:pos="4536"/>
        <w:tab w:val="clear" w:pos="9072"/>
        <w:tab w:val="left" w:pos="3015"/>
      </w:tabs>
      <w:rPr>
        <w:rFonts w:cs="Arial"/>
        <w:b/>
        <w:noProof/>
        <w:color w:val="003C69"/>
      </w:rPr>
    </w:pPr>
    <w:r>
      <w:rPr>
        <w:noProof/>
      </w:rPr>
      <mc:AlternateContent>
        <mc:Choice Requires="wps">
          <w:drawing>
            <wp:anchor distT="0" distB="0" distL="114300" distR="114300" simplePos="0" relativeHeight="251664384" behindDoc="0" locked="0" layoutInCell="1" allowOverlap="1" wp14:anchorId="35D40067" wp14:editId="2120425E">
              <wp:simplePos x="0" y="0"/>
              <wp:positionH relativeFrom="column">
                <wp:posOffset>2391410</wp:posOffset>
              </wp:positionH>
              <wp:positionV relativeFrom="paragraph">
                <wp:posOffset>6985</wp:posOffset>
              </wp:positionV>
              <wp:extent cx="4010025"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674E" w14:textId="5BF3EF3F" w:rsidR="002116AD" w:rsidRDefault="00137AE2">
                          <w:pPr>
                            <w:jc w:val="right"/>
                            <w:rPr>
                              <w:b/>
                              <w:bCs/>
                              <w:color w:val="00ADD0"/>
                              <w:sz w:val="40"/>
                              <w:szCs w:val="40"/>
                            </w:rPr>
                          </w:pPr>
                          <w:r>
                            <w:rPr>
                              <w:b/>
                              <w:bCs/>
                              <w:color w:val="00ADD0"/>
                              <w:sz w:val="40"/>
                              <w:szCs w:val="40"/>
                            </w:rPr>
                            <w:t>Smlouva</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40067" id="_x0000_t202" coordsize="21600,21600" o:spt="202" path="m,l,21600r21600,l21600,xe">
              <v:stroke joinstyle="miter"/>
              <v:path gradientshapeok="t" o:connecttype="rect"/>
            </v:shapetype>
            <v:shape id="Text Box 1" o:spid="_x0000_s1026" type="#_x0000_t202" style="position:absolute;left:0;text-align:left;margin-left:188.3pt;margin-top:.55pt;width:315.7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" filled="f" stroked="f">
              <v:textbox inset=",0">
                <w:txbxContent>
                  <w:p w14:paraId="7F03674E" w14:textId="5BF3EF3F" w:rsidR="002116AD" w:rsidRDefault="00137AE2">
                    <w:pPr>
                      <w:jc w:val="right"/>
                      <w:rPr>
                        <w:b/>
                        <w:bCs/>
                        <w:color w:val="00ADD0"/>
                        <w:sz w:val="40"/>
                        <w:szCs w:val="40"/>
                      </w:rPr>
                    </w:pPr>
                    <w:r>
                      <w:rPr>
                        <w:b/>
                        <w:bCs/>
                        <w:color w:val="00ADD0"/>
                        <w:sz w:val="40"/>
                        <w:szCs w:val="40"/>
                      </w:rPr>
                      <w:t>Smlouva</w:t>
                    </w:r>
                  </w:p>
                </w:txbxContent>
              </v:textbox>
            </v:shape>
          </w:pict>
        </mc:Fallback>
      </mc:AlternateContent>
    </w:r>
    <w:r>
      <w:rPr>
        <w:rFonts w:cs="Arial"/>
        <w:b/>
        <w:noProof/>
        <w:color w:val="003C69"/>
      </w:rPr>
      <w:t>Statutárníměsto Ostrava</w:t>
    </w:r>
  </w:p>
  <w:p w14:paraId="58707132" w14:textId="77777777" w:rsidR="002116AD" w:rsidRDefault="00D30A7C">
    <w:pPr>
      <w:pStyle w:val="Zhlav"/>
      <w:tabs>
        <w:tab w:val="clear" w:pos="4536"/>
        <w:tab w:val="clear" w:pos="9072"/>
      </w:tabs>
      <w:spacing w:after="120"/>
      <w:rPr>
        <w:rFonts w:cs="Arial"/>
        <w:noProof/>
        <w:color w:val="003C69"/>
      </w:rPr>
    </w:pPr>
    <w:r>
      <w:rPr>
        <w:rFonts w:cs="Arial"/>
        <w:noProof/>
        <w:color w:val="003C69"/>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tentative="1">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6" w15:restartNumberingAfterBreak="0">
    <w:nsid w:val="03700DAB"/>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46370E3"/>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C1163A"/>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344C4"/>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744978"/>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2D3F1B"/>
    <w:multiLevelType w:val="hybridMultilevel"/>
    <w:tmpl w:val="0B307614"/>
    <w:lvl w:ilvl="0" w:tplc="9B7C65B8">
      <w:start w:val="1"/>
      <w:numFmt w:val="bullet"/>
      <w:lvlText w:val="-"/>
      <w:lvlJc w:val="left"/>
      <w:pPr>
        <w:ind w:left="1026" w:hanging="360"/>
      </w:pPr>
      <w:rPr>
        <w:rFonts w:ascii="Arial" w:eastAsia="Times New Roman" w:hAnsi="Arial" w:cs="Arial" w:hint="default"/>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FFFFFFFF" w:tentative="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12" w15:restartNumberingAfterBreak="0">
    <w:nsid w:val="12795B7E"/>
    <w:multiLevelType w:val="multilevel"/>
    <w:tmpl w:val="83B2BA26"/>
    <w:styleLink w:val="Styl3"/>
    <w:lvl w:ilvl="0">
      <w:start w:val="1"/>
      <w:numFmt w:val="bullet"/>
      <w:lvlText w:val="-"/>
      <w:lvlJc w:val="left"/>
      <w:pPr>
        <w:ind w:left="720" w:hanging="360"/>
      </w:pPr>
      <w:rPr>
        <w:rFonts w:ascii="Arial" w:hAnsi="Arial"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Wingdings" w:hAnsi="Wingdings"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D15A5B"/>
    <w:multiLevelType w:val="hybridMultilevel"/>
    <w:tmpl w:val="2062986C"/>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6D3471"/>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F372E52"/>
    <w:multiLevelType w:val="hybridMultilevel"/>
    <w:tmpl w:val="9C00568C"/>
    <w:lvl w:ilvl="0" w:tplc="8E446BEA">
      <w:start w:val="1"/>
      <w:numFmt w:val="decimal"/>
      <w:pStyle w:val="Tabulka1"/>
      <w:lvlText w:val="%1)"/>
      <w:lvlJc w:val="left"/>
      <w:pPr>
        <w:ind w:left="743" w:hanging="360"/>
      </w:pPr>
      <w:rPr>
        <w:b w:val="0"/>
        <w:bCs/>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17" w15:restartNumberingAfterBreak="0">
    <w:nsid w:val="231B0338"/>
    <w:multiLevelType w:val="hybridMultilevel"/>
    <w:tmpl w:val="4F64054A"/>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3155E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001EAF"/>
    <w:multiLevelType w:val="hybridMultilevel"/>
    <w:tmpl w:val="B3B49BC0"/>
    <w:lvl w:ilvl="0" w:tplc="C7AEF0FE">
      <w:numFmt w:val="bullet"/>
      <w:lvlText w:val="-"/>
      <w:lvlJc w:val="left"/>
      <w:pPr>
        <w:tabs>
          <w:tab w:val="num" w:pos="568"/>
        </w:tabs>
        <w:ind w:left="568" w:hanging="284"/>
      </w:pPr>
      <w:rPr>
        <w:rFonts w:ascii="Times New Roman" w:eastAsia="Times New Roman" w:hAnsi="Times New Roman" w:cs="Times New Roman" w:hint="default"/>
        <w:b/>
        <w:i w:val="0"/>
        <w:sz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0"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D75F88"/>
    <w:multiLevelType w:val="hybridMultilevel"/>
    <w:tmpl w:val="790EA514"/>
    <w:lvl w:ilvl="0" w:tplc="C7AEF0FE">
      <w:numFmt w:val="bullet"/>
      <w:lvlText w:val="-"/>
      <w:lvlJc w:val="left"/>
      <w:pPr>
        <w:ind w:left="1066"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2" w15:restartNumberingAfterBreak="0">
    <w:nsid w:val="39DA294D"/>
    <w:multiLevelType w:val="hybridMultilevel"/>
    <w:tmpl w:val="3B326630"/>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274B25"/>
    <w:multiLevelType w:val="multilevel"/>
    <w:tmpl w:val="25467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0B62B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FF604D2"/>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9A623D"/>
    <w:multiLevelType w:val="hybridMultilevel"/>
    <w:tmpl w:val="34726F00"/>
    <w:lvl w:ilvl="0" w:tplc="9B7C65B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8F49BD"/>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D074F3D"/>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5933E66"/>
    <w:multiLevelType w:val="hybridMultilevel"/>
    <w:tmpl w:val="3DB81F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8E33D3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3" w15:restartNumberingAfterBreak="0">
    <w:nsid w:val="5DC3505B"/>
    <w:multiLevelType w:val="multilevel"/>
    <w:tmpl w:val="176A8F28"/>
    <w:lvl w:ilvl="0">
      <w:start w:val="1"/>
      <w:numFmt w:val="upperRoman"/>
      <w:pStyle w:val="JVS2"/>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4" w15:restartNumberingAfterBreak="0">
    <w:nsid w:val="60A15483"/>
    <w:multiLevelType w:val="hybridMultilevel"/>
    <w:tmpl w:val="F4F03A58"/>
    <w:lvl w:ilvl="0" w:tplc="9B7C65B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D1702F"/>
    <w:multiLevelType w:val="hybridMultilevel"/>
    <w:tmpl w:val="1CB48A30"/>
    <w:lvl w:ilvl="0" w:tplc="BC940780">
      <w:start w:val="1"/>
      <w:numFmt w:val="bullet"/>
      <w:lvlText w:val="-"/>
      <w:lvlJc w:val="left"/>
      <w:pPr>
        <w:ind w:left="720" w:hanging="360"/>
      </w:pPr>
      <w:rPr>
        <w:rFonts w:ascii="Aptos" w:eastAsia="Times New Roman"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E4767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6876FDB"/>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6E22C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E7C2BBF"/>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4729452">
    <w:abstractNumId w:val="33"/>
  </w:num>
  <w:num w:numId="2" w16cid:durableId="744690050">
    <w:abstractNumId w:val="32"/>
  </w:num>
  <w:num w:numId="3" w16cid:durableId="1539929169">
    <w:abstractNumId w:val="15"/>
  </w:num>
  <w:num w:numId="4" w16cid:durableId="105527386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1362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8949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93390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900261">
    <w:abstractNumId w:val="0"/>
  </w:num>
  <w:num w:numId="9" w16cid:durableId="1377047726">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5985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599833">
    <w:abstractNumId w:val="12"/>
  </w:num>
  <w:num w:numId="12" w16cid:durableId="501043623">
    <w:abstractNumId w:val="29"/>
  </w:num>
  <w:num w:numId="13" w16cid:durableId="1172069108">
    <w:abstractNumId w:val="38"/>
  </w:num>
  <w:num w:numId="14" w16cid:durableId="563956624">
    <w:abstractNumId w:val="5"/>
  </w:num>
  <w:num w:numId="15" w16cid:durableId="867253673">
    <w:abstractNumId w:val="36"/>
  </w:num>
  <w:num w:numId="16" w16cid:durableId="792211071">
    <w:abstractNumId w:val="30"/>
  </w:num>
  <w:num w:numId="17" w16cid:durableId="1458142883">
    <w:abstractNumId w:val="24"/>
  </w:num>
  <w:num w:numId="18" w16cid:durableId="2037341812">
    <w:abstractNumId w:val="20"/>
  </w:num>
  <w:num w:numId="19" w16cid:durableId="119149766">
    <w:abstractNumId w:val="16"/>
  </w:num>
  <w:num w:numId="20" w16cid:durableId="854344772">
    <w:abstractNumId w:val="6"/>
  </w:num>
  <w:num w:numId="21" w16cid:durableId="17052754">
    <w:abstractNumId w:val="11"/>
  </w:num>
  <w:num w:numId="22" w16cid:durableId="1043943927">
    <w:abstractNumId w:val="34"/>
  </w:num>
  <w:num w:numId="23" w16cid:durableId="1559900716">
    <w:abstractNumId w:val="17"/>
  </w:num>
  <w:num w:numId="24" w16cid:durableId="1188250308">
    <w:abstractNumId w:val="22"/>
  </w:num>
  <w:num w:numId="25" w16cid:durableId="1074350577">
    <w:abstractNumId w:val="13"/>
  </w:num>
  <w:num w:numId="26" w16cid:durableId="1848671881">
    <w:abstractNumId w:val="26"/>
  </w:num>
  <w:num w:numId="27" w16cid:durableId="51782543">
    <w:abstractNumId w:val="19"/>
  </w:num>
  <w:num w:numId="28" w16cid:durableId="640615381">
    <w:abstractNumId w:val="27"/>
  </w:num>
  <w:num w:numId="29" w16cid:durableId="572743887">
    <w:abstractNumId w:val="7"/>
  </w:num>
  <w:num w:numId="30" w16cid:durableId="107043450">
    <w:abstractNumId w:val="23"/>
  </w:num>
  <w:num w:numId="31" w16cid:durableId="488403003">
    <w:abstractNumId w:val="31"/>
  </w:num>
  <w:num w:numId="32" w16cid:durableId="1280263316">
    <w:abstractNumId w:val="25"/>
  </w:num>
  <w:num w:numId="33" w16cid:durableId="1424372869">
    <w:abstractNumId w:val="21"/>
  </w:num>
  <w:num w:numId="34" w16cid:durableId="1949197636">
    <w:abstractNumId w:val="18"/>
  </w:num>
  <w:num w:numId="35" w16cid:durableId="276722084">
    <w:abstractNumId w:val="28"/>
  </w:num>
  <w:num w:numId="36" w16cid:durableId="1369144746">
    <w:abstractNumId w:val="37"/>
  </w:num>
  <w:num w:numId="37" w16cid:durableId="1137339343">
    <w:abstractNumId w:val="10"/>
  </w:num>
  <w:num w:numId="38" w16cid:durableId="1961184360">
    <w:abstractNumId w:val="14"/>
  </w:num>
  <w:num w:numId="39" w16cid:durableId="698824752">
    <w:abstractNumId w:val="8"/>
  </w:num>
  <w:num w:numId="40" w16cid:durableId="1263801642">
    <w:abstractNumId w:val="39"/>
  </w:num>
  <w:num w:numId="41" w16cid:durableId="731271037">
    <w:abstractNumId w:val="9"/>
  </w:num>
  <w:num w:numId="42" w16cid:durableId="107243365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AD"/>
    <w:rsid w:val="00002509"/>
    <w:rsid w:val="00003AE0"/>
    <w:rsid w:val="00007CD1"/>
    <w:rsid w:val="0001311B"/>
    <w:rsid w:val="000162A1"/>
    <w:rsid w:val="00016311"/>
    <w:rsid w:val="00024761"/>
    <w:rsid w:val="000327CE"/>
    <w:rsid w:val="000473B9"/>
    <w:rsid w:val="00050D32"/>
    <w:rsid w:val="00051AEA"/>
    <w:rsid w:val="00054E2D"/>
    <w:rsid w:val="000559FE"/>
    <w:rsid w:val="00056DD1"/>
    <w:rsid w:val="000708BD"/>
    <w:rsid w:val="00072AA8"/>
    <w:rsid w:val="00074CC9"/>
    <w:rsid w:val="00077EE4"/>
    <w:rsid w:val="00080A69"/>
    <w:rsid w:val="00080B00"/>
    <w:rsid w:val="0008396A"/>
    <w:rsid w:val="00084B34"/>
    <w:rsid w:val="000859F1"/>
    <w:rsid w:val="0009369B"/>
    <w:rsid w:val="00096A31"/>
    <w:rsid w:val="000A162A"/>
    <w:rsid w:val="000A6976"/>
    <w:rsid w:val="000C02BB"/>
    <w:rsid w:val="000C0725"/>
    <w:rsid w:val="000C415F"/>
    <w:rsid w:val="000C66C0"/>
    <w:rsid w:val="000D6F15"/>
    <w:rsid w:val="000D7992"/>
    <w:rsid w:val="000D7FC4"/>
    <w:rsid w:val="00104605"/>
    <w:rsid w:val="001052BF"/>
    <w:rsid w:val="00107421"/>
    <w:rsid w:val="001075A4"/>
    <w:rsid w:val="00111004"/>
    <w:rsid w:val="00115464"/>
    <w:rsid w:val="00116E93"/>
    <w:rsid w:val="0011719C"/>
    <w:rsid w:val="0012138D"/>
    <w:rsid w:val="00121528"/>
    <w:rsid w:val="001247F9"/>
    <w:rsid w:val="001249E2"/>
    <w:rsid w:val="00124A9C"/>
    <w:rsid w:val="0012530E"/>
    <w:rsid w:val="001303EC"/>
    <w:rsid w:val="00130C11"/>
    <w:rsid w:val="0013409A"/>
    <w:rsid w:val="00137427"/>
    <w:rsid w:val="00137AE2"/>
    <w:rsid w:val="001445EF"/>
    <w:rsid w:val="0014569E"/>
    <w:rsid w:val="00146892"/>
    <w:rsid w:val="001500BC"/>
    <w:rsid w:val="00151BBF"/>
    <w:rsid w:val="00151D00"/>
    <w:rsid w:val="00152256"/>
    <w:rsid w:val="00153363"/>
    <w:rsid w:val="00160C05"/>
    <w:rsid w:val="001624B9"/>
    <w:rsid w:val="0016587F"/>
    <w:rsid w:val="00166875"/>
    <w:rsid w:val="00171545"/>
    <w:rsid w:val="0017604F"/>
    <w:rsid w:val="001768CD"/>
    <w:rsid w:val="00190358"/>
    <w:rsid w:val="00193198"/>
    <w:rsid w:val="001977B1"/>
    <w:rsid w:val="001A3961"/>
    <w:rsid w:val="001A718F"/>
    <w:rsid w:val="001B15A2"/>
    <w:rsid w:val="001B37D0"/>
    <w:rsid w:val="001B7D98"/>
    <w:rsid w:val="001C2AC1"/>
    <w:rsid w:val="001D63A5"/>
    <w:rsid w:val="001E3014"/>
    <w:rsid w:val="001F151D"/>
    <w:rsid w:val="001F41ED"/>
    <w:rsid w:val="001F4356"/>
    <w:rsid w:val="001F7D3E"/>
    <w:rsid w:val="00204ACD"/>
    <w:rsid w:val="002076B9"/>
    <w:rsid w:val="00207B14"/>
    <w:rsid w:val="00207FF3"/>
    <w:rsid w:val="002116AD"/>
    <w:rsid w:val="00212DD0"/>
    <w:rsid w:val="002138A4"/>
    <w:rsid w:val="00213DFF"/>
    <w:rsid w:val="00214011"/>
    <w:rsid w:val="0021758D"/>
    <w:rsid w:val="002179C5"/>
    <w:rsid w:val="002244C0"/>
    <w:rsid w:val="00226BA9"/>
    <w:rsid w:val="00231CFC"/>
    <w:rsid w:val="00231E76"/>
    <w:rsid w:val="002339B3"/>
    <w:rsid w:val="00234EDD"/>
    <w:rsid w:val="0023792A"/>
    <w:rsid w:val="00240487"/>
    <w:rsid w:val="00243DEB"/>
    <w:rsid w:val="00254077"/>
    <w:rsid w:val="002546E7"/>
    <w:rsid w:val="0025647D"/>
    <w:rsid w:val="002571A3"/>
    <w:rsid w:val="00257C41"/>
    <w:rsid w:val="00260DFE"/>
    <w:rsid w:val="0026249B"/>
    <w:rsid w:val="00262827"/>
    <w:rsid w:val="0027236B"/>
    <w:rsid w:val="0027615D"/>
    <w:rsid w:val="0029001E"/>
    <w:rsid w:val="00297F5D"/>
    <w:rsid w:val="002A1098"/>
    <w:rsid w:val="002A1620"/>
    <w:rsid w:val="002A781D"/>
    <w:rsid w:val="002B3992"/>
    <w:rsid w:val="002B3E3F"/>
    <w:rsid w:val="002B6E99"/>
    <w:rsid w:val="002C2B96"/>
    <w:rsid w:val="002C2DF3"/>
    <w:rsid w:val="002C5A71"/>
    <w:rsid w:val="002C6FD8"/>
    <w:rsid w:val="002D44B1"/>
    <w:rsid w:val="002D7AEE"/>
    <w:rsid w:val="002E08FD"/>
    <w:rsid w:val="002E4B99"/>
    <w:rsid w:val="002E5AF3"/>
    <w:rsid w:val="002E5E7C"/>
    <w:rsid w:val="002E6369"/>
    <w:rsid w:val="002E6417"/>
    <w:rsid w:val="002E7012"/>
    <w:rsid w:val="002F110D"/>
    <w:rsid w:val="002F2BE9"/>
    <w:rsid w:val="002F6A4D"/>
    <w:rsid w:val="002F7043"/>
    <w:rsid w:val="002F704F"/>
    <w:rsid w:val="0030076C"/>
    <w:rsid w:val="0030543F"/>
    <w:rsid w:val="00306119"/>
    <w:rsid w:val="00306BFC"/>
    <w:rsid w:val="00310844"/>
    <w:rsid w:val="00311028"/>
    <w:rsid w:val="00312EAB"/>
    <w:rsid w:val="00312FA1"/>
    <w:rsid w:val="00316524"/>
    <w:rsid w:val="003205F4"/>
    <w:rsid w:val="00325330"/>
    <w:rsid w:val="00325E51"/>
    <w:rsid w:val="00331062"/>
    <w:rsid w:val="0033212E"/>
    <w:rsid w:val="0033575E"/>
    <w:rsid w:val="00337C3C"/>
    <w:rsid w:val="0034496C"/>
    <w:rsid w:val="00346BE0"/>
    <w:rsid w:val="00355077"/>
    <w:rsid w:val="00356EEE"/>
    <w:rsid w:val="00361337"/>
    <w:rsid w:val="00363698"/>
    <w:rsid w:val="00364600"/>
    <w:rsid w:val="00366E6F"/>
    <w:rsid w:val="00370194"/>
    <w:rsid w:val="00371CE7"/>
    <w:rsid w:val="00373475"/>
    <w:rsid w:val="00374B1E"/>
    <w:rsid w:val="0038243B"/>
    <w:rsid w:val="0038534C"/>
    <w:rsid w:val="00393A6B"/>
    <w:rsid w:val="00397776"/>
    <w:rsid w:val="003A1CA0"/>
    <w:rsid w:val="003A20E3"/>
    <w:rsid w:val="003A4FE9"/>
    <w:rsid w:val="003B6CCA"/>
    <w:rsid w:val="003C0815"/>
    <w:rsid w:val="003C0FB4"/>
    <w:rsid w:val="003C105A"/>
    <w:rsid w:val="003C2B52"/>
    <w:rsid w:val="003C6961"/>
    <w:rsid w:val="003C6B11"/>
    <w:rsid w:val="003D4995"/>
    <w:rsid w:val="003D678F"/>
    <w:rsid w:val="003E384A"/>
    <w:rsid w:val="003E4AF5"/>
    <w:rsid w:val="003E59CB"/>
    <w:rsid w:val="003F60FC"/>
    <w:rsid w:val="003F6EEF"/>
    <w:rsid w:val="003F70E5"/>
    <w:rsid w:val="00403D52"/>
    <w:rsid w:val="00404E34"/>
    <w:rsid w:val="004069A5"/>
    <w:rsid w:val="004154F0"/>
    <w:rsid w:val="00420604"/>
    <w:rsid w:val="00421CDA"/>
    <w:rsid w:val="004241E8"/>
    <w:rsid w:val="004260E0"/>
    <w:rsid w:val="00430188"/>
    <w:rsid w:val="004308E4"/>
    <w:rsid w:val="00433335"/>
    <w:rsid w:val="00434F69"/>
    <w:rsid w:val="00441A8B"/>
    <w:rsid w:val="00441EE3"/>
    <w:rsid w:val="00442214"/>
    <w:rsid w:val="004462E7"/>
    <w:rsid w:val="00450371"/>
    <w:rsid w:val="00451340"/>
    <w:rsid w:val="00451BCD"/>
    <w:rsid w:val="004524A4"/>
    <w:rsid w:val="0045447A"/>
    <w:rsid w:val="004605BE"/>
    <w:rsid w:val="004618F0"/>
    <w:rsid w:val="00467542"/>
    <w:rsid w:val="00470C72"/>
    <w:rsid w:val="00471E36"/>
    <w:rsid w:val="00472C76"/>
    <w:rsid w:val="00475357"/>
    <w:rsid w:val="00475A29"/>
    <w:rsid w:val="004760B5"/>
    <w:rsid w:val="00480046"/>
    <w:rsid w:val="004821D2"/>
    <w:rsid w:val="004A19B9"/>
    <w:rsid w:val="004A2ED7"/>
    <w:rsid w:val="004A63C6"/>
    <w:rsid w:val="004B1A58"/>
    <w:rsid w:val="004B5364"/>
    <w:rsid w:val="004C006D"/>
    <w:rsid w:val="004C26AE"/>
    <w:rsid w:val="004C4F3F"/>
    <w:rsid w:val="004C6228"/>
    <w:rsid w:val="004E55F8"/>
    <w:rsid w:val="004F12D2"/>
    <w:rsid w:val="004F1CC8"/>
    <w:rsid w:val="004F24CF"/>
    <w:rsid w:val="004F3985"/>
    <w:rsid w:val="005006A5"/>
    <w:rsid w:val="0050095B"/>
    <w:rsid w:val="00500F2A"/>
    <w:rsid w:val="00524278"/>
    <w:rsid w:val="00524DB7"/>
    <w:rsid w:val="005302CA"/>
    <w:rsid w:val="00531132"/>
    <w:rsid w:val="00531337"/>
    <w:rsid w:val="00531810"/>
    <w:rsid w:val="00531E66"/>
    <w:rsid w:val="00532E94"/>
    <w:rsid w:val="00541AE4"/>
    <w:rsid w:val="005431C8"/>
    <w:rsid w:val="00551115"/>
    <w:rsid w:val="00553EC5"/>
    <w:rsid w:val="00555F99"/>
    <w:rsid w:val="0055761E"/>
    <w:rsid w:val="005614FF"/>
    <w:rsid w:val="005623AC"/>
    <w:rsid w:val="00564225"/>
    <w:rsid w:val="00565A1C"/>
    <w:rsid w:val="00573C22"/>
    <w:rsid w:val="005835B0"/>
    <w:rsid w:val="00584F16"/>
    <w:rsid w:val="00587B05"/>
    <w:rsid w:val="00592957"/>
    <w:rsid w:val="005930EA"/>
    <w:rsid w:val="0059318E"/>
    <w:rsid w:val="00593A7D"/>
    <w:rsid w:val="005963B2"/>
    <w:rsid w:val="00596E41"/>
    <w:rsid w:val="0059790E"/>
    <w:rsid w:val="00597D1F"/>
    <w:rsid w:val="005A4298"/>
    <w:rsid w:val="005A42A5"/>
    <w:rsid w:val="005A43C7"/>
    <w:rsid w:val="005A45AC"/>
    <w:rsid w:val="005B0726"/>
    <w:rsid w:val="005B186B"/>
    <w:rsid w:val="005C164C"/>
    <w:rsid w:val="005C3510"/>
    <w:rsid w:val="005D06F1"/>
    <w:rsid w:val="005D2862"/>
    <w:rsid w:val="005D39E5"/>
    <w:rsid w:val="005D519D"/>
    <w:rsid w:val="005E00CA"/>
    <w:rsid w:val="005E42AA"/>
    <w:rsid w:val="005E4D02"/>
    <w:rsid w:val="005E5712"/>
    <w:rsid w:val="005E596F"/>
    <w:rsid w:val="005E743E"/>
    <w:rsid w:val="005F2719"/>
    <w:rsid w:val="005F467C"/>
    <w:rsid w:val="005F7583"/>
    <w:rsid w:val="0060243A"/>
    <w:rsid w:val="0061100C"/>
    <w:rsid w:val="00615A3B"/>
    <w:rsid w:val="00616B46"/>
    <w:rsid w:val="0062203C"/>
    <w:rsid w:val="00622EEA"/>
    <w:rsid w:val="00622FE3"/>
    <w:rsid w:val="00631828"/>
    <w:rsid w:val="006356FC"/>
    <w:rsid w:val="00635C1C"/>
    <w:rsid w:val="006364B8"/>
    <w:rsid w:val="00636650"/>
    <w:rsid w:val="00637725"/>
    <w:rsid w:val="00646842"/>
    <w:rsid w:val="0065272E"/>
    <w:rsid w:val="00657167"/>
    <w:rsid w:val="00657516"/>
    <w:rsid w:val="00657B2D"/>
    <w:rsid w:val="006618A3"/>
    <w:rsid w:val="00661A6D"/>
    <w:rsid w:val="006719D2"/>
    <w:rsid w:val="00672C56"/>
    <w:rsid w:val="00672E2C"/>
    <w:rsid w:val="006732F2"/>
    <w:rsid w:val="0067524E"/>
    <w:rsid w:val="00675E3A"/>
    <w:rsid w:val="00676214"/>
    <w:rsid w:val="00684DD7"/>
    <w:rsid w:val="0069131C"/>
    <w:rsid w:val="00692520"/>
    <w:rsid w:val="00695100"/>
    <w:rsid w:val="006A00DC"/>
    <w:rsid w:val="006A30FF"/>
    <w:rsid w:val="006A3773"/>
    <w:rsid w:val="006A7C7F"/>
    <w:rsid w:val="006B0932"/>
    <w:rsid w:val="006B0ADD"/>
    <w:rsid w:val="006B19B1"/>
    <w:rsid w:val="006B49A7"/>
    <w:rsid w:val="006B533E"/>
    <w:rsid w:val="006B5EA1"/>
    <w:rsid w:val="006C0E14"/>
    <w:rsid w:val="006C2FD8"/>
    <w:rsid w:val="006C5EDF"/>
    <w:rsid w:val="006C781F"/>
    <w:rsid w:val="006D0E2A"/>
    <w:rsid w:val="006E1791"/>
    <w:rsid w:val="006E3503"/>
    <w:rsid w:val="006E6F80"/>
    <w:rsid w:val="006E74A5"/>
    <w:rsid w:val="006F3229"/>
    <w:rsid w:val="006F4052"/>
    <w:rsid w:val="00703DA6"/>
    <w:rsid w:val="00704859"/>
    <w:rsid w:val="007122FF"/>
    <w:rsid w:val="00717197"/>
    <w:rsid w:val="00717F44"/>
    <w:rsid w:val="00730848"/>
    <w:rsid w:val="00734BD1"/>
    <w:rsid w:val="00735B10"/>
    <w:rsid w:val="007412AD"/>
    <w:rsid w:val="007422CA"/>
    <w:rsid w:val="00745C9F"/>
    <w:rsid w:val="0075480F"/>
    <w:rsid w:val="00757157"/>
    <w:rsid w:val="007628A3"/>
    <w:rsid w:val="0076495D"/>
    <w:rsid w:val="00765AD5"/>
    <w:rsid w:val="00783A01"/>
    <w:rsid w:val="00796292"/>
    <w:rsid w:val="007A40E4"/>
    <w:rsid w:val="007A5352"/>
    <w:rsid w:val="007A5CE5"/>
    <w:rsid w:val="007A7B8E"/>
    <w:rsid w:val="007B4BEA"/>
    <w:rsid w:val="007B6DC6"/>
    <w:rsid w:val="007B7D0E"/>
    <w:rsid w:val="007D3184"/>
    <w:rsid w:val="007D43B9"/>
    <w:rsid w:val="007D5636"/>
    <w:rsid w:val="007D7569"/>
    <w:rsid w:val="007E0044"/>
    <w:rsid w:val="007E29D8"/>
    <w:rsid w:val="007E2D0B"/>
    <w:rsid w:val="007E3235"/>
    <w:rsid w:val="007E34D7"/>
    <w:rsid w:val="007E57AB"/>
    <w:rsid w:val="007F4C31"/>
    <w:rsid w:val="007F7F99"/>
    <w:rsid w:val="00802222"/>
    <w:rsid w:val="00803D32"/>
    <w:rsid w:val="00804392"/>
    <w:rsid w:val="00810D6D"/>
    <w:rsid w:val="00822333"/>
    <w:rsid w:val="00822F03"/>
    <w:rsid w:val="0082460F"/>
    <w:rsid w:val="008258C6"/>
    <w:rsid w:val="008357F3"/>
    <w:rsid w:val="00835B0E"/>
    <w:rsid w:val="00837DF2"/>
    <w:rsid w:val="00840770"/>
    <w:rsid w:val="00845E95"/>
    <w:rsid w:val="008472C5"/>
    <w:rsid w:val="0085204D"/>
    <w:rsid w:val="00855B3B"/>
    <w:rsid w:val="0085666A"/>
    <w:rsid w:val="00863EB9"/>
    <w:rsid w:val="00875F52"/>
    <w:rsid w:val="00877AB9"/>
    <w:rsid w:val="00883688"/>
    <w:rsid w:val="00885A36"/>
    <w:rsid w:val="00886CA2"/>
    <w:rsid w:val="0088781D"/>
    <w:rsid w:val="008954FE"/>
    <w:rsid w:val="008A0D83"/>
    <w:rsid w:val="008A5D55"/>
    <w:rsid w:val="008A6D86"/>
    <w:rsid w:val="008C1461"/>
    <w:rsid w:val="008C47E8"/>
    <w:rsid w:val="008C686C"/>
    <w:rsid w:val="008C6C5C"/>
    <w:rsid w:val="008C7DD6"/>
    <w:rsid w:val="008D54B3"/>
    <w:rsid w:val="008E546B"/>
    <w:rsid w:val="008E620E"/>
    <w:rsid w:val="008F7E3B"/>
    <w:rsid w:val="009015F0"/>
    <w:rsid w:val="00902A13"/>
    <w:rsid w:val="00915D81"/>
    <w:rsid w:val="009171F1"/>
    <w:rsid w:val="00923520"/>
    <w:rsid w:val="00923798"/>
    <w:rsid w:val="009243C7"/>
    <w:rsid w:val="00925070"/>
    <w:rsid w:val="009334A9"/>
    <w:rsid w:val="00933DCA"/>
    <w:rsid w:val="00940107"/>
    <w:rsid w:val="00950EA5"/>
    <w:rsid w:val="009511CF"/>
    <w:rsid w:val="00953599"/>
    <w:rsid w:val="00956B63"/>
    <w:rsid w:val="00960E60"/>
    <w:rsid w:val="009670A9"/>
    <w:rsid w:val="009708C5"/>
    <w:rsid w:val="009716CD"/>
    <w:rsid w:val="00974EE4"/>
    <w:rsid w:val="00977B3D"/>
    <w:rsid w:val="0098349F"/>
    <w:rsid w:val="00986ADE"/>
    <w:rsid w:val="00992CDA"/>
    <w:rsid w:val="00995CCB"/>
    <w:rsid w:val="009964C5"/>
    <w:rsid w:val="00997E51"/>
    <w:rsid w:val="009A0FED"/>
    <w:rsid w:val="009A765B"/>
    <w:rsid w:val="009A7E1D"/>
    <w:rsid w:val="009B2C44"/>
    <w:rsid w:val="009B40B2"/>
    <w:rsid w:val="009C17E7"/>
    <w:rsid w:val="009C216D"/>
    <w:rsid w:val="009D3193"/>
    <w:rsid w:val="009E1895"/>
    <w:rsid w:val="009E5C1D"/>
    <w:rsid w:val="009E7451"/>
    <w:rsid w:val="009F1B5B"/>
    <w:rsid w:val="009F4380"/>
    <w:rsid w:val="00A02EFE"/>
    <w:rsid w:val="00A0697D"/>
    <w:rsid w:val="00A0742C"/>
    <w:rsid w:val="00A1558E"/>
    <w:rsid w:val="00A20727"/>
    <w:rsid w:val="00A219E0"/>
    <w:rsid w:val="00A32C37"/>
    <w:rsid w:val="00A3478B"/>
    <w:rsid w:val="00A34C96"/>
    <w:rsid w:val="00A411EF"/>
    <w:rsid w:val="00A424ED"/>
    <w:rsid w:val="00A431FA"/>
    <w:rsid w:val="00A43F92"/>
    <w:rsid w:val="00A4602F"/>
    <w:rsid w:val="00A4770D"/>
    <w:rsid w:val="00A529BF"/>
    <w:rsid w:val="00A67448"/>
    <w:rsid w:val="00A76748"/>
    <w:rsid w:val="00A80F1D"/>
    <w:rsid w:val="00A875B6"/>
    <w:rsid w:val="00A876C1"/>
    <w:rsid w:val="00A90F80"/>
    <w:rsid w:val="00A9617F"/>
    <w:rsid w:val="00A9671E"/>
    <w:rsid w:val="00A96FDE"/>
    <w:rsid w:val="00AA19E0"/>
    <w:rsid w:val="00AA2A16"/>
    <w:rsid w:val="00AA4481"/>
    <w:rsid w:val="00AA79F1"/>
    <w:rsid w:val="00AB1EB1"/>
    <w:rsid w:val="00AC02A5"/>
    <w:rsid w:val="00AC3B70"/>
    <w:rsid w:val="00AC477B"/>
    <w:rsid w:val="00AC7F37"/>
    <w:rsid w:val="00AD0264"/>
    <w:rsid w:val="00AD09C4"/>
    <w:rsid w:val="00AD14DF"/>
    <w:rsid w:val="00AD1F09"/>
    <w:rsid w:val="00AD53E3"/>
    <w:rsid w:val="00AD73E0"/>
    <w:rsid w:val="00AE36A5"/>
    <w:rsid w:val="00AE441B"/>
    <w:rsid w:val="00AE546A"/>
    <w:rsid w:val="00AE7BCC"/>
    <w:rsid w:val="00AF0943"/>
    <w:rsid w:val="00AF32C6"/>
    <w:rsid w:val="00AF4EFA"/>
    <w:rsid w:val="00B10EE0"/>
    <w:rsid w:val="00B13577"/>
    <w:rsid w:val="00B16702"/>
    <w:rsid w:val="00B22426"/>
    <w:rsid w:val="00B22968"/>
    <w:rsid w:val="00B22A4C"/>
    <w:rsid w:val="00B24232"/>
    <w:rsid w:val="00B26D44"/>
    <w:rsid w:val="00B26FCD"/>
    <w:rsid w:val="00B31463"/>
    <w:rsid w:val="00B339E2"/>
    <w:rsid w:val="00B35C4B"/>
    <w:rsid w:val="00B37059"/>
    <w:rsid w:val="00B3722D"/>
    <w:rsid w:val="00B407B0"/>
    <w:rsid w:val="00B4091F"/>
    <w:rsid w:val="00B50FD2"/>
    <w:rsid w:val="00B52441"/>
    <w:rsid w:val="00B5442C"/>
    <w:rsid w:val="00B57293"/>
    <w:rsid w:val="00B57ACB"/>
    <w:rsid w:val="00B60254"/>
    <w:rsid w:val="00B602B8"/>
    <w:rsid w:val="00B647BA"/>
    <w:rsid w:val="00B763C4"/>
    <w:rsid w:val="00B779A5"/>
    <w:rsid w:val="00B81C4E"/>
    <w:rsid w:val="00B83358"/>
    <w:rsid w:val="00B8796E"/>
    <w:rsid w:val="00B87DCF"/>
    <w:rsid w:val="00B91312"/>
    <w:rsid w:val="00B926AA"/>
    <w:rsid w:val="00B92D8B"/>
    <w:rsid w:val="00B930BE"/>
    <w:rsid w:val="00B96989"/>
    <w:rsid w:val="00BA6D04"/>
    <w:rsid w:val="00BB0C0B"/>
    <w:rsid w:val="00BB19C8"/>
    <w:rsid w:val="00BB59D8"/>
    <w:rsid w:val="00BC0BBD"/>
    <w:rsid w:val="00BC7175"/>
    <w:rsid w:val="00BC7F72"/>
    <w:rsid w:val="00BE1238"/>
    <w:rsid w:val="00BE258A"/>
    <w:rsid w:val="00BE386A"/>
    <w:rsid w:val="00BE6110"/>
    <w:rsid w:val="00BF17DF"/>
    <w:rsid w:val="00C12A8F"/>
    <w:rsid w:val="00C13EFA"/>
    <w:rsid w:val="00C147AE"/>
    <w:rsid w:val="00C20B68"/>
    <w:rsid w:val="00C256BA"/>
    <w:rsid w:val="00C34571"/>
    <w:rsid w:val="00C35BF7"/>
    <w:rsid w:val="00C4403C"/>
    <w:rsid w:val="00C54FE6"/>
    <w:rsid w:val="00C6444B"/>
    <w:rsid w:val="00C83497"/>
    <w:rsid w:val="00C857FA"/>
    <w:rsid w:val="00C85F8B"/>
    <w:rsid w:val="00C90481"/>
    <w:rsid w:val="00C952FA"/>
    <w:rsid w:val="00CB1926"/>
    <w:rsid w:val="00CB476B"/>
    <w:rsid w:val="00CB718B"/>
    <w:rsid w:val="00CC2497"/>
    <w:rsid w:val="00CC4DCF"/>
    <w:rsid w:val="00CC680B"/>
    <w:rsid w:val="00CD0BDA"/>
    <w:rsid w:val="00CD3483"/>
    <w:rsid w:val="00CE2230"/>
    <w:rsid w:val="00CE6831"/>
    <w:rsid w:val="00D07C19"/>
    <w:rsid w:val="00D12FDF"/>
    <w:rsid w:val="00D13A7A"/>
    <w:rsid w:val="00D16B6E"/>
    <w:rsid w:val="00D17E89"/>
    <w:rsid w:val="00D26A74"/>
    <w:rsid w:val="00D26B25"/>
    <w:rsid w:val="00D26DE5"/>
    <w:rsid w:val="00D30A7C"/>
    <w:rsid w:val="00D33A11"/>
    <w:rsid w:val="00D345F6"/>
    <w:rsid w:val="00D35219"/>
    <w:rsid w:val="00D36B1D"/>
    <w:rsid w:val="00D477EC"/>
    <w:rsid w:val="00D50202"/>
    <w:rsid w:val="00D51EF0"/>
    <w:rsid w:val="00D52FB5"/>
    <w:rsid w:val="00D542BF"/>
    <w:rsid w:val="00D60722"/>
    <w:rsid w:val="00D65CC7"/>
    <w:rsid w:val="00D67F04"/>
    <w:rsid w:val="00D719C6"/>
    <w:rsid w:val="00D75B8A"/>
    <w:rsid w:val="00D827DF"/>
    <w:rsid w:val="00D85BD4"/>
    <w:rsid w:val="00D86B5C"/>
    <w:rsid w:val="00D909BF"/>
    <w:rsid w:val="00D91EF3"/>
    <w:rsid w:val="00D960C2"/>
    <w:rsid w:val="00D965D5"/>
    <w:rsid w:val="00D966FF"/>
    <w:rsid w:val="00D97101"/>
    <w:rsid w:val="00DA1F1E"/>
    <w:rsid w:val="00DA2256"/>
    <w:rsid w:val="00DA7B63"/>
    <w:rsid w:val="00DB2755"/>
    <w:rsid w:val="00DB2FF8"/>
    <w:rsid w:val="00DB35E7"/>
    <w:rsid w:val="00DC1BD5"/>
    <w:rsid w:val="00DC2FB6"/>
    <w:rsid w:val="00DC5520"/>
    <w:rsid w:val="00DD7471"/>
    <w:rsid w:val="00DE061F"/>
    <w:rsid w:val="00DE28AE"/>
    <w:rsid w:val="00DE2D1E"/>
    <w:rsid w:val="00DE5725"/>
    <w:rsid w:val="00DF1967"/>
    <w:rsid w:val="00DF1BD1"/>
    <w:rsid w:val="00DF278D"/>
    <w:rsid w:val="00DF579E"/>
    <w:rsid w:val="00DF7FA6"/>
    <w:rsid w:val="00E06BDB"/>
    <w:rsid w:val="00E1017A"/>
    <w:rsid w:val="00E10AF9"/>
    <w:rsid w:val="00E15888"/>
    <w:rsid w:val="00E25BE6"/>
    <w:rsid w:val="00E30DD1"/>
    <w:rsid w:val="00E336A4"/>
    <w:rsid w:val="00E33AE0"/>
    <w:rsid w:val="00E418FB"/>
    <w:rsid w:val="00E42320"/>
    <w:rsid w:val="00E43C7C"/>
    <w:rsid w:val="00E447E1"/>
    <w:rsid w:val="00E51CDC"/>
    <w:rsid w:val="00E51F5B"/>
    <w:rsid w:val="00E549F3"/>
    <w:rsid w:val="00E62FC6"/>
    <w:rsid w:val="00E65116"/>
    <w:rsid w:val="00E6520E"/>
    <w:rsid w:val="00E66383"/>
    <w:rsid w:val="00E6796B"/>
    <w:rsid w:val="00E712C5"/>
    <w:rsid w:val="00E72337"/>
    <w:rsid w:val="00E75864"/>
    <w:rsid w:val="00E76082"/>
    <w:rsid w:val="00E84069"/>
    <w:rsid w:val="00E84BBB"/>
    <w:rsid w:val="00E87116"/>
    <w:rsid w:val="00E90175"/>
    <w:rsid w:val="00E9190A"/>
    <w:rsid w:val="00EA00AB"/>
    <w:rsid w:val="00EA14D5"/>
    <w:rsid w:val="00EA4A78"/>
    <w:rsid w:val="00EA4DE6"/>
    <w:rsid w:val="00EB1A67"/>
    <w:rsid w:val="00EB3CA2"/>
    <w:rsid w:val="00EB7038"/>
    <w:rsid w:val="00EC4292"/>
    <w:rsid w:val="00EC57B8"/>
    <w:rsid w:val="00EC626E"/>
    <w:rsid w:val="00EC7C99"/>
    <w:rsid w:val="00ED0085"/>
    <w:rsid w:val="00ED4BA3"/>
    <w:rsid w:val="00EE04DB"/>
    <w:rsid w:val="00EE1129"/>
    <w:rsid w:val="00EE46EF"/>
    <w:rsid w:val="00EE6040"/>
    <w:rsid w:val="00EE69D2"/>
    <w:rsid w:val="00EE71C0"/>
    <w:rsid w:val="00EF1FC4"/>
    <w:rsid w:val="00EF3DBD"/>
    <w:rsid w:val="00EF51F7"/>
    <w:rsid w:val="00EF5FAF"/>
    <w:rsid w:val="00F02830"/>
    <w:rsid w:val="00F0718A"/>
    <w:rsid w:val="00F203A3"/>
    <w:rsid w:val="00F22FFC"/>
    <w:rsid w:val="00F23ED2"/>
    <w:rsid w:val="00F252E6"/>
    <w:rsid w:val="00F25E0B"/>
    <w:rsid w:val="00F41EB8"/>
    <w:rsid w:val="00F424D1"/>
    <w:rsid w:val="00F451AA"/>
    <w:rsid w:val="00F5155A"/>
    <w:rsid w:val="00F522F7"/>
    <w:rsid w:val="00F53278"/>
    <w:rsid w:val="00F5587E"/>
    <w:rsid w:val="00F56CAB"/>
    <w:rsid w:val="00F60F49"/>
    <w:rsid w:val="00F6100C"/>
    <w:rsid w:val="00F64559"/>
    <w:rsid w:val="00F667F7"/>
    <w:rsid w:val="00F70EC0"/>
    <w:rsid w:val="00F71CF0"/>
    <w:rsid w:val="00F72751"/>
    <w:rsid w:val="00F858EE"/>
    <w:rsid w:val="00F90011"/>
    <w:rsid w:val="00F90FFA"/>
    <w:rsid w:val="00F91DA3"/>
    <w:rsid w:val="00F974E4"/>
    <w:rsid w:val="00FA07C1"/>
    <w:rsid w:val="00FA34BE"/>
    <w:rsid w:val="00FA3C43"/>
    <w:rsid w:val="00FA520A"/>
    <w:rsid w:val="00FA68B6"/>
    <w:rsid w:val="00FA6C7B"/>
    <w:rsid w:val="00FB4FE7"/>
    <w:rsid w:val="00FC3EED"/>
    <w:rsid w:val="00FC5171"/>
    <w:rsid w:val="00FC634D"/>
    <w:rsid w:val="00FC6E0F"/>
    <w:rsid w:val="00FC7EA9"/>
    <w:rsid w:val="00FD0750"/>
    <w:rsid w:val="00FD1FA2"/>
    <w:rsid w:val="00FD4FBD"/>
    <w:rsid w:val="00FD5D47"/>
    <w:rsid w:val="00FD64A0"/>
    <w:rsid w:val="00FE0259"/>
    <w:rsid w:val="00FE1114"/>
    <w:rsid w:val="00FE4FD8"/>
    <w:rsid w:val="00FE6F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B5C04"/>
  <w15:docId w15:val="{CEE3B233-246B-4168-8995-37AB28C3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 w:val="22"/>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1F41ED"/>
    <w:pPr>
      <w:keepNext/>
      <w:numPr>
        <w:numId w:val="1"/>
      </w:numPr>
      <w:tabs>
        <w:tab w:val="clear" w:pos="1440"/>
        <w:tab w:val="left" w:pos="426"/>
      </w:tabs>
      <w:spacing w:before="360" w:after="12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uiPriority w:val="99"/>
    <w:rPr>
      <w:color w:val="0000FF"/>
      <w:u w:val="single"/>
    </w:rPr>
  </w:style>
  <w:style w:type="paragraph" w:customStyle="1" w:styleId="Smlouva-slo">
    <w:name w:val="Smlouva-číslo"/>
    <w:basedOn w:val="Normln"/>
    <w:pPr>
      <w:spacing w:before="120" w:line="240" w:lineRule="atLeast"/>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pPr>
    <w:rPr>
      <w:szCs w:val="24"/>
    </w:rPr>
  </w:style>
  <w:style w:type="paragraph" w:customStyle="1" w:styleId="SBSSmlouva">
    <w:name w:val="SBS Smlouva"/>
    <w:basedOn w:val="SBSnormln"/>
    <w:link w:val="SBSSmlouvaChar"/>
    <w:uiPriority w:val="99"/>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uiPriority w:val="99"/>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pPr>
    <w:rPr>
      <w:rFonts w:ascii="Times New Roman" w:hAnsi="Times New Roman"/>
      <w:sz w:val="24"/>
    </w:rPr>
  </w:style>
  <w:style w:type="paragraph" w:customStyle="1" w:styleId="slovn">
    <w:name w:val="Číslování"/>
    <w:basedOn w:val="Normln"/>
    <w:pPr>
      <w:spacing w:before="120"/>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outlineLvl w:val="2"/>
    </w:pPr>
    <w:rPr>
      <w:rFonts w:ascii="Times New Roman" w:hAnsi="Times New Roman"/>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8"/>
      </w:numPr>
      <w:spacing w:before="60" w:line="264" w:lineRule="auto"/>
    </w:pPr>
    <w:rPr>
      <w:rFonts w:ascii="Verdana" w:hAnsi="Verdana"/>
      <w:sz w:val="18"/>
      <w:szCs w:val="24"/>
    </w:rPr>
  </w:style>
  <w:style w:type="paragraph" w:customStyle="1" w:styleId="Text">
    <w:name w:val="Text"/>
    <w:basedOn w:val="Normln"/>
    <w:link w:val="TextChar"/>
    <w:pPr>
      <w:overflowPunct w:val="0"/>
      <w:autoSpaceDE w:val="0"/>
      <w:autoSpaceDN w:val="0"/>
      <w:adjustRightInd w:val="0"/>
      <w:spacing w:before="120"/>
      <w:textAlignment w:val="baseline"/>
    </w:pPr>
    <w:rPr>
      <w:lang w:eastAsia="en-US"/>
    </w:rPr>
  </w:style>
  <w:style w:type="character" w:customStyle="1" w:styleId="TextChar">
    <w:name w:val="Text Char"/>
    <w:link w:val="Text"/>
    <w:rPr>
      <w:rFonts w:ascii="Arial" w:hAnsi="Arial"/>
      <w:lang w:eastAsia="en-US"/>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numbering" w:customStyle="1" w:styleId="Styl3">
    <w:name w:val="Styl3"/>
    <w:uiPriority w:val="99"/>
    <w:pPr>
      <w:numPr>
        <w:numId w:val="11"/>
      </w:numPr>
    </w:pPr>
  </w:style>
  <w:style w:type="character" w:customStyle="1" w:styleId="ZhlavChar">
    <w:name w:val="Záhlaví Char"/>
    <w:link w:val="Zhlav"/>
    <w:uiPriority w:val="99"/>
    <w:locked/>
    <w:rPr>
      <w:rFonts w:ascii="Arial" w:hAnsi="Arial"/>
      <w:sz w:val="22"/>
    </w:rPr>
  </w:style>
  <w:style w:type="table" w:styleId="Svtlstnovnzvraznn1">
    <w:name w:val="Light Shading Accent 1"/>
    <w:basedOn w:val="Normlntabulka"/>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style01">
    <w:name w:val="fontstyle01"/>
    <w:basedOn w:val="Standardnpsmoodstavce"/>
    <w:rPr>
      <w:rFonts w:ascii="Verdana" w:hAnsi="Verdana" w:hint="default"/>
      <w:b w:val="0"/>
      <w:bCs w:val="0"/>
      <w:i w:val="0"/>
      <w:iCs w:val="0"/>
      <w:color w:val="000000"/>
      <w:sz w:val="18"/>
      <w:szCs w:val="18"/>
    </w:rPr>
  </w:style>
  <w:style w:type="paragraph" w:customStyle="1" w:styleId="Tabulka1">
    <w:name w:val="Tabulka ř.1"/>
    <w:aliases w:val="sl.1"/>
    <w:basedOn w:val="Zkladntextodsazen-slo"/>
    <w:qFormat/>
    <w:pPr>
      <w:numPr>
        <w:numId w:val="19"/>
      </w:numPr>
      <w:spacing w:before="40" w:after="60"/>
      <w:jc w:val="left"/>
      <w:outlineLvl w:val="9"/>
    </w:pPr>
    <w:rPr>
      <w:rFonts w:asciiTheme="minorHAnsi" w:hAnsiTheme="minorHAnsi" w:cstheme="minorHAnsi"/>
      <w:b/>
      <w:sz w:val="18"/>
      <w:szCs w:val="18"/>
    </w:rPr>
  </w:style>
  <w:style w:type="paragraph" w:customStyle="1" w:styleId="Tabulka2">
    <w:name w:val="Tabulka ř.2"/>
    <w:aliases w:val="sl.2"/>
    <w:basedOn w:val="Zkladntextodsazen-slo"/>
    <w:qFormat/>
    <w:pPr>
      <w:tabs>
        <w:tab w:val="clear" w:pos="284"/>
      </w:tabs>
      <w:spacing w:before="40" w:after="60"/>
      <w:ind w:left="307" w:hanging="1"/>
      <w:jc w:val="left"/>
      <w:outlineLvl w:val="9"/>
    </w:pPr>
    <w:rPr>
      <w:rFonts w:asciiTheme="minorHAnsi" w:hAnsiTheme="minorHAnsi" w:cstheme="minorHAnsi"/>
      <w:sz w:val="18"/>
      <w:szCs w:val="18"/>
    </w:rPr>
  </w:style>
  <w:style w:type="paragraph" w:customStyle="1" w:styleId="Odstavec1">
    <w:name w:val="Odstavec 1"/>
    <w:basedOn w:val="SBSSmlouva"/>
    <w:link w:val="Odstavec1Char"/>
    <w:qFormat/>
    <w:pPr>
      <w:ind w:left="425" w:hanging="425"/>
    </w:pPr>
    <w:rPr>
      <w:szCs w:val="22"/>
    </w:rPr>
  </w:style>
  <w:style w:type="paragraph" w:customStyle="1" w:styleId="Odstavec2">
    <w:name w:val="Odstavec 2"/>
    <w:basedOn w:val="SBSSmlouva"/>
    <w:link w:val="Odstavec2Char"/>
    <w:qFormat/>
    <w:pPr>
      <w:ind w:left="851" w:hanging="624"/>
    </w:pPr>
  </w:style>
  <w:style w:type="character" w:customStyle="1" w:styleId="SBSSmlouvaChar">
    <w:name w:val="SBS Smlouva Char"/>
    <w:basedOn w:val="Standardnpsmoodstavce"/>
    <w:link w:val="SBSSmlouva"/>
    <w:uiPriority w:val="99"/>
    <w:rPr>
      <w:rFonts w:ascii="Arial" w:hAnsi="Arial"/>
      <w:sz w:val="22"/>
      <w:szCs w:val="24"/>
    </w:rPr>
  </w:style>
  <w:style w:type="character" w:customStyle="1" w:styleId="Odstavec1Char">
    <w:name w:val="Odstavec 1 Char"/>
    <w:basedOn w:val="SBSSmlouvaChar"/>
    <w:link w:val="Odstavec1"/>
    <w:rPr>
      <w:rFonts w:ascii="Arial" w:hAnsi="Arial"/>
      <w:sz w:val="22"/>
      <w:szCs w:val="22"/>
    </w:rPr>
  </w:style>
  <w:style w:type="character" w:customStyle="1" w:styleId="Odstavec2Char">
    <w:name w:val="Odstavec 2 Char"/>
    <w:basedOn w:val="SBSSmlouvaChar"/>
    <w:link w:val="Odstavec2"/>
    <w:rPr>
      <w:rFonts w:ascii="Arial" w:hAnsi="Arial"/>
      <w:sz w:val="22"/>
      <w:szCs w:val="24"/>
    </w:rPr>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509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06047887">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27557053">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2400711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136947411">
      <w:bodyDiv w:val="1"/>
      <w:marLeft w:val="0"/>
      <w:marRight w:val="0"/>
      <w:marTop w:val="0"/>
      <w:marBottom w:val="0"/>
      <w:divBdr>
        <w:top w:val="none" w:sz="0" w:space="0" w:color="auto"/>
        <w:left w:val="none" w:sz="0" w:space="0" w:color="auto"/>
        <w:bottom w:val="none" w:sz="0" w:space="0" w:color="auto"/>
        <w:right w:val="none" w:sz="0" w:space="0" w:color="auto"/>
      </w:divBdr>
    </w:div>
    <w:div w:id="1393305863">
      <w:bodyDiv w:val="1"/>
      <w:marLeft w:val="0"/>
      <w:marRight w:val="0"/>
      <w:marTop w:val="0"/>
      <w:marBottom w:val="0"/>
      <w:divBdr>
        <w:top w:val="none" w:sz="0" w:space="0" w:color="auto"/>
        <w:left w:val="none" w:sz="0" w:space="0" w:color="auto"/>
        <w:bottom w:val="none" w:sz="0" w:space="0" w:color="auto"/>
        <w:right w:val="none" w:sz="0" w:space="0" w:color="auto"/>
      </w:divBdr>
    </w:div>
    <w:div w:id="1427651594">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45050725">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45111659">
      <w:bodyDiv w:val="1"/>
      <w:marLeft w:val="0"/>
      <w:marRight w:val="0"/>
      <w:marTop w:val="0"/>
      <w:marBottom w:val="0"/>
      <w:divBdr>
        <w:top w:val="none" w:sz="0" w:space="0" w:color="auto"/>
        <w:left w:val="none" w:sz="0" w:space="0" w:color="auto"/>
        <w:bottom w:val="none" w:sz="0" w:space="0" w:color="auto"/>
        <w:right w:val="none" w:sz="0" w:space="0" w:color="auto"/>
      </w:divBdr>
    </w:div>
    <w:div w:id="2062970802">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pi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daas_emea@h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ompit.cz" TargetMode="External"/><Relationship Id="rId4" Type="http://schemas.openxmlformats.org/officeDocument/2006/relationships/settings" Target="settings.xml"/><Relationship Id="rId9" Type="http://schemas.openxmlformats.org/officeDocument/2006/relationships/hyperlink" Target="mailto:posta@ostrav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AEEA-86FC-4CB5-ACF3-A4B2E57C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4016</Words>
  <Characters>23561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Koudelová Markéta</cp:lastModifiedBy>
  <cp:revision>5</cp:revision>
  <dcterms:created xsi:type="dcterms:W3CDTF">2024-10-31T13:11:00Z</dcterms:created>
  <dcterms:modified xsi:type="dcterms:W3CDTF">2024-11-19T13:31:00Z</dcterms:modified>
</cp:coreProperties>
</file>