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Dohoda o postoupení smlouvy/smluv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Účastníci dohody: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283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>Postupitel: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LASSELSBERGER, s.r.o.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IČ: 25238078, DIČ: CZ25238078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se sídlem Plzeň - Jižní Předměstí, Adelova 2549/1, PSČ 320 00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zapsána v obchodním rejstříku Krajského soudu v Plzni, oddíl C, vložka 22719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zastoupena Ing. Romanem Blažíčkem, jednatelem, a Ing. Václavem Růžičkou, výrobně-technickým ředitelem, na základě pověření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bankovní účet č. 6221912/0800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(dále jen „</w:t>
      </w:r>
      <w:r>
        <w:rPr>
          <w:rFonts w:cs="Arial" w:ascii="Arial" w:hAnsi="Arial"/>
          <w:b/>
          <w:bCs/>
          <w:sz w:val="20"/>
          <w:szCs w:val="20"/>
        </w:rPr>
        <w:t>současný dodavatel</w:t>
      </w:r>
      <w:r>
        <w:rPr>
          <w:rFonts w:cs="Arial" w:ascii="Arial" w:hAnsi="Arial"/>
          <w:sz w:val="20"/>
          <w:szCs w:val="20"/>
        </w:rPr>
        <w:t>” nebo „</w:t>
      </w:r>
      <w:r>
        <w:rPr>
          <w:rFonts w:cs="Arial" w:ascii="Arial" w:hAnsi="Arial"/>
          <w:b/>
          <w:bCs/>
          <w:sz w:val="20"/>
          <w:szCs w:val="20"/>
        </w:rPr>
        <w:t>postupitel</w:t>
      </w:r>
      <w:r>
        <w:rPr>
          <w:rFonts w:cs="Arial" w:ascii="Arial" w:hAnsi="Arial"/>
          <w:sz w:val="20"/>
          <w:szCs w:val="20"/>
        </w:rPr>
        <w:t>”)</w:t>
      </w:r>
    </w:p>
    <w:p>
      <w:pPr>
        <w:pStyle w:val="Normal"/>
        <w:widowControl w:val="false"/>
        <w:spacing w:lineRule="auto" w:line="240" w:before="60" w:after="6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283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>Postupník: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MM Partners Investments s.r.o.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IČ: 10897666, DIČ: CZ10897666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se sídlem Jáchymovská 232/96, Bohatice, 360 04 Karlovy Vary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zapsána v obchodním rejstříku Krajského soudu v Plzni, oddíl C, vložka 42483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zastoupena: Marek Sattler, jednatel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bankovní účet č. 6167909379/0800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(dále jen „</w:t>
      </w:r>
      <w:r>
        <w:rPr>
          <w:rFonts w:cs="Arial" w:ascii="Arial" w:hAnsi="Arial"/>
          <w:b/>
          <w:bCs/>
          <w:sz w:val="20"/>
          <w:szCs w:val="20"/>
        </w:rPr>
        <w:t>nový dodavatel</w:t>
      </w:r>
      <w:r>
        <w:rPr>
          <w:rFonts w:cs="Arial" w:ascii="Arial" w:hAnsi="Arial"/>
          <w:sz w:val="20"/>
          <w:szCs w:val="20"/>
        </w:rPr>
        <w:t>” nebo „</w:t>
      </w:r>
      <w:r>
        <w:rPr>
          <w:rFonts w:cs="Arial" w:ascii="Arial" w:hAnsi="Arial"/>
          <w:b/>
          <w:bCs/>
          <w:sz w:val="20"/>
          <w:szCs w:val="20"/>
        </w:rPr>
        <w:t>postupník</w:t>
      </w:r>
      <w:r>
        <w:rPr>
          <w:rFonts w:cs="Arial" w:ascii="Arial" w:hAnsi="Arial"/>
          <w:sz w:val="20"/>
          <w:szCs w:val="20"/>
        </w:rPr>
        <w:t>”)</w:t>
      </w:r>
    </w:p>
    <w:p>
      <w:pPr>
        <w:pStyle w:val="Normal"/>
        <w:widowControl w:val="false"/>
        <w:spacing w:lineRule="auto" w:line="240" w:before="60" w:after="6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283"/>
        <w:jc w:val="both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>Postoupená strana: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Mateřská škola Šamotka Rakovník, Šamotka 259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IČ: 47020334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se sídlem Šamotka 259, Rakovník II, 26901 Rakovník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příspěvková organizace zřízená územním samosprávným celkem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zastoupena: </w:t>
        <w:tab/>
        <w:t>Iveta Weisová, ředitelka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(dále jen „</w:t>
      </w:r>
      <w:r>
        <w:rPr>
          <w:rFonts w:cs="Arial" w:ascii="Arial" w:hAnsi="Arial"/>
          <w:b/>
          <w:bCs/>
          <w:sz w:val="20"/>
          <w:szCs w:val="20"/>
        </w:rPr>
        <w:t>odběratel</w:t>
      </w:r>
      <w:r>
        <w:rPr>
          <w:rFonts w:cs="Arial" w:ascii="Arial" w:hAnsi="Arial"/>
          <w:sz w:val="20"/>
          <w:szCs w:val="20"/>
        </w:rPr>
        <w:t>” nebo „</w:t>
      </w:r>
      <w:r>
        <w:rPr>
          <w:rFonts w:cs="Arial" w:ascii="Arial" w:hAnsi="Arial"/>
          <w:b/>
          <w:bCs/>
          <w:sz w:val="20"/>
          <w:szCs w:val="20"/>
        </w:rPr>
        <w:t>postoupená strana</w:t>
      </w:r>
      <w:r>
        <w:rPr>
          <w:rFonts w:cs="Arial" w:ascii="Arial" w:hAnsi="Arial"/>
          <w:sz w:val="20"/>
          <w:szCs w:val="20"/>
        </w:rPr>
        <w:t>”)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(postupitel, postupník a postoupená strana společně dále jako „</w:t>
      </w:r>
      <w:r>
        <w:rPr>
          <w:rFonts w:cs="Arial" w:ascii="Arial" w:hAnsi="Arial"/>
          <w:b/>
          <w:bCs/>
          <w:sz w:val="20"/>
          <w:szCs w:val="20"/>
        </w:rPr>
        <w:t>účastníci</w:t>
      </w:r>
      <w:r>
        <w:rPr>
          <w:rFonts w:cs="Arial" w:ascii="Arial" w:hAnsi="Arial"/>
          <w:sz w:val="20"/>
          <w:szCs w:val="20"/>
        </w:rPr>
        <w:t>”)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uzavřeli v souladu s ust. § 1895 zákona č. 89/2012 Sb., občanský zákoník, v platném znění (dále jen „</w:t>
      </w:r>
      <w:r>
        <w:rPr>
          <w:rFonts w:cs="Arial" w:ascii="Arial" w:hAnsi="Arial"/>
          <w:b/>
          <w:bCs/>
          <w:sz w:val="20"/>
          <w:szCs w:val="20"/>
        </w:rPr>
        <w:t>občanský zákoník</w:t>
      </w:r>
      <w:r>
        <w:rPr>
          <w:rFonts w:cs="Arial" w:ascii="Arial" w:hAnsi="Arial"/>
          <w:sz w:val="20"/>
          <w:szCs w:val="20"/>
        </w:rPr>
        <w:t xml:space="preserve">”), níže uvedeného dne, měsíce a roku tuto </w:t>
      </w:r>
      <w:r>
        <w:rPr>
          <w:rFonts w:cs="Arial" w:ascii="Arial" w:hAnsi="Arial"/>
          <w:b/>
          <w:bCs/>
          <w:sz w:val="20"/>
          <w:szCs w:val="20"/>
        </w:rPr>
        <w:t xml:space="preserve">dohodu o postoupení smlouvy/smluv </w:t>
      </w:r>
      <w:r>
        <w:rPr>
          <w:rFonts w:cs="Arial" w:ascii="Arial" w:hAnsi="Arial"/>
          <w:sz w:val="20"/>
          <w:szCs w:val="20"/>
        </w:rPr>
        <w:t>(dále jen „</w:t>
      </w:r>
      <w:r>
        <w:rPr>
          <w:rFonts w:cs="Arial" w:ascii="Arial" w:hAnsi="Arial"/>
          <w:b/>
          <w:bCs/>
          <w:sz w:val="20"/>
          <w:szCs w:val="20"/>
        </w:rPr>
        <w:t>dohoda</w:t>
      </w:r>
      <w:r>
        <w:rPr>
          <w:rFonts w:cs="Arial" w:ascii="Arial" w:hAnsi="Arial"/>
          <w:sz w:val="20"/>
          <w:szCs w:val="20"/>
        </w:rPr>
        <w:t>”):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Současný dodavatel a odběratel uzavřeli: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widowControl w:val="false"/>
        <w:numPr>
          <w:ilvl w:val="1"/>
          <w:numId w:val="4"/>
        </w:numPr>
        <w:spacing w:lineRule="auto" w:line="240" w:before="0" w:after="0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dne 29.5.2012 smlouvu o poskytování zemního plynu a rozúčtování nákladů na jeho nákup a smlouvu o dodávce služeb spojených s poskytováním zemního plynu, ve znění jejich pozdějších dodatků, na jejichž základě současný dodavatel poskytuje ze svého odběrného zařízení odběrateli zemní plyn, který odebírá od licencovaného dodavatele zemního plynu, a dále mu poskytuje služby s tím spojené</w:t>
      </w:r>
    </w:p>
    <w:p>
      <w:pPr>
        <w:pStyle w:val="ListParagraph"/>
        <w:widowControl w:val="false"/>
        <w:spacing w:lineRule="auto" w:line="240" w:before="0" w:after="0"/>
        <w:ind w:left="425" w:hanging="0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42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(všechny výše uvedené smlouvy společně dále také jen jako „</w:t>
      </w:r>
      <w:r>
        <w:rPr>
          <w:rFonts w:cs="Arial" w:ascii="Arial" w:hAnsi="Arial"/>
          <w:b/>
          <w:bCs/>
          <w:sz w:val="20"/>
          <w:szCs w:val="20"/>
        </w:rPr>
        <w:t>Smlouvy</w:t>
      </w:r>
      <w:r>
        <w:rPr>
          <w:rFonts w:cs="Arial" w:ascii="Arial" w:hAnsi="Arial"/>
          <w:sz w:val="20"/>
          <w:szCs w:val="20"/>
        </w:rPr>
        <w:t>”).</w:t>
      </w:r>
    </w:p>
    <w:p>
      <w:pPr>
        <w:pStyle w:val="Normal"/>
        <w:widowControl w:val="false"/>
        <w:spacing w:lineRule="auto" w:line="240" w:before="0" w:after="0"/>
        <w:ind w:left="42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II.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Postupitel, jakožto současný dodavatel, na základě této dohody s účinností ode dne </w:t>
      </w:r>
      <w:r>
        <w:rPr>
          <w:rFonts w:cs="Arial" w:ascii="Arial" w:hAnsi="Arial"/>
          <w:b/>
          <w:bCs/>
          <w:sz w:val="20"/>
          <w:szCs w:val="20"/>
        </w:rPr>
        <w:t>1.1.2025</w:t>
      </w:r>
      <w:r>
        <w:rPr>
          <w:rFonts w:cs="Arial" w:ascii="Arial" w:hAnsi="Arial"/>
          <w:sz w:val="20"/>
          <w:szCs w:val="20"/>
        </w:rPr>
        <w:t xml:space="preserve"> postupuje Smlouvy a tím i veškerá svá práva a povinnosti ze Smluv na postupníka, jakožto nového dodavatele, a postupník s postoupením Smluv souhlasí a veškerá práva a povinnosti dodavatele vyplývající ze Smluv přejímá. Postupitel a postupník se dále dohodli, že k postoupení Smluv, resp. právního postavení dodavatele ze Smluv, dojde pouze co do budoucích práv a povinností, naproti tomu práva a povinnosti vzniklé před účinností postoupení, jež dosud nezanikly, vypořádají mezi sebou původní strany Smluv.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 postoupení práv a povinností ze Smluv dochází mezi postupitelem a postupníkem bezúplatně.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cs="Arial" w:ascii="Arial" w:hAnsi="Arial"/>
          <w:color w:val="FF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III.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Postupitel prohlašuje, že: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předal postupníkovi jedno vyhotovení každé ze Smluv (ve formě sken-kopie) a poskytl mu veškeré potřebné informace týkající se postoupených Smluv.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Postupník prohlašuje, že: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jsou mu známa veškerá práva a povinnosti dodavatele vyplývající ze Smluv, se kterými se detailně seznámil, a zavazuje se je dodržovat,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 spolu s postupitelem vzájemně vypořádali veškeré případné vzájemné nároky vyplývající z této dohody.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Postoupená strana prohlašuje, že: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 postoupením práv a převzetím povinností z postupitele na postupníka ve smyslu čl. II. této dohody souhlasí.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IV.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Účastníci této dohody se dále dohodli, že s peněžitými jistotami (</w:t>
      </w:r>
      <w:r>
        <w:rPr>
          <w:rFonts w:cs="Arial" w:ascii="Arial" w:hAnsi="Arial"/>
          <w:b/>
          <w:bCs/>
          <w:sz w:val="20"/>
          <w:szCs w:val="20"/>
        </w:rPr>
        <w:t>byly-li ve Smlouvách sjednány</w:t>
      </w:r>
      <w:r>
        <w:rPr>
          <w:rFonts w:cs="Arial" w:ascii="Arial" w:hAnsi="Arial"/>
          <w:sz w:val="20"/>
          <w:szCs w:val="20"/>
        </w:rPr>
        <w:t>), které odběratel na základě každé z uzavřených Smluv poskytl v roce 2024 současnému dodavateli na úhradu svých závazků (společně dále jen „</w:t>
      </w:r>
      <w:r>
        <w:rPr>
          <w:rFonts w:cs="Arial" w:ascii="Arial" w:hAnsi="Arial"/>
          <w:b/>
          <w:bCs/>
          <w:sz w:val="20"/>
          <w:szCs w:val="20"/>
        </w:rPr>
        <w:t>peněžitá jistota</w:t>
      </w:r>
      <w:r>
        <w:rPr>
          <w:rFonts w:cs="Arial" w:ascii="Arial" w:hAnsi="Arial"/>
          <w:sz w:val="20"/>
          <w:szCs w:val="20"/>
        </w:rPr>
        <w:t>”), bude naloženo takto:</w:t>
      </w:r>
    </w:p>
    <w:p>
      <w:pPr>
        <w:pStyle w:val="Normal"/>
        <w:widowControl w:val="false"/>
        <w:numPr>
          <w:ilvl w:val="1"/>
          <w:numId w:val="7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současný dodavatel je oprávněn použít celou peněžitou jistotu nebo její část na úhradu závazků (nedoplatků) odběratele, které budou vyčísleny současným dodavatelem na základě vyúčtování ceny poskytnutých energií a ceny s tím souvisejících služeb provedeného ke dni účinnosti postoupení Smluv ve smyslu čl. II. této dohody a doručeného odběrateli (dále jen „</w:t>
      </w:r>
      <w:r>
        <w:rPr>
          <w:rFonts w:cs="Arial" w:ascii="Arial" w:hAnsi="Arial"/>
          <w:b/>
          <w:bCs/>
          <w:sz w:val="20"/>
          <w:szCs w:val="20"/>
        </w:rPr>
        <w:t>vyúčtování</w:t>
      </w:r>
      <w:r>
        <w:rPr>
          <w:rFonts w:cs="Arial" w:ascii="Arial" w:hAnsi="Arial"/>
          <w:sz w:val="20"/>
          <w:szCs w:val="20"/>
        </w:rPr>
        <w:t>”),</w:t>
      </w:r>
    </w:p>
    <w:p>
      <w:pPr>
        <w:pStyle w:val="Normal"/>
        <w:widowControl w:val="false"/>
        <w:numPr>
          <w:ilvl w:val="1"/>
          <w:numId w:val="7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vznikne-li na základě provedeného vyúčtování odběrateli přeplatek, vyplatí jej současný dodavatel odběrateli ve lhůtě do 30 kalendářních dnů, </w:t>
      </w:r>
    </w:p>
    <w:p>
      <w:pPr>
        <w:pStyle w:val="Normal"/>
        <w:widowControl w:val="false"/>
        <w:numPr>
          <w:ilvl w:val="1"/>
          <w:numId w:val="7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vznikne-li na základě provedeného vyúčtování odběrateli nedoplatek, který bude vyšší nežli poskytnutá peněžitá jistota, uhradí odběratel současnému dodavateli zbývající část nedoplatku, která nebude uhrazena z peněžité jistoty, a to ve lhůtě do 30 kalendářních dnů,</w:t>
      </w:r>
    </w:p>
    <w:p>
      <w:pPr>
        <w:pStyle w:val="Normal"/>
        <w:widowControl w:val="false"/>
        <w:numPr>
          <w:ilvl w:val="1"/>
          <w:numId w:val="7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jistotu nebo její část, která nebyla použita na úhradu závazků odběratele ve smyslu předchozích ujednání tohoto článku, převede současný dodavatel na bankovní účet nového dodavatele uvedený v záhlaví této smlouvy nejpozději do 30 kalendářních dnů,</w:t>
      </w:r>
    </w:p>
    <w:p>
      <w:pPr>
        <w:pStyle w:val="Normal"/>
        <w:widowControl w:val="false"/>
        <w:numPr>
          <w:ilvl w:val="1"/>
          <w:numId w:val="7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ostatní záležitosti týkající se peněžité jistoty touto dohodou výslovně neupravené se řídí ujednáními obsaženými ve Smlouvách.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V.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Právní vztahy mezi účastníky touto dohodou neupravené se řídí ustanoveními občanského zákoníku. </w:t>
      </w:r>
    </w:p>
    <w:p>
      <w:pPr>
        <w:pStyle w:val="ListParagraph"/>
        <w:widowControl w:val="false"/>
        <w:spacing w:lineRule="auto" w:line="240" w:before="0" w:after="0"/>
        <w:ind w:left="360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Tato dohoda nabývá platnosti dnem podpisu oprávněných zástupců všech účastníků.</w:t>
      </w:r>
    </w:p>
    <w:p>
      <w:pPr>
        <w:pStyle w:val="ListParagraph"/>
        <w:widowControl w:val="false"/>
        <w:spacing w:lineRule="auto" w:line="240" w:before="0" w:after="0"/>
        <w:ind w:left="360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Tato dohoda je vyhotovena ve třech vyhotoveních s platností originálu, z nichž každý z účastníků obdrží po jednom vyhotovení.</w:t>
      </w:r>
    </w:p>
    <w:p>
      <w:pPr>
        <w:pStyle w:val="ListParagraph"/>
        <w:widowControl w:val="false"/>
        <w:spacing w:lineRule="auto" w:line="240" w:before="0" w:after="0"/>
        <w:ind w:left="360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Veškeré změny a doplnění této dohody je možné činit pouze písemnými dodatky podepsanými oprávněnými zástupci všech účastníků.</w:t>
      </w:r>
    </w:p>
    <w:p>
      <w:pPr>
        <w:pStyle w:val="ListParagraph"/>
        <w:widowControl w:val="false"/>
        <w:spacing w:lineRule="auto" w:line="240" w:before="0" w:after="0"/>
        <w:ind w:left="360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Účastníci po přečtení této dohody konstatují, že tato dohoda je projevem jejich pravé a svobodné vůle a na důkaz souhlasu s celým obsahem této dohody připojují zástupci všech účastníků své podpisy.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 Plzni dne 21.10.2024</w:t>
        <w:tab/>
        <w:tab/>
        <w:tab/>
        <w:tab/>
        <w:tab/>
        <w:t>V Plzni dne 21.10.2024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</w:t>
      </w:r>
      <w:r>
        <w:rPr>
          <w:rFonts w:cs="Arial" w:ascii="Arial" w:hAnsi="Arial"/>
          <w:sz w:val="20"/>
          <w:szCs w:val="20"/>
        </w:rPr>
        <w:t xml:space="preserve">. </w:t>
        <w:tab/>
        <w:tab/>
        <w:tab/>
        <w:tab/>
        <w:t>………………………………….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LASSELSBERGER, s.r.o.  </w:t>
        <w:tab/>
        <w:tab/>
        <w:tab/>
        <w:tab/>
        <w:t>MM Partners Investments s.r.o.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Ing. Roman Blažíček, jednatel</w:t>
        <w:tab/>
        <w:tab/>
        <w:tab/>
        <w:tab/>
        <w:t>Marek Sattler, jednatel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Ing. Václav Růžička, výrobně-technický ředitel</w:t>
        <w:tab/>
        <w:tab/>
        <w:t>(postupník)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(postupitel) </w:t>
        <w:tab/>
        <w:tab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 …………….…… dne …………….……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Mateřská škola Šamotka Rakovník, Šamotka 259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Iveta Weisová, ředitelka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(postoupená strana)</w:t>
      </w:r>
    </w:p>
    <w:sectPr>
      <w:footerReference w:type="default" r:id="rId2"/>
      <w:type w:val="nextPage"/>
      <w:pgSz w:w="12240" w:h="15840"/>
      <w:pgMar w:left="851" w:right="1183" w:gutter="0" w:header="0" w:top="426" w:footer="254" w:bottom="70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4292664"/>
    </w:sdtPr>
    <w:sdtContent>
      <w:p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cs="Arial" w:ascii="Arial" w:hAnsi="Arial"/>
            <w:sz w:val="20"/>
            <w:szCs w:val="20"/>
          </w:rPr>
          <w:t xml:space="preserve">strana </w:t>
        </w:r>
        <w:r>
          <w:rPr>
            <w:rFonts w:cs="Arial" w:ascii="Arial" w:hAnsi="Arial"/>
            <w:sz w:val="20"/>
            <w:szCs w:val="20"/>
          </w:rPr>
          <w:fldChar w:fldCharType="begin"/>
        </w:r>
        <w:r>
          <w:rPr>
            <w:sz w:val="20"/>
            <w:szCs w:val="20"/>
            <w:rFonts w:cs="Arial" w:ascii="Arial" w:hAnsi="Arial"/>
          </w:rPr>
          <w:instrText xml:space="preserve"> PAGE </w:instrText>
        </w:r>
        <w:r>
          <w:rPr>
            <w:sz w:val="20"/>
            <w:szCs w:val="20"/>
            <w:rFonts w:cs="Arial" w:ascii="Arial" w:hAnsi="Arial"/>
          </w:rPr>
          <w:fldChar w:fldCharType="separate"/>
        </w:r>
        <w:r>
          <w:rPr>
            <w:sz w:val="20"/>
            <w:szCs w:val="20"/>
            <w:rFonts w:cs="Arial" w:ascii="Arial" w:hAnsi="Arial"/>
          </w:rPr>
          <w:t>2</w:t>
        </w:r>
        <w:r>
          <w:rPr>
            <w:sz w:val="20"/>
            <w:szCs w:val="20"/>
            <w:rFonts w:cs="Arial" w:ascii="Arial" w:hAnsi="Arial"/>
          </w:rPr>
          <w:fldChar w:fldCharType="end"/>
        </w:r>
      </w:p>
      <w:p>
        <w:pPr>
          <w:pStyle w:val="Zpat"/>
          <w:rPr>
            <w:rFonts w:ascii="Arial" w:hAnsi="Arial" w:cs="Arial"/>
            <w:sz w:val="20"/>
            <w:szCs w:val="20"/>
          </w:rPr>
        </w:pPr>
        <w:r>
          <w:rPr>
            <w:rFonts w:cs="Arial" w:ascii="Arial" w:hAnsi="Arial"/>
            <w:sz w:val="20"/>
            <w:szCs w:val="20"/>
          </w:rPr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 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6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2794e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92794e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92794e"/>
    <w:rPr>
      <w:b/>
      <w:bCs/>
      <w:sz w:val="20"/>
      <w:szCs w:val="20"/>
    </w:rPr>
  </w:style>
  <w:style w:type="character" w:styleId="ZhlavChar" w:customStyle="1">
    <w:name w:val="Záhlaví Char"/>
    <w:basedOn w:val="DefaultParagraphFont"/>
    <w:uiPriority w:val="99"/>
    <w:qFormat/>
    <w:rsid w:val="00202a84"/>
    <w:rPr/>
  </w:style>
  <w:style w:type="character" w:styleId="ZpatChar" w:customStyle="1">
    <w:name w:val="Zápatí Char"/>
    <w:basedOn w:val="DefaultParagraphFont"/>
    <w:uiPriority w:val="99"/>
    <w:qFormat/>
    <w:rsid w:val="00202a84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92794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92794e"/>
    <w:pPr/>
    <w:rPr>
      <w:b/>
      <w:bCs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202a8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202a8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d0a8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Application>LibreOffice/7.4.2.3$Windows_X86_64 LibreOffice_project/382eef1f22670f7f4118c8c2dd222ec7ad009daf</Application>
  <AppVersion>15.0000</AppVersion>
  <Pages>4</Pages>
  <Words>799</Words>
  <Characters>4870</Characters>
  <CharactersWithSpaces>5610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2023-07-25T11:58:00Z</dcterms:created>
  <dc:creator>Váňová Radka</dc:creator>
  <dc:description/>
  <dc:language>cs-CZ</dc:language>
  <cp:lastModifiedBy>Nový Vladislav</cp:lastModifiedBy>
  <cp:lastPrinted>2024-10-09T10:40:00Z</cp:lastPrinted>
  <dcterms:modified xsi:type="dcterms:W3CDTF">2024-10-10T06:00:00Z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version">
    <vt:lpwstr>jfor V0.7.1 - see http://www.jfor.org</vt:lpwstr>
  </property>
</Properties>
</file>