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4 SOD č. 1287/2024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73767D"/>
          <w:spacing w:val="0"/>
          <w:w w:val="100"/>
          <w:position w:val="0"/>
          <w:shd w:val="clear" w:color="auto" w:fill="auto"/>
          <w:lang w:val="cs-CZ" w:eastAsia="cs-CZ" w:bidi="cs-CZ"/>
        </w:rPr>
        <w:t>PŘÍLOHA Č. 6 – ČESTNÉ PROHLÁŠENÍ K FINANČNÍM SANKCÍM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 VE VZTAHU K RUSKÝM / BĚLORUSKÝM SUBJEKTŮM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 zakázky / veřejné zakázky: Jez na Teplé u ČS Teplička – výstavba rybího přechodu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48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Identifikační údaje vybraného dodavatele: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4109" w:val="left"/>
        </w:tabs>
        <w:bidi w:val="0"/>
        <w:spacing w:before="0" w:after="200" w:line="34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Obchodní firma / název / jméno a příjmení: FINSTAV Vodohospodářská stavební s.r.o. IČO:</w:t>
        <w:tab/>
        <w:t>44567731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2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Vybraný dodavatel tímto ve vztahu k výše nadepsané zakázce / veřejné zakázky prohlašuje, že: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88" w:val="left"/>
        </w:tabs>
        <w:bidi w:val="0"/>
        <w:spacing w:before="0" w:after="0" w:line="317" w:lineRule="auto"/>
        <w:ind w:left="300" w:right="0" w:hanging="30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(ii) kterákoli z osob, jejichž kapacity bude dodavatel využívat, a to v rozsahu více než 10 % nabídkové ceny,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58" w:val="left"/>
        </w:tabs>
        <w:bidi w:val="0"/>
        <w:spacing w:before="0" w:after="0" w:line="322" w:lineRule="auto"/>
        <w:ind w:left="600" w:right="0" w:hanging="300"/>
        <w:jc w:val="left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není ruským státním příslušníkem, fyzickou či právnickou osobou nebo subjektem či orgánem se sídlem v Rusku,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78" w:val="left"/>
        </w:tabs>
        <w:bidi w:val="0"/>
        <w:spacing w:before="0" w:after="0" w:line="322" w:lineRule="auto"/>
        <w:ind w:left="0" w:right="0" w:firstLine="300"/>
        <w:jc w:val="left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není z více než 50 % přímo či nepřímo vlastněn některým ze subjektů uvedených v písmeni a), ani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78" w:val="left"/>
        </w:tabs>
        <w:bidi w:val="0"/>
        <w:spacing w:before="0" w:after="0" w:line="322" w:lineRule="auto"/>
        <w:ind w:left="0" w:right="0" w:firstLine="300"/>
        <w:jc w:val="left"/>
      </w:pPr>
      <w:bookmarkStart w:id="3" w:name="bookmark3"/>
      <w:bookmarkEnd w:id="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nejedná jménem nebo na pokyn některého ze subjektů uvedených v písmeni a) nebo b)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footnoteReference w:id="2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;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88" w:val="left"/>
        </w:tabs>
        <w:bidi w:val="0"/>
        <w:spacing w:before="0" w:after="0"/>
        <w:ind w:left="300" w:right="0" w:hanging="300"/>
        <w:jc w:val="left"/>
      </w:pPr>
      <w:bookmarkStart w:id="4" w:name="bookmark4"/>
      <w:bookmarkEnd w:id="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208/2014, o omezujících opatřeních vůči některým osobám, subjektům, orgánům vzhledem k situaci na Ukrajině, nebo nařízení Rady (ES) č. 765/2006 ze dne 18. května 2006 o omezujících opatřeních vůči prezidentu Lukašenkovi a některým představitelům Běloruska (ve znění pozdějších aktualizací)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footnoteReference w:id="3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;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88" w:val="left"/>
        </w:tabs>
        <w:bidi w:val="0"/>
        <w:spacing w:before="0" w:after="660"/>
        <w:ind w:left="300" w:right="0" w:hanging="300"/>
        <w:jc w:val="left"/>
      </w:pPr>
      <w:bookmarkStart w:id="5" w:name="bookmark5"/>
      <w:bookmarkEnd w:id="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Podepsal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DN: cn=, c=CZ, o=FINSTAV Vodohospodářská stavební s.r.o., ou=1, email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leader="dot" w:pos="1426" w:val="left"/>
          <w:tab w:pos="4493" w:val="left"/>
        </w:tabs>
        <w:bidi w:val="0"/>
        <w:spacing w:before="0" w:after="100" w:line="322" w:lineRule="auto"/>
        <w:ind w:left="1440" w:right="0" w:hanging="14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..</w:t>
      </w:r>
      <w:r>
        <w:rPr>
          <w:color w:val="000000"/>
          <w:spacing w:val="0"/>
          <w:w w:val="100"/>
          <w:position w:val="0"/>
          <w:sz w:val="9"/>
          <w:szCs w:val="9"/>
          <w:shd w:val="clear" w:color="auto" w:fill="auto"/>
          <w:vertAlign w:val="super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z w:val="9"/>
          <w:szCs w:val="9"/>
          <w:shd w:val="clear" w:color="auto" w:fill="auto"/>
          <w:vertAlign w:val="superscript"/>
          <w:lang w:val="cs-CZ" w:eastAsia="cs-CZ" w:bidi="cs-CZ"/>
        </w:rPr>
        <w:t>tu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..</w:t>
      </w:r>
      <w:r>
        <w:rPr>
          <w:color w:val="000000"/>
          <w:spacing w:val="0"/>
          <w:w w:val="100"/>
          <w:position w:val="0"/>
          <w:sz w:val="9"/>
          <w:szCs w:val="9"/>
          <w:shd w:val="clear" w:color="auto" w:fill="auto"/>
          <w:vertAlign w:val="superscript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z w:val="9"/>
          <w:szCs w:val="9"/>
          <w:shd w:val="clear" w:color="auto" w:fill="auto"/>
          <w:vertAlign w:val="superscript"/>
          <w:lang w:val="cs-CZ" w:eastAsia="cs-CZ" w:bidi="cs-CZ"/>
        </w:rPr>
        <w:t>: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..</w:t>
      </w:r>
      <w:r>
        <w:rPr>
          <w:color w:val="000000"/>
          <w:spacing w:val="0"/>
          <w:w w:val="100"/>
          <w:position w:val="0"/>
          <w:sz w:val="9"/>
          <w:szCs w:val="9"/>
          <w:shd w:val="clear" w:color="auto" w:fill="auto"/>
          <w:vertAlign w:val="superscript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z w:val="9"/>
          <w:szCs w:val="9"/>
          <w:shd w:val="clear" w:color="auto" w:fill="auto"/>
          <w:vertAlign w:val="superscript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z w:val="9"/>
          <w:szCs w:val="9"/>
          <w:shd w:val="clear" w:color="auto" w:fill="auto"/>
          <w:vertAlign w:val="superscript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z w:val="9"/>
          <w:szCs w:val="9"/>
          <w:shd w:val="clear" w:color="auto" w:fill="auto"/>
          <w:vertAlign w:val="superscript"/>
          <w:lang w:val="cs-CZ" w:eastAsia="cs-CZ" w:bidi="cs-CZ"/>
        </w:rPr>
        <w:footnoteReference w:id="4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z w:val="9"/>
          <w:szCs w:val="9"/>
          <w:shd w:val="clear" w:color="auto" w:fill="auto"/>
          <w:vertAlign w:val="superscript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z w:val="9"/>
          <w:szCs w:val="9"/>
          <w:shd w:val="clear" w:color="auto" w:fill="auto"/>
          <w:vertAlign w:val="superscript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z w:val="9"/>
          <w:szCs w:val="9"/>
          <w:shd w:val="clear" w:color="auto" w:fill="auto"/>
          <w:vertAlign w:val="superscript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z w:val="9"/>
          <w:szCs w:val="9"/>
          <w:shd w:val="clear" w:color="auto" w:fill="auto"/>
          <w:vertAlign w:val="superscript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z w:val="9"/>
          <w:szCs w:val="9"/>
          <w:shd w:val="clear" w:color="auto" w:fill="auto"/>
          <w:vertAlign w:val="superscript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z w:val="9"/>
          <w:szCs w:val="9"/>
          <w:shd w:val="clear" w:color="auto" w:fill="auto"/>
          <w:vertAlign w:val="superscript"/>
          <w:lang w:val="cs-CZ" w:eastAsia="cs-CZ" w:bidi="cs-CZ"/>
        </w:rPr>
        <w:t>8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. </w:t>
      </w:r>
      <w:r>
        <w:rPr>
          <w:color w:val="000000"/>
          <w:spacing w:val="0"/>
          <w:w w:val="100"/>
          <w:position w:val="0"/>
          <w:sz w:val="9"/>
          <w:szCs w:val="9"/>
          <w:shd w:val="clear" w:color="auto" w:fill="auto"/>
          <w:vertAlign w:val="superscript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..</w:t>
      </w:r>
      <w:r>
        <w:rPr>
          <w:color w:val="000000"/>
          <w:spacing w:val="0"/>
          <w:w w:val="100"/>
          <w:position w:val="0"/>
          <w:sz w:val="9"/>
          <w:szCs w:val="9"/>
          <w:shd w:val="clear" w:color="auto" w:fill="auto"/>
          <w:vertAlign w:val="superscript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z w:val="9"/>
          <w:szCs w:val="9"/>
          <w:shd w:val="clear" w:color="auto" w:fill="auto"/>
          <w:vertAlign w:val="superscript"/>
          <w:lang w:val="cs-CZ" w:eastAsia="cs-CZ" w:bidi="cs-CZ"/>
        </w:rPr>
        <w:t>:4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..</w:t>
      </w:r>
      <w:r>
        <w:rPr>
          <w:color w:val="000000"/>
          <w:spacing w:val="0"/>
          <w:w w:val="100"/>
          <w:position w:val="0"/>
          <w:sz w:val="9"/>
          <w:szCs w:val="9"/>
          <w:shd w:val="clear" w:color="auto" w:fill="auto"/>
          <w:vertAlign w:val="superscript"/>
          <w:lang w:val="cs-CZ" w:eastAsia="cs-CZ" w:bidi="cs-CZ"/>
        </w:rPr>
        <w:footnoteReference w:id="5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z w:val="9"/>
          <w:szCs w:val="9"/>
          <w:shd w:val="clear" w:color="auto" w:fill="auto"/>
          <w:vertAlign w:val="superscript"/>
          <w:lang w:val="cs-CZ" w:eastAsia="cs-CZ" w:bidi="cs-CZ"/>
        </w:rPr>
        <w:t>:2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z w:val="9"/>
          <w:szCs w:val="9"/>
          <w:shd w:val="clear" w:color="auto" w:fill="auto"/>
          <w:vertAlign w:val="superscript"/>
          <w:lang w:val="cs-CZ" w:eastAsia="cs-CZ" w:bidi="cs-CZ"/>
        </w:rPr>
        <w:t>8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.. </w:t>
      </w:r>
      <w:r>
        <w:rPr>
          <w:color w:val="000000"/>
          <w:spacing w:val="0"/>
          <w:w w:val="100"/>
          <w:position w:val="0"/>
          <w:sz w:val="9"/>
          <w:szCs w:val="9"/>
          <w:shd w:val="clear" w:color="auto" w:fill="auto"/>
          <w:vertAlign w:val="superscript"/>
          <w:lang w:val="cs-CZ" w:eastAsia="cs-CZ" w:bidi="cs-CZ"/>
        </w:rPr>
        <w:t>+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z w:val="9"/>
          <w:szCs w:val="9"/>
          <w:shd w:val="clear" w:color="auto" w:fill="auto"/>
          <w:vertAlign w:val="superscript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..</w:t>
      </w:r>
      <w:r>
        <w:rPr>
          <w:color w:val="000000"/>
          <w:spacing w:val="0"/>
          <w:w w:val="100"/>
          <w:position w:val="0"/>
          <w:sz w:val="9"/>
          <w:szCs w:val="9"/>
          <w:shd w:val="clear" w:color="auto" w:fill="auto"/>
          <w:vertAlign w:val="superscript"/>
          <w:lang w:val="cs-CZ" w:eastAsia="cs-CZ" w:bidi="cs-CZ"/>
        </w:rPr>
        <w:t>2'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z w:val="9"/>
          <w:szCs w:val="9"/>
          <w:shd w:val="clear" w:color="auto" w:fill="auto"/>
          <w:vertAlign w:val="superscript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z w:val="9"/>
          <w:szCs w:val="9"/>
          <w:shd w:val="clear" w:color="auto" w:fill="auto"/>
          <w:vertAlign w:val="superscript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z w:val="9"/>
          <w:szCs w:val="9"/>
          <w:shd w:val="clear" w:color="auto" w:fill="auto"/>
          <w:vertAlign w:val="superscript"/>
          <w:lang w:val="cs-CZ" w:eastAsia="cs-CZ" w:bidi="cs-CZ"/>
        </w:rPr>
        <w:t>'</w:t>
      </w:r>
      <w:r>
        <w:rPr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jednatel</w:t>
      </w:r>
    </w:p>
    <w:sectPr>
      <w:footnotePr>
        <w:pos w:val="pageBottom"/>
        <w:numFmt w:val="decimal"/>
        <w:numStart w:val="1"/>
        <w:numRestart w:val="continuous"/>
        <w15:footnoteColumns w:val="1"/>
      </w:footnotePr>
      <w:pgSz w:w="11909" w:h="16834"/>
      <w:pgMar w:top="1308" w:left="1389" w:right="1221" w:bottom="1166" w:header="880" w:footer="738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  <w:footnote w:id="2">
    <w:p>
      <w:pPr>
        <w:pStyle w:val="Style2"/>
        <w:keepNext w:val="0"/>
        <w:keepLines w:val="0"/>
        <w:widowControl w:val="0"/>
        <w:shd w:val="clear" w:color="auto" w:fill="auto"/>
        <w:tabs>
          <w:tab w:pos="125" w:val="left"/>
        </w:tabs>
        <w:bidi w:val="0"/>
        <w:spacing w:before="0" w:after="0" w:line="29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9"/>
          <w:szCs w:val="9"/>
          <w:shd w:val="clear" w:color="auto" w:fill="auto"/>
          <w:vertAlign w:val="superscript"/>
          <w:lang w:val="cs-CZ" w:eastAsia="cs-CZ" w:bidi="cs-CZ"/>
        </w:rPr>
        <w:footnoteRef/>
      </w:r>
      <w:r>
        <w:rPr>
          <w:color w:val="000000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 čestného prohlášení vynechat.</w:t>
      </w:r>
    </w:p>
  </w:footnote>
  <w:footnote w:id="3">
    <w:p>
      <w:pPr>
        <w:pStyle w:val="Style2"/>
        <w:keepNext w:val="0"/>
        <w:keepLines w:val="0"/>
        <w:widowControl w:val="0"/>
        <w:shd w:val="clear" w:color="auto" w:fill="auto"/>
        <w:tabs>
          <w:tab w:pos="178" w:val="left"/>
        </w:tabs>
        <w:bidi w:val="0"/>
        <w:spacing w:before="0" w:after="0" w:line="293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vertAlign w:val="superscript"/>
          <w:lang w:val="cs-CZ" w:eastAsia="cs-CZ" w:bidi="cs-CZ"/>
        </w:rPr>
        <w:footnoteRef/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ab/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Aktualizovaný seznam sankcionovaných osob je uveden například na internetových stránkách Finančního</w:t>
      </w:r>
    </w:p>
  </w:footnote>
  <w:footnote w:id="4">
    <w:p>
      <w:pPr>
        <w:pStyle w:val="Style2"/>
        <w:keepNext w:val="0"/>
        <w:keepLines w:val="0"/>
        <w:widowControl w:val="0"/>
        <w:shd w:val="clear" w:color="auto" w:fill="auto"/>
        <w:tabs>
          <w:tab w:pos="178" w:val="left"/>
        </w:tabs>
        <w:bidi w:val="0"/>
        <w:spacing w:before="0" w:after="0" w:line="293" w:lineRule="auto"/>
        <w:ind w:left="0" w:right="0" w:firstLine="0"/>
        <w:jc w:val="left"/>
        <w:rPr>
          <w:sz w:val="17"/>
          <w:szCs w:val="17"/>
        </w:rPr>
      </w:pPr>
      <w:r>
        <w:fldChar w:fldCharType="begin"/>
      </w:r>
      <w:r>
        <w:rPr/>
        <w:instrText> HYPERLINK "https://www.financnianalytickyurad.cz/blog/zarazeni-dalsich-osob-na-sankcni-seznam-proti-rusku" </w:instrText>
      </w:r>
      <w:r>
        <w:fldChar w:fldCharType="separate"/>
      </w:r>
      <w:r>
        <w:rPr>
          <w:color w:val="0000FF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proti-rusku</w:t>
      </w:r>
      <w:r>
        <w:fldChar w:fldCharType="end"/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.</w:t>
      </w:r>
    </w:p>
  </w:footnote>
  <w:footnote w:id="5">
    <w:p>
      <w:pPr>
        <w:pStyle w:val="Style2"/>
        <w:keepNext w:val="0"/>
        <w:keepLines w:val="0"/>
        <w:widowControl w:val="0"/>
        <w:shd w:val="clear" w:color="auto" w:fill="auto"/>
        <w:tabs>
          <w:tab w:pos="178" w:val="left"/>
        </w:tabs>
        <w:bidi w:val="0"/>
        <w:spacing w:before="0" w:after="0" w:line="293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analytického úřadu zde </w:t>
      </w:r>
      <w:r>
        <w:fldChar w:fldCharType="begin"/>
      </w:r>
      <w:r>
        <w:rPr/>
        <w:instrText> HYPERLINK "https://www.financnianalytickyurad.cz/blog/zarazeni-dalsich-osob-na-sankcni-seznam-proti-rusku" </w:instrText>
      </w:r>
      <w:r>
        <w:fldChar w:fldCharType="separate"/>
      </w:r>
      <w:r>
        <w:rPr>
          <w:color w:val="0000FF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https://www.financnianalytickyurad.cz/blog/zarazeni-dalsich-osob-na-sankcni-seznam-</w:t>
      </w:r>
      <w:r>
        <w:fldChar w:fldCharType="end"/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line="295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line="319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  <w:ind w:left="14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