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75C61" w14:textId="63005F7E" w:rsidR="003C4B0D" w:rsidRPr="003C4B0D" w:rsidRDefault="003C4B0D" w:rsidP="1000DE11">
      <w:pPr>
        <w:jc w:val="center"/>
        <w:rPr>
          <w:rFonts w:ascii="Arial" w:hAnsi="Arial" w:cs="Arial"/>
          <w:b/>
          <w:bCs/>
          <w:sz w:val="28"/>
          <w:szCs w:val="28"/>
          <w:lang w:val="en-GB"/>
        </w:rPr>
      </w:pPr>
    </w:p>
    <w:p w14:paraId="0B75628F" w14:textId="2940CD7F" w:rsidR="003C4B0D" w:rsidRPr="003C4B0D" w:rsidRDefault="003C4B0D" w:rsidP="00912824">
      <w:pPr>
        <w:jc w:val="center"/>
        <w:rPr>
          <w:rFonts w:ascii="Arial" w:hAnsi="Arial" w:cs="Arial"/>
          <w:b/>
          <w:bCs/>
          <w:sz w:val="28"/>
          <w:szCs w:val="28"/>
          <w:lang w:val="en-GB"/>
        </w:rPr>
      </w:pPr>
      <w:r w:rsidRPr="1000DE11">
        <w:rPr>
          <w:rFonts w:ascii="Arial" w:hAnsi="Arial" w:cs="Arial"/>
          <w:b/>
          <w:bCs/>
          <w:sz w:val="28"/>
          <w:szCs w:val="28"/>
          <w:lang w:val="en-GB"/>
        </w:rPr>
        <w:t>PURCHASE AGREEMENT FOR TNA SERVICES</w:t>
      </w:r>
    </w:p>
    <w:p w14:paraId="4AC98365" w14:textId="77777777" w:rsidR="00270C5E" w:rsidRPr="002E212E" w:rsidRDefault="00270C5E" w:rsidP="000277DD">
      <w:pPr>
        <w:jc w:val="both"/>
        <w:rPr>
          <w:rFonts w:ascii="Arial" w:hAnsi="Arial" w:cs="Arial"/>
          <w:sz w:val="20"/>
          <w:szCs w:val="20"/>
          <w:lang w:val="en-GB"/>
        </w:rPr>
      </w:pPr>
    </w:p>
    <w:p w14:paraId="58A2430F" w14:textId="77777777" w:rsidR="00270C5E" w:rsidRPr="002E212E" w:rsidRDefault="00270C5E" w:rsidP="000277DD">
      <w:pPr>
        <w:jc w:val="both"/>
        <w:rPr>
          <w:rFonts w:ascii="Arial" w:hAnsi="Arial" w:cs="Arial"/>
          <w:sz w:val="20"/>
          <w:szCs w:val="20"/>
          <w:lang w:val="en-GB"/>
        </w:rPr>
      </w:pPr>
    </w:p>
    <w:p w14:paraId="3AD33971" w14:textId="0BBDA54F" w:rsidR="00006FFC" w:rsidRPr="000420C4" w:rsidRDefault="10F07AA1" w:rsidP="34B4BEC1">
      <w:pPr>
        <w:shd w:val="clear" w:color="auto" w:fill="FFFFFF" w:themeFill="background1"/>
        <w:jc w:val="both"/>
        <w:rPr>
          <w:rStyle w:val="normaltextrun"/>
          <w:rFonts w:ascii="Arial" w:hAnsi="Arial"/>
          <w:kern w:val="0"/>
          <w:sz w:val="20"/>
          <w:lang w:val="en-GB"/>
          <w14:ligatures w14:val="none"/>
        </w:rPr>
      </w:pPr>
      <w:r w:rsidRPr="00E34CA4">
        <w:rPr>
          <w:rStyle w:val="normaltextrun"/>
          <w:rFonts w:ascii="Arial" w:eastAsia="Times New Roman" w:hAnsi="Arial" w:cs="Arial"/>
          <w:kern w:val="0"/>
          <w:sz w:val="20"/>
          <w:szCs w:val="20"/>
          <w:lang w:val="en-GB"/>
          <w14:ligatures w14:val="none"/>
        </w:rPr>
        <w:t>Th</w:t>
      </w:r>
      <w:r w:rsidR="001B0D24">
        <w:rPr>
          <w:rStyle w:val="normaltextrun"/>
          <w:rFonts w:ascii="Arial" w:eastAsia="Times New Roman" w:hAnsi="Arial" w:cs="Arial"/>
          <w:kern w:val="0"/>
          <w:sz w:val="20"/>
          <w:szCs w:val="20"/>
          <w:lang w:val="en-GB"/>
          <w14:ligatures w14:val="none"/>
        </w:rPr>
        <w:t xml:space="preserve">is Purchase Agreement is </w:t>
      </w:r>
      <w:r w:rsidR="48C2DD3B" w:rsidRPr="000420C4">
        <w:rPr>
          <w:rStyle w:val="normaltextrun"/>
          <w:rFonts w:ascii="Arial" w:hAnsi="Arial"/>
          <w:kern w:val="0"/>
          <w:sz w:val="20"/>
          <w:lang w:val="en-GB"/>
          <w14:ligatures w14:val="none"/>
        </w:rPr>
        <w:t>made by and between:</w:t>
      </w:r>
    </w:p>
    <w:p w14:paraId="1DEB0B1F" w14:textId="3CA7E162" w:rsidR="003377D7" w:rsidRDefault="1AED671E" w:rsidP="006D7FF8">
      <w:pPr>
        <w:shd w:val="clear" w:color="auto" w:fill="FFFFFF" w:themeFill="background1"/>
        <w:spacing w:after="0"/>
        <w:rPr>
          <w:rStyle w:val="normaltextrun"/>
          <w:rFonts w:ascii="Arial" w:hAnsi="Arial" w:cs="Arial"/>
          <w:sz w:val="20"/>
          <w:szCs w:val="20"/>
          <w:lang w:val="en-GB"/>
        </w:rPr>
      </w:pPr>
      <w:r w:rsidRPr="6E828B4E">
        <w:rPr>
          <w:rStyle w:val="normaltextrun"/>
          <w:rFonts w:ascii="Arial" w:hAnsi="Arial" w:cs="Arial"/>
          <w:sz w:val="20"/>
          <w:szCs w:val="20"/>
          <w:lang w:val="en-GB"/>
        </w:rPr>
        <w:t>BBMRI-ERIC</w:t>
      </w:r>
      <w:r w:rsidR="00C62C19" w:rsidRPr="6E828B4E">
        <w:rPr>
          <w:rStyle w:val="normaltextrun"/>
          <w:rFonts w:ascii="Arial" w:hAnsi="Arial" w:cs="Arial"/>
          <w:sz w:val="20"/>
          <w:szCs w:val="20"/>
          <w:lang w:val="en-GB"/>
        </w:rPr>
        <w:t xml:space="preserve">, based in </w:t>
      </w:r>
      <w:proofErr w:type="spellStart"/>
      <w:r w:rsidR="1705CB68" w:rsidRPr="006D7FF8">
        <w:rPr>
          <w:rStyle w:val="normaltextrun"/>
          <w:rFonts w:ascii="Arial" w:hAnsi="Arial" w:cs="Arial"/>
          <w:sz w:val="20"/>
          <w:szCs w:val="20"/>
          <w:lang w:val="en-GB"/>
        </w:rPr>
        <w:t>Neue</w:t>
      </w:r>
      <w:proofErr w:type="spellEnd"/>
      <w:r w:rsidR="1705CB68" w:rsidRPr="006D7FF8">
        <w:rPr>
          <w:rStyle w:val="normaltextrun"/>
          <w:rFonts w:ascii="Arial" w:hAnsi="Arial" w:cs="Arial"/>
          <w:sz w:val="20"/>
          <w:szCs w:val="20"/>
          <w:lang w:val="en-GB"/>
        </w:rPr>
        <w:t xml:space="preserve"> </w:t>
      </w:r>
      <w:proofErr w:type="spellStart"/>
      <w:r w:rsidR="1705CB68" w:rsidRPr="006D7FF8">
        <w:rPr>
          <w:rStyle w:val="normaltextrun"/>
          <w:rFonts w:ascii="Arial" w:hAnsi="Arial" w:cs="Arial"/>
          <w:sz w:val="20"/>
          <w:szCs w:val="20"/>
          <w:lang w:val="en-GB"/>
        </w:rPr>
        <w:t>Stiftingtalstraße</w:t>
      </w:r>
      <w:proofErr w:type="spellEnd"/>
      <w:r w:rsidR="1705CB68" w:rsidRPr="006D7FF8">
        <w:rPr>
          <w:rStyle w:val="normaltextrun"/>
          <w:rFonts w:ascii="Arial" w:hAnsi="Arial" w:cs="Arial"/>
          <w:sz w:val="20"/>
          <w:szCs w:val="20"/>
          <w:lang w:val="en-GB"/>
        </w:rPr>
        <w:t xml:space="preserve"> 2/B/6, 8010 Graz</w:t>
      </w:r>
      <w:r w:rsidR="00C62C19" w:rsidRPr="6E828B4E">
        <w:rPr>
          <w:rStyle w:val="normaltextrun"/>
          <w:rFonts w:ascii="Arial" w:hAnsi="Arial" w:cs="Arial"/>
          <w:sz w:val="20"/>
          <w:szCs w:val="20"/>
          <w:lang w:val="en-GB"/>
        </w:rPr>
        <w:t>,</w:t>
      </w:r>
      <w:r w:rsidR="7464EF90" w:rsidRPr="6E828B4E">
        <w:rPr>
          <w:rStyle w:val="normaltextrun"/>
          <w:rFonts w:ascii="Arial" w:hAnsi="Arial" w:cs="Arial"/>
          <w:sz w:val="20"/>
          <w:szCs w:val="20"/>
          <w:lang w:val="en-GB"/>
        </w:rPr>
        <w:t xml:space="preserve"> Austria</w:t>
      </w:r>
      <w:r w:rsidR="00C62C19" w:rsidRPr="6E828B4E">
        <w:rPr>
          <w:rStyle w:val="normaltextrun"/>
          <w:rFonts w:ascii="Arial" w:hAnsi="Arial" w:cs="Arial"/>
          <w:sz w:val="20"/>
          <w:szCs w:val="20"/>
          <w:lang w:val="en-GB"/>
        </w:rPr>
        <w:t xml:space="preserve"> represented </w:t>
      </w:r>
      <w:r w:rsidR="00C62C19" w:rsidRPr="006D7FF8">
        <w:rPr>
          <w:rStyle w:val="normaltextrun"/>
          <w:rFonts w:ascii="Arial" w:hAnsi="Arial" w:cs="Arial"/>
          <w:sz w:val="20"/>
          <w:szCs w:val="20"/>
          <w:lang w:val="en-GB"/>
        </w:rPr>
        <w:t xml:space="preserve">by </w:t>
      </w:r>
      <w:r w:rsidR="00A60D85">
        <w:rPr>
          <w:rStyle w:val="normaltextrun"/>
          <w:rFonts w:ascii="Arial" w:hAnsi="Arial" w:cs="Arial"/>
          <w:sz w:val="20"/>
          <w:szCs w:val="20"/>
          <w:lang w:val="en-GB"/>
        </w:rPr>
        <w:t>XXXXXXX</w:t>
      </w:r>
    </w:p>
    <w:p w14:paraId="55044D5E" w14:textId="77777777" w:rsidR="00D2560E" w:rsidRDefault="00D2560E" w:rsidP="006D7FF8">
      <w:pPr>
        <w:shd w:val="clear" w:color="auto" w:fill="FFFFFF" w:themeFill="background1"/>
        <w:spacing w:after="0"/>
        <w:rPr>
          <w:rStyle w:val="normaltextrun"/>
          <w:rFonts w:ascii="Arial" w:hAnsi="Arial" w:cs="Arial"/>
          <w:sz w:val="20"/>
          <w:szCs w:val="20"/>
          <w:lang w:val="en-GB"/>
        </w:rPr>
      </w:pPr>
    </w:p>
    <w:p w14:paraId="5B875B63" w14:textId="057B8837" w:rsidR="00C62C19" w:rsidRPr="002900C9" w:rsidRDefault="00C62C19" w:rsidP="34B4BEC1">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lang w:val="en-GB"/>
        </w:rPr>
      </w:pPr>
      <w:r w:rsidRPr="002900C9">
        <w:rPr>
          <w:rStyle w:val="normaltextrun"/>
          <w:rFonts w:ascii="Arial" w:hAnsi="Arial" w:cs="Arial"/>
          <w:sz w:val="20"/>
          <w:szCs w:val="20"/>
          <w:lang w:val="en-GB"/>
        </w:rPr>
        <w:t xml:space="preserve">Hereinafter </w:t>
      </w:r>
      <w:r w:rsidR="003377D7">
        <w:rPr>
          <w:rStyle w:val="normaltextrun"/>
          <w:rFonts w:ascii="Arial" w:hAnsi="Arial" w:cs="Arial"/>
          <w:sz w:val="20"/>
          <w:szCs w:val="20"/>
          <w:lang w:val="en-GB"/>
        </w:rPr>
        <w:t>referred to as</w:t>
      </w:r>
      <w:r w:rsidR="003377D7" w:rsidRPr="002900C9">
        <w:rPr>
          <w:rStyle w:val="normaltextrun"/>
          <w:rFonts w:ascii="Arial" w:hAnsi="Arial" w:cs="Arial"/>
          <w:sz w:val="20"/>
          <w:szCs w:val="20"/>
          <w:lang w:val="en-GB"/>
        </w:rPr>
        <w:t xml:space="preserve"> </w:t>
      </w:r>
      <w:r w:rsidRPr="002900C9">
        <w:rPr>
          <w:rStyle w:val="normaltextrun"/>
          <w:rFonts w:ascii="Arial" w:hAnsi="Arial" w:cs="Arial"/>
          <w:sz w:val="20"/>
          <w:szCs w:val="20"/>
          <w:lang w:val="en-GB"/>
        </w:rPr>
        <w:t>the „</w:t>
      </w:r>
      <w:r w:rsidR="00DE765A" w:rsidRPr="002900C9">
        <w:rPr>
          <w:rStyle w:val="normaltextrun"/>
          <w:rFonts w:ascii="Arial" w:hAnsi="Arial" w:cs="Arial"/>
          <w:sz w:val="20"/>
          <w:szCs w:val="20"/>
          <w:lang w:val="en-GB"/>
        </w:rPr>
        <w:t xml:space="preserve">TNA </w:t>
      </w:r>
      <w:r w:rsidR="004E2CF8" w:rsidRPr="002900C9">
        <w:rPr>
          <w:rStyle w:val="normaltextrun"/>
          <w:rFonts w:ascii="Arial" w:hAnsi="Arial" w:cs="Arial"/>
          <w:sz w:val="20"/>
          <w:szCs w:val="20"/>
          <w:lang w:val="en-GB"/>
        </w:rPr>
        <w:t>B</w:t>
      </w:r>
      <w:r w:rsidR="00DE765A" w:rsidRPr="002900C9">
        <w:rPr>
          <w:rStyle w:val="normaltextrun"/>
          <w:rFonts w:ascii="Arial" w:hAnsi="Arial" w:cs="Arial"/>
          <w:sz w:val="20"/>
          <w:szCs w:val="20"/>
          <w:lang w:val="en-GB"/>
        </w:rPr>
        <w:t xml:space="preserve">udget </w:t>
      </w:r>
      <w:r w:rsidR="004E2CF8" w:rsidRPr="002900C9">
        <w:rPr>
          <w:rStyle w:val="normaltextrun"/>
          <w:rFonts w:ascii="Arial" w:hAnsi="Arial" w:cs="Arial"/>
          <w:sz w:val="20"/>
          <w:szCs w:val="20"/>
          <w:lang w:val="en-GB"/>
        </w:rPr>
        <w:t>H</w:t>
      </w:r>
      <w:r w:rsidR="00DE765A" w:rsidRPr="002900C9">
        <w:rPr>
          <w:rStyle w:val="normaltextrun"/>
          <w:rFonts w:ascii="Arial" w:hAnsi="Arial" w:cs="Arial"/>
          <w:sz w:val="20"/>
          <w:szCs w:val="20"/>
          <w:lang w:val="en-GB"/>
        </w:rPr>
        <w:t>older”</w:t>
      </w:r>
      <w:r w:rsidRPr="000420C4">
        <w:rPr>
          <w:rStyle w:val="normaltextrun"/>
          <w:rFonts w:ascii="Arial" w:hAnsi="Arial"/>
          <w:sz w:val="20"/>
          <w:lang w:val="en-GB"/>
        </w:rPr>
        <w:t> </w:t>
      </w:r>
    </w:p>
    <w:p w14:paraId="045D950D" w14:textId="77777777" w:rsidR="00C62C19" w:rsidRPr="000420C4" w:rsidRDefault="00C62C19" w:rsidP="34B4BEC1">
      <w:pPr>
        <w:shd w:val="clear" w:color="auto" w:fill="FFFFFF" w:themeFill="background1"/>
        <w:jc w:val="both"/>
        <w:rPr>
          <w:rStyle w:val="normaltextrun"/>
          <w:rFonts w:ascii="Arial" w:hAnsi="Arial"/>
          <w:kern w:val="0"/>
          <w:sz w:val="20"/>
          <w:lang w:val="en-GB"/>
          <w14:ligatures w14:val="none"/>
        </w:rPr>
      </w:pPr>
    </w:p>
    <w:p w14:paraId="1E60EF42" w14:textId="3331462A" w:rsidR="00270C5E" w:rsidRPr="000420C4" w:rsidRDefault="00006FFC" w:rsidP="34B4BEC1">
      <w:pPr>
        <w:shd w:val="clear" w:color="auto" w:fill="FFFFFF" w:themeFill="background1"/>
        <w:jc w:val="both"/>
        <w:rPr>
          <w:rStyle w:val="normaltextrun"/>
          <w:rFonts w:ascii="Arial" w:hAnsi="Arial"/>
          <w:kern w:val="0"/>
          <w:sz w:val="20"/>
          <w:lang w:val="en-GB"/>
          <w14:ligatures w14:val="none"/>
        </w:rPr>
      </w:pPr>
      <w:r w:rsidRPr="000420C4">
        <w:rPr>
          <w:rStyle w:val="normaltextrun"/>
          <w:rFonts w:ascii="Arial" w:hAnsi="Arial"/>
          <w:kern w:val="0"/>
          <w:sz w:val="20"/>
          <w:lang w:val="en-GB"/>
          <w14:ligatures w14:val="none"/>
        </w:rPr>
        <w:t>and</w:t>
      </w:r>
    </w:p>
    <w:p w14:paraId="2722935C" w14:textId="6B58109A" w:rsidR="00006FFC" w:rsidRPr="000420C4" w:rsidRDefault="001D7AEE" w:rsidP="08353D14">
      <w:pPr>
        <w:shd w:val="clear" w:color="auto" w:fill="FFFFFF" w:themeFill="background1"/>
        <w:jc w:val="both"/>
        <w:rPr>
          <w:rStyle w:val="normaltextrun"/>
          <w:rFonts w:ascii="Arial" w:hAnsi="Arial"/>
          <w:kern w:val="0"/>
          <w:sz w:val="20"/>
          <w:szCs w:val="20"/>
          <w:lang w:val="en-GB"/>
          <w14:ligatures w14:val="none"/>
        </w:rPr>
      </w:pPr>
      <w:r w:rsidRPr="001D7AEE">
        <w:rPr>
          <w:rStyle w:val="normaltextrun"/>
          <w:rFonts w:ascii="Arial" w:hAnsi="Arial"/>
          <w:kern w:val="0"/>
          <w:sz w:val="20"/>
          <w:szCs w:val="20"/>
          <w:lang w:val="en-GB"/>
          <w14:ligatures w14:val="none"/>
        </w:rPr>
        <w:t>MASARYK MEMORIAL CANCER INSTITUTE</w:t>
      </w:r>
      <w:r w:rsidR="4FBC0ADF" w:rsidRPr="001D7AEE">
        <w:rPr>
          <w:rStyle w:val="normaltextrun"/>
          <w:rFonts w:ascii="Arial" w:hAnsi="Arial"/>
          <w:kern w:val="0"/>
          <w:sz w:val="20"/>
          <w:szCs w:val="20"/>
          <w:lang w:val="en-GB"/>
          <w14:ligatures w14:val="none"/>
        </w:rPr>
        <w:t xml:space="preserve"> (</w:t>
      </w:r>
      <w:r w:rsidR="4F344BCE" w:rsidRPr="5A1BD62E">
        <w:rPr>
          <w:rStyle w:val="normaltextrun"/>
          <w:rFonts w:ascii="Arial" w:hAnsi="Arial"/>
          <w:sz w:val="20"/>
          <w:szCs w:val="20"/>
          <w:lang w:val="en-GB"/>
        </w:rPr>
        <w:t>The Bank of Biological Material</w:t>
      </w:r>
      <w:r w:rsidR="4FBC0ADF" w:rsidRPr="001D7AEE">
        <w:rPr>
          <w:rStyle w:val="normaltextrun"/>
          <w:rFonts w:ascii="Arial" w:hAnsi="Arial"/>
          <w:kern w:val="0"/>
          <w:sz w:val="20"/>
          <w:szCs w:val="20"/>
          <w:lang w:val="en-GB"/>
          <w14:ligatures w14:val="none"/>
        </w:rPr>
        <w:t>)</w:t>
      </w:r>
      <w:r w:rsidR="00006FFC" w:rsidRPr="08353D14">
        <w:rPr>
          <w:rStyle w:val="normaltextrun"/>
          <w:rFonts w:ascii="Arial" w:hAnsi="Arial"/>
          <w:kern w:val="0"/>
          <w:sz w:val="20"/>
          <w:szCs w:val="20"/>
          <w:lang w:val="en-GB"/>
          <w14:ligatures w14:val="none"/>
        </w:rPr>
        <w:t xml:space="preserve">, based in </w:t>
      </w:r>
      <w:proofErr w:type="spellStart"/>
      <w:r w:rsidR="00F95E86" w:rsidRPr="00F95E86">
        <w:rPr>
          <w:rStyle w:val="normaltextrun"/>
          <w:rFonts w:ascii="Arial" w:hAnsi="Arial"/>
          <w:kern w:val="0"/>
          <w:sz w:val="20"/>
          <w:szCs w:val="20"/>
          <w:lang w:val="en-GB"/>
          <w14:ligatures w14:val="none"/>
        </w:rPr>
        <w:t>Žlutý</w:t>
      </w:r>
      <w:proofErr w:type="spellEnd"/>
      <w:r w:rsidR="00F95E86" w:rsidRPr="00F95E86">
        <w:rPr>
          <w:rStyle w:val="normaltextrun"/>
          <w:rFonts w:ascii="Arial" w:hAnsi="Arial"/>
          <w:kern w:val="0"/>
          <w:sz w:val="20"/>
          <w:szCs w:val="20"/>
          <w:lang w:val="en-GB"/>
          <w14:ligatures w14:val="none"/>
        </w:rPr>
        <w:t xml:space="preserve"> </w:t>
      </w:r>
      <w:proofErr w:type="spellStart"/>
      <w:r w:rsidR="00F95E86" w:rsidRPr="00F95E86">
        <w:rPr>
          <w:rStyle w:val="normaltextrun"/>
          <w:rFonts w:ascii="Arial" w:hAnsi="Arial"/>
          <w:kern w:val="0"/>
          <w:sz w:val="20"/>
          <w:szCs w:val="20"/>
          <w:lang w:val="en-GB"/>
          <w14:ligatures w14:val="none"/>
        </w:rPr>
        <w:t>kopec</w:t>
      </w:r>
      <w:proofErr w:type="spellEnd"/>
      <w:r w:rsidR="00F95E86" w:rsidRPr="00F95E86">
        <w:rPr>
          <w:rStyle w:val="normaltextrun"/>
          <w:rFonts w:ascii="Arial" w:hAnsi="Arial"/>
          <w:kern w:val="0"/>
          <w:sz w:val="20"/>
          <w:szCs w:val="20"/>
          <w:lang w:val="en-GB"/>
          <w14:ligatures w14:val="none"/>
        </w:rPr>
        <w:t xml:space="preserve"> 7 656 53 Brno,</w:t>
      </w:r>
      <w:r w:rsidR="00624DF1">
        <w:rPr>
          <w:rStyle w:val="normaltextrun"/>
          <w:rFonts w:ascii="Arial" w:hAnsi="Arial"/>
          <w:kern w:val="0"/>
          <w:sz w:val="20"/>
          <w:szCs w:val="20"/>
          <w:lang w:val="en-GB"/>
          <w14:ligatures w14:val="none"/>
        </w:rPr>
        <w:t xml:space="preserve"> C</w:t>
      </w:r>
      <w:r w:rsidR="00624DF1" w:rsidRPr="00624DF1">
        <w:rPr>
          <w:rStyle w:val="normaltextrun"/>
          <w:rFonts w:ascii="Arial" w:hAnsi="Arial"/>
          <w:kern w:val="0"/>
          <w:sz w:val="20"/>
          <w:szCs w:val="20"/>
          <w:lang w:val="en-GB"/>
          <w14:ligatures w14:val="none"/>
        </w:rPr>
        <w:t xml:space="preserve">zech </w:t>
      </w:r>
      <w:r w:rsidR="00624DF1">
        <w:rPr>
          <w:rStyle w:val="normaltextrun"/>
          <w:rFonts w:ascii="Arial" w:hAnsi="Arial"/>
          <w:kern w:val="0"/>
          <w:sz w:val="20"/>
          <w:szCs w:val="20"/>
          <w:lang w:val="en-GB"/>
          <w14:ligatures w14:val="none"/>
        </w:rPr>
        <w:t>R</w:t>
      </w:r>
      <w:r w:rsidR="00624DF1" w:rsidRPr="00624DF1">
        <w:rPr>
          <w:rStyle w:val="normaltextrun"/>
          <w:rFonts w:ascii="Arial" w:hAnsi="Arial"/>
          <w:kern w:val="0"/>
          <w:sz w:val="20"/>
          <w:szCs w:val="20"/>
          <w:lang w:val="en-GB"/>
          <w14:ligatures w14:val="none"/>
        </w:rPr>
        <w:t>epublic</w:t>
      </w:r>
      <w:r w:rsidR="00624DF1">
        <w:rPr>
          <w:rStyle w:val="normaltextrun"/>
          <w:rFonts w:ascii="Arial" w:hAnsi="Arial"/>
          <w:kern w:val="0"/>
          <w:sz w:val="20"/>
          <w:szCs w:val="20"/>
          <w:lang w:val="en-GB"/>
          <w14:ligatures w14:val="none"/>
        </w:rPr>
        <w:t xml:space="preserve"> </w:t>
      </w:r>
      <w:r w:rsidR="00006FFC" w:rsidRPr="08353D14">
        <w:rPr>
          <w:rStyle w:val="normaltextrun"/>
          <w:rFonts w:ascii="Arial" w:hAnsi="Arial"/>
          <w:kern w:val="0"/>
          <w:sz w:val="20"/>
          <w:szCs w:val="20"/>
          <w:lang w:val="en-GB"/>
          <w14:ligatures w14:val="none"/>
        </w:rPr>
        <w:t xml:space="preserve">represented by </w:t>
      </w:r>
      <w:r w:rsidR="0033001C" w:rsidRPr="0033001C">
        <w:rPr>
          <w:rStyle w:val="normaltextrun"/>
          <w:rFonts w:ascii="Arial" w:hAnsi="Arial"/>
          <w:kern w:val="0"/>
          <w:sz w:val="20"/>
          <w:szCs w:val="20"/>
          <w:lang w:val="en-GB"/>
          <w14:ligatures w14:val="none"/>
        </w:rPr>
        <w:t>Biobank Director and LRI Principal Investigator</w:t>
      </w:r>
      <w:r w:rsidR="0033001C">
        <w:rPr>
          <w:rStyle w:val="normaltextrun"/>
          <w:rFonts w:ascii="Arial" w:hAnsi="Arial"/>
          <w:kern w:val="0"/>
          <w:sz w:val="20"/>
          <w:szCs w:val="20"/>
          <w:lang w:val="en-GB"/>
          <w14:ligatures w14:val="none"/>
        </w:rPr>
        <w:t>,</w:t>
      </w:r>
      <w:r w:rsidR="00C24943">
        <w:rPr>
          <w:rStyle w:val="normaltextrun"/>
          <w:rFonts w:ascii="Arial" w:hAnsi="Arial"/>
          <w:kern w:val="0"/>
          <w:sz w:val="20"/>
          <w:szCs w:val="20"/>
          <w:lang w:val="en-GB"/>
          <w14:ligatures w14:val="none"/>
        </w:rPr>
        <w:t xml:space="preserve"> </w:t>
      </w:r>
      <w:r w:rsidR="00A60D85">
        <w:rPr>
          <w:rStyle w:val="normaltextrun"/>
          <w:rFonts w:ascii="Arial" w:hAnsi="Arial"/>
          <w:kern w:val="0"/>
          <w:sz w:val="20"/>
          <w:szCs w:val="20"/>
          <w:lang w:val="en-GB"/>
          <w14:ligatures w14:val="none"/>
        </w:rPr>
        <w:t>XXXXXXX</w:t>
      </w:r>
    </w:p>
    <w:p w14:paraId="00D7FAF9" w14:textId="6F256884" w:rsidR="00006FFC" w:rsidRPr="000420C4" w:rsidRDefault="00006FFC" w:rsidP="34B4BEC1">
      <w:pPr>
        <w:shd w:val="clear" w:color="auto" w:fill="FFFFFF" w:themeFill="background1"/>
        <w:jc w:val="both"/>
        <w:rPr>
          <w:rStyle w:val="normaltextrun"/>
          <w:rFonts w:ascii="Arial" w:hAnsi="Arial"/>
          <w:kern w:val="0"/>
          <w:sz w:val="20"/>
          <w14:ligatures w14:val="none"/>
        </w:rPr>
      </w:pPr>
      <w:r w:rsidRPr="000420C4">
        <w:rPr>
          <w:rStyle w:val="normaltextrun"/>
          <w:rFonts w:ascii="Arial" w:hAnsi="Arial"/>
          <w:kern w:val="0"/>
          <w:sz w:val="20"/>
          <w14:ligatures w14:val="none"/>
        </w:rPr>
        <w:t xml:space="preserve">Hereinafter </w:t>
      </w:r>
      <w:r w:rsidR="003377D7" w:rsidRPr="003377D7">
        <w:rPr>
          <w:rStyle w:val="normaltextrun"/>
          <w:rFonts w:ascii="Arial" w:hAnsi="Arial"/>
          <w:kern w:val="0"/>
          <w:sz w:val="20"/>
          <w:lang w:val="en-GB"/>
          <w14:ligatures w14:val="none"/>
        </w:rPr>
        <w:t>referred</w:t>
      </w:r>
      <w:r w:rsidR="003377D7" w:rsidRPr="006976EB">
        <w:rPr>
          <w:rStyle w:val="normaltextrun"/>
          <w:rFonts w:ascii="Arial" w:hAnsi="Arial"/>
          <w:kern w:val="0"/>
          <w:sz w:val="20"/>
          <w:lang w:val="en-GB"/>
          <w14:ligatures w14:val="none"/>
        </w:rPr>
        <w:t xml:space="preserve"> to</w:t>
      </w:r>
      <w:r w:rsidR="003377D7">
        <w:rPr>
          <w:rStyle w:val="normaltextrun"/>
          <w:rFonts w:ascii="Arial" w:hAnsi="Arial"/>
          <w:kern w:val="0"/>
          <w:sz w:val="20"/>
          <w14:ligatures w14:val="none"/>
        </w:rPr>
        <w:t xml:space="preserve"> as</w:t>
      </w:r>
      <w:r w:rsidR="003377D7" w:rsidRPr="000420C4">
        <w:rPr>
          <w:rStyle w:val="normaltextrun"/>
          <w:rFonts w:ascii="Arial" w:hAnsi="Arial"/>
          <w:kern w:val="0"/>
          <w:sz w:val="20"/>
          <w14:ligatures w14:val="none"/>
        </w:rPr>
        <w:t xml:space="preserve"> </w:t>
      </w:r>
      <w:r w:rsidRPr="000420C4">
        <w:rPr>
          <w:rStyle w:val="normaltextrun"/>
          <w:rFonts w:ascii="Arial" w:hAnsi="Arial"/>
          <w:kern w:val="0"/>
          <w:sz w:val="20"/>
          <w14:ligatures w14:val="none"/>
        </w:rPr>
        <w:t xml:space="preserve">the </w:t>
      </w:r>
      <w:r w:rsidR="000277DD" w:rsidRPr="000420C4">
        <w:rPr>
          <w:rStyle w:val="normaltextrun"/>
          <w:rFonts w:ascii="Arial" w:hAnsi="Arial"/>
          <w:kern w:val="0"/>
          <w:sz w:val="20"/>
          <w14:ligatures w14:val="none"/>
        </w:rPr>
        <w:t>“Service Provider”</w:t>
      </w:r>
    </w:p>
    <w:p w14:paraId="22309D6E" w14:textId="10736DC6" w:rsidR="009415BB" w:rsidRPr="000420C4" w:rsidRDefault="48C2DD3B" w:rsidP="3232DBEE">
      <w:pPr>
        <w:shd w:val="clear" w:color="auto" w:fill="FFFFFF" w:themeFill="background1"/>
        <w:jc w:val="both"/>
        <w:rPr>
          <w:rStyle w:val="normaltextrun"/>
          <w:rFonts w:ascii="Arial" w:hAnsi="Arial"/>
          <w:kern w:val="0"/>
          <w:sz w:val="20"/>
          <w14:ligatures w14:val="none"/>
        </w:rPr>
      </w:pPr>
      <w:r w:rsidRPr="000420C4">
        <w:rPr>
          <w:rStyle w:val="normaltextrun"/>
          <w:rFonts w:ascii="Arial" w:hAnsi="Arial"/>
          <w:kern w:val="0"/>
          <w:sz w:val="20"/>
          <w14:ligatures w14:val="none"/>
        </w:rPr>
        <w:t>Hereinafter also collectively referred to as the „Parties” or individually as a „Party”.</w:t>
      </w:r>
    </w:p>
    <w:p w14:paraId="3D64D0D7" w14:textId="65BEA2C9" w:rsidR="00270C5E" w:rsidRDefault="00270C5E" w:rsidP="34B4BEC1">
      <w:pPr>
        <w:jc w:val="both"/>
        <w:rPr>
          <w:rFonts w:ascii="Arial" w:hAnsi="Arial" w:cs="Arial"/>
          <w:sz w:val="20"/>
          <w:szCs w:val="20"/>
          <w:lang w:val="en-GB"/>
        </w:rPr>
      </w:pPr>
    </w:p>
    <w:p w14:paraId="70AED9B8" w14:textId="7281F1A1" w:rsidR="00006FFC" w:rsidRPr="008B61A7" w:rsidRDefault="2A5D98B8" w:rsidP="1375A37D">
      <w:pPr>
        <w:jc w:val="both"/>
        <w:rPr>
          <w:rFonts w:ascii="Arial" w:hAnsi="Arial"/>
          <w:b/>
          <w:bCs/>
          <w:sz w:val="20"/>
          <w:szCs w:val="20"/>
          <w:lang w:val="en-GB"/>
        </w:rPr>
      </w:pPr>
      <w:r w:rsidRPr="1375A37D">
        <w:rPr>
          <w:rFonts w:ascii="Arial" w:hAnsi="Arial"/>
          <w:b/>
          <w:bCs/>
          <w:sz w:val="20"/>
          <w:szCs w:val="20"/>
          <w:lang w:val="en-GB"/>
        </w:rPr>
        <w:t>PREAMBLE</w:t>
      </w:r>
      <w:r w:rsidR="0DFA191C" w:rsidRPr="1375A37D">
        <w:rPr>
          <w:rFonts w:ascii="Arial" w:hAnsi="Arial"/>
          <w:sz w:val="20"/>
          <w:szCs w:val="20"/>
          <w:lang w:val="en-GB"/>
        </w:rPr>
        <w:t xml:space="preserve"> </w:t>
      </w:r>
    </w:p>
    <w:p w14:paraId="7BD09DF7" w14:textId="64C9F520" w:rsidR="00816194" w:rsidRPr="00F66E18" w:rsidRDefault="7A2E5FBA" w:rsidP="34B4BEC1">
      <w:pPr>
        <w:jc w:val="both"/>
        <w:rPr>
          <w:rFonts w:ascii="Arial" w:hAnsi="Arial" w:cs="Arial"/>
          <w:sz w:val="20"/>
          <w:szCs w:val="20"/>
          <w:lang w:val="en-GB"/>
        </w:rPr>
      </w:pPr>
      <w:r w:rsidRPr="34B4BEC1">
        <w:rPr>
          <w:rFonts w:ascii="Arial" w:hAnsi="Arial" w:cs="Arial"/>
          <w:sz w:val="20"/>
          <w:szCs w:val="20"/>
          <w:lang w:val="en-GB"/>
        </w:rPr>
        <w:t xml:space="preserve">The Parties agree </w:t>
      </w:r>
      <w:r w:rsidR="6396F923" w:rsidRPr="34B4BEC1">
        <w:rPr>
          <w:rFonts w:ascii="Arial" w:hAnsi="Arial" w:cs="Arial"/>
          <w:sz w:val="20"/>
          <w:szCs w:val="20"/>
          <w:lang w:val="en-GB"/>
        </w:rPr>
        <w:t>on th</w:t>
      </w:r>
      <w:r w:rsidR="001B0D24">
        <w:rPr>
          <w:rFonts w:ascii="Arial" w:hAnsi="Arial" w:cs="Arial"/>
          <w:sz w:val="20"/>
          <w:szCs w:val="20"/>
          <w:lang w:val="en-GB"/>
        </w:rPr>
        <w:t xml:space="preserve">is Purchase Agreement </w:t>
      </w:r>
      <w:r w:rsidRPr="34B4BEC1">
        <w:rPr>
          <w:rFonts w:ascii="Arial" w:hAnsi="Arial" w:cs="Arial"/>
          <w:sz w:val="20"/>
          <w:szCs w:val="20"/>
          <w:lang w:val="en-GB"/>
        </w:rPr>
        <w:t>within the framework of “canSERV project” (</w:t>
      </w:r>
      <w:r w:rsidR="12AE7D64" w:rsidRPr="34B4BEC1">
        <w:rPr>
          <w:rFonts w:ascii="Arial" w:hAnsi="Arial" w:cs="Arial"/>
          <w:sz w:val="20"/>
          <w:szCs w:val="20"/>
        </w:rPr>
        <w:t xml:space="preserve">Grant </w:t>
      </w:r>
      <w:r w:rsidR="00256E69">
        <w:rPr>
          <w:rFonts w:ascii="Arial" w:hAnsi="Arial" w:cs="Arial"/>
          <w:sz w:val="20"/>
          <w:szCs w:val="20"/>
        </w:rPr>
        <w:t>A</w:t>
      </w:r>
      <w:r w:rsidR="12AE7D64" w:rsidRPr="34B4BEC1">
        <w:rPr>
          <w:rFonts w:ascii="Arial" w:hAnsi="Arial" w:cs="Arial"/>
          <w:sz w:val="20"/>
          <w:szCs w:val="20"/>
        </w:rPr>
        <w:t xml:space="preserve">greement ID: 101058620). </w:t>
      </w:r>
      <w:r w:rsidR="12AE7D64" w:rsidRPr="34B4BEC1">
        <w:rPr>
          <w:rFonts w:ascii="Arial" w:hAnsi="Arial" w:cs="Arial"/>
          <w:sz w:val="20"/>
          <w:szCs w:val="20"/>
          <w:lang w:val="en-GB"/>
        </w:rPr>
        <w:t xml:space="preserve">canSERV is an EU-funded project under the Horizon Europe programme that provides cutting edge, interdisciplinary and customised oncology services across the entire cancer continuum. The aim is to offer a comprehensive portfolio of oncology-related research services available to all scientists in EU member countries, associated countries and beyond. canSERV brings together world-class European life science </w:t>
      </w:r>
      <w:r w:rsidR="0CB1BB62" w:rsidRPr="34B4BEC1">
        <w:rPr>
          <w:rFonts w:ascii="Arial" w:hAnsi="Arial" w:cs="Arial"/>
          <w:sz w:val="20"/>
          <w:szCs w:val="20"/>
          <w:lang w:val="en-GB"/>
        </w:rPr>
        <w:t>research infrastructure</w:t>
      </w:r>
      <w:r w:rsidR="12AE7D64" w:rsidRPr="34B4BEC1">
        <w:rPr>
          <w:rFonts w:ascii="Arial" w:hAnsi="Arial" w:cs="Arial"/>
          <w:sz w:val="20"/>
          <w:szCs w:val="20"/>
          <w:lang w:val="en-GB"/>
        </w:rPr>
        <w:t xml:space="preserve">s </w:t>
      </w:r>
      <w:r w:rsidR="12AE7D64" w:rsidRPr="34B4BEC1">
        <w:rPr>
          <w:rFonts w:ascii="Arial" w:hAnsi="Arial" w:cs="Arial"/>
          <w:sz w:val="20"/>
          <w:szCs w:val="20"/>
        </w:rPr>
        <w:t>(BBMRI, EURO-BIOIMAGING, ELIXIR, EU-IBISBA, EuroPDX, EU-OPENSCREEN, I</w:t>
      </w:r>
      <w:r w:rsidR="042F3400" w:rsidRPr="34B4BEC1">
        <w:rPr>
          <w:rFonts w:ascii="Arial" w:hAnsi="Arial" w:cs="Arial"/>
          <w:sz w:val="20"/>
          <w:szCs w:val="20"/>
        </w:rPr>
        <w:t>nstruct</w:t>
      </w:r>
      <w:r w:rsidR="12AE7D64" w:rsidRPr="34B4BEC1">
        <w:rPr>
          <w:rFonts w:ascii="Arial" w:hAnsi="Arial" w:cs="Arial"/>
          <w:sz w:val="20"/>
          <w:szCs w:val="20"/>
        </w:rPr>
        <w:t>, EATRIS, INFRAFRONTIER, EMBRC, ECRIN, EATRIS, MIRRI, ARIE, CCE, EORTC</w:t>
      </w:r>
      <w:r w:rsidR="004B57D7">
        <w:rPr>
          <w:rFonts w:ascii="Arial" w:hAnsi="Arial" w:cs="Arial"/>
          <w:sz w:val="20"/>
          <w:szCs w:val="20"/>
        </w:rPr>
        <w:t xml:space="preserve">, </w:t>
      </w:r>
      <w:r w:rsidR="12AE7D64" w:rsidRPr="34B4BEC1">
        <w:rPr>
          <w:rFonts w:ascii="Arial" w:hAnsi="Arial" w:cs="Arial"/>
          <w:sz w:val="20"/>
          <w:szCs w:val="20"/>
        </w:rPr>
        <w:t>and IARC)</w:t>
      </w:r>
      <w:r w:rsidR="0CB1BB62" w:rsidRPr="34B4BEC1">
        <w:rPr>
          <w:rFonts w:ascii="Arial" w:hAnsi="Arial" w:cs="Arial"/>
          <w:sz w:val="20"/>
          <w:szCs w:val="20"/>
        </w:rPr>
        <w:t xml:space="preserve"> </w:t>
      </w:r>
      <w:r w:rsidR="12AE7D64" w:rsidRPr="34B4BEC1">
        <w:rPr>
          <w:rFonts w:ascii="Arial" w:hAnsi="Arial" w:cs="Arial"/>
          <w:sz w:val="20"/>
          <w:szCs w:val="20"/>
          <w:lang w:val="en-GB"/>
        </w:rPr>
        <w:t>key organisations in the field of oncology, project management and sustainability experts.</w:t>
      </w:r>
    </w:p>
    <w:p w14:paraId="0D48F782" w14:textId="15AC9837" w:rsidR="003C460B" w:rsidRPr="00F66E18" w:rsidRDefault="003C460B" w:rsidP="34B4BEC1">
      <w:pPr>
        <w:jc w:val="both"/>
        <w:rPr>
          <w:rFonts w:ascii="Arial" w:hAnsi="Arial" w:cs="Arial"/>
          <w:sz w:val="20"/>
          <w:szCs w:val="20"/>
          <w:lang w:val="en-GB"/>
        </w:rPr>
      </w:pPr>
      <w:r w:rsidRPr="12799994">
        <w:rPr>
          <w:rFonts w:ascii="Arial" w:hAnsi="Arial" w:cs="Arial"/>
          <w:sz w:val="20"/>
          <w:szCs w:val="20"/>
          <w:lang w:val="en-GB"/>
        </w:rPr>
        <w:t xml:space="preserve">canSERV </w:t>
      </w:r>
      <w:r w:rsidR="3767B75E" w:rsidRPr="12799994">
        <w:rPr>
          <w:rFonts w:ascii="Arial" w:hAnsi="Arial" w:cs="Arial"/>
          <w:sz w:val="20"/>
          <w:szCs w:val="20"/>
          <w:lang w:val="en-GB"/>
        </w:rPr>
        <w:t>makes transnational access services available through two mechanisms: open calls, and challenge driven calls.</w:t>
      </w:r>
      <w:r w:rsidR="4EF878C4" w:rsidRPr="12799994">
        <w:rPr>
          <w:rFonts w:ascii="Arial" w:hAnsi="Arial" w:cs="Arial"/>
          <w:sz w:val="20"/>
          <w:szCs w:val="20"/>
          <w:lang w:val="en-GB"/>
        </w:rPr>
        <w:t xml:space="preserve"> </w:t>
      </w:r>
      <w:r w:rsidR="003C4B0D" w:rsidRPr="12799994">
        <w:rPr>
          <w:rFonts w:ascii="Arial" w:hAnsi="Arial" w:cs="Arial"/>
          <w:sz w:val="20"/>
          <w:szCs w:val="20"/>
          <w:lang w:val="en-GB"/>
        </w:rPr>
        <w:t>Cutting-edge transnational services are always provided according to t</w:t>
      </w:r>
      <w:r w:rsidR="00A96645" w:rsidRPr="12799994">
        <w:rPr>
          <w:rFonts w:ascii="Arial" w:hAnsi="Arial" w:cs="Arial"/>
          <w:sz w:val="20"/>
          <w:szCs w:val="20"/>
          <w:lang w:val="en-GB"/>
        </w:rPr>
        <w:t>h</w:t>
      </w:r>
      <w:r w:rsidR="003C4B0D" w:rsidRPr="12799994">
        <w:rPr>
          <w:rFonts w:ascii="Arial" w:hAnsi="Arial" w:cs="Arial"/>
          <w:sz w:val="20"/>
          <w:szCs w:val="20"/>
          <w:lang w:val="en-GB"/>
        </w:rPr>
        <w:t xml:space="preserve">e </w:t>
      </w:r>
      <w:r w:rsidR="00A96645" w:rsidRPr="12799994">
        <w:rPr>
          <w:rFonts w:ascii="Arial" w:hAnsi="Arial" w:cs="Arial"/>
          <w:sz w:val="20"/>
          <w:szCs w:val="20"/>
          <w:lang w:val="en-GB"/>
        </w:rPr>
        <w:t>content</w:t>
      </w:r>
      <w:r w:rsidR="003C4B0D" w:rsidRPr="12799994">
        <w:rPr>
          <w:rFonts w:ascii="Arial" w:hAnsi="Arial" w:cs="Arial"/>
          <w:sz w:val="20"/>
          <w:szCs w:val="20"/>
          <w:lang w:val="en-GB"/>
        </w:rPr>
        <w:t xml:space="preserve"> of the respectiv</w:t>
      </w:r>
      <w:r w:rsidR="3790412A" w:rsidRPr="12799994">
        <w:rPr>
          <w:rFonts w:ascii="Arial" w:hAnsi="Arial" w:cs="Arial"/>
          <w:sz w:val="20"/>
          <w:szCs w:val="20"/>
          <w:lang w:val="en-GB"/>
        </w:rPr>
        <w:t>e call.</w:t>
      </w:r>
      <w:r w:rsidR="003C4B0D" w:rsidRPr="12799994">
        <w:rPr>
          <w:rFonts w:ascii="Arial" w:hAnsi="Arial" w:cs="Arial"/>
          <w:sz w:val="20"/>
          <w:szCs w:val="20"/>
          <w:lang w:val="en-GB"/>
        </w:rPr>
        <w:t xml:space="preserve"> </w:t>
      </w:r>
      <w:r w:rsidR="0053789A" w:rsidRPr="12799994">
        <w:rPr>
          <w:rFonts w:ascii="Arial" w:hAnsi="Arial" w:cs="Arial"/>
          <w:sz w:val="20"/>
          <w:szCs w:val="20"/>
          <w:lang w:val="en-GB"/>
        </w:rPr>
        <w:t xml:space="preserve">Transnational access allows researchers (users, applicants) free of charge access to services (equipment, expertise, resources) offered by the canSERV consortium members. Transnational access can be in person (physical access) or remote. </w:t>
      </w:r>
      <w:r w:rsidRPr="12799994">
        <w:rPr>
          <w:rFonts w:ascii="Arial" w:hAnsi="Arial" w:cs="Arial"/>
          <w:sz w:val="20"/>
          <w:szCs w:val="20"/>
          <w:lang w:val="en-GB"/>
        </w:rPr>
        <w:t xml:space="preserve">All services provided by canSERV </w:t>
      </w:r>
      <w:r w:rsidR="00502086" w:rsidRPr="12799994">
        <w:rPr>
          <w:rFonts w:ascii="Arial" w:hAnsi="Arial" w:cs="Arial"/>
          <w:sz w:val="20"/>
          <w:szCs w:val="20"/>
          <w:lang w:val="en-GB"/>
        </w:rPr>
        <w:t>S</w:t>
      </w:r>
      <w:r w:rsidR="00804C1C" w:rsidRPr="12799994">
        <w:rPr>
          <w:rFonts w:ascii="Arial" w:hAnsi="Arial" w:cs="Arial"/>
          <w:sz w:val="20"/>
          <w:szCs w:val="20"/>
          <w:lang w:val="en-GB"/>
        </w:rPr>
        <w:t xml:space="preserve">ervice </w:t>
      </w:r>
      <w:r w:rsidR="00502086" w:rsidRPr="12799994">
        <w:rPr>
          <w:rFonts w:ascii="Arial" w:hAnsi="Arial" w:cs="Arial"/>
          <w:sz w:val="20"/>
          <w:szCs w:val="20"/>
          <w:lang w:val="en-GB"/>
        </w:rPr>
        <w:t>P</w:t>
      </w:r>
      <w:r w:rsidR="00804C1C" w:rsidRPr="12799994">
        <w:rPr>
          <w:rFonts w:ascii="Arial" w:hAnsi="Arial" w:cs="Arial"/>
          <w:sz w:val="20"/>
          <w:szCs w:val="20"/>
          <w:lang w:val="en-GB"/>
        </w:rPr>
        <w:t>roviders</w:t>
      </w:r>
      <w:r w:rsidRPr="12799994">
        <w:rPr>
          <w:rFonts w:ascii="Arial" w:hAnsi="Arial" w:cs="Arial"/>
          <w:sz w:val="20"/>
          <w:szCs w:val="20"/>
          <w:lang w:val="en-GB"/>
        </w:rPr>
        <w:t xml:space="preserve"> will be available to researchers </w:t>
      </w:r>
      <w:r w:rsidR="00EB43B6" w:rsidRPr="12799994">
        <w:rPr>
          <w:rFonts w:ascii="Arial" w:hAnsi="Arial" w:cs="Arial"/>
          <w:sz w:val="20"/>
          <w:szCs w:val="20"/>
          <w:lang w:val="en-GB"/>
        </w:rPr>
        <w:t xml:space="preserve">across the EU </w:t>
      </w:r>
      <w:r w:rsidR="00087976" w:rsidRPr="12799994">
        <w:rPr>
          <w:rFonts w:ascii="Arial" w:hAnsi="Arial" w:cs="Arial"/>
          <w:sz w:val="20"/>
          <w:szCs w:val="20"/>
          <w:lang w:val="en-GB"/>
        </w:rPr>
        <w:t>m</w:t>
      </w:r>
      <w:r w:rsidR="00EB43B6" w:rsidRPr="12799994">
        <w:rPr>
          <w:rFonts w:ascii="Arial" w:hAnsi="Arial" w:cs="Arial"/>
          <w:sz w:val="20"/>
          <w:szCs w:val="20"/>
          <w:lang w:val="en-GB"/>
        </w:rPr>
        <w:t xml:space="preserve">ember and </w:t>
      </w:r>
      <w:r w:rsidR="00087976" w:rsidRPr="12799994">
        <w:rPr>
          <w:rFonts w:ascii="Arial" w:hAnsi="Arial" w:cs="Arial"/>
          <w:sz w:val="20"/>
          <w:szCs w:val="20"/>
          <w:lang w:val="en-GB"/>
        </w:rPr>
        <w:t>a</w:t>
      </w:r>
      <w:r w:rsidR="00EB43B6" w:rsidRPr="12799994">
        <w:rPr>
          <w:rFonts w:ascii="Arial" w:hAnsi="Arial" w:cs="Arial"/>
          <w:sz w:val="20"/>
          <w:szCs w:val="20"/>
          <w:lang w:val="en-GB"/>
        </w:rPr>
        <w:t xml:space="preserve">ssociated </w:t>
      </w:r>
      <w:r w:rsidR="00087976" w:rsidRPr="12799994">
        <w:rPr>
          <w:rFonts w:ascii="Arial" w:hAnsi="Arial" w:cs="Arial"/>
          <w:sz w:val="20"/>
          <w:szCs w:val="20"/>
          <w:lang w:val="en-GB"/>
        </w:rPr>
        <w:t>countries</w:t>
      </w:r>
      <w:r w:rsidR="00EB43B6" w:rsidRPr="12799994">
        <w:rPr>
          <w:rFonts w:ascii="Arial" w:hAnsi="Arial" w:cs="Arial"/>
          <w:sz w:val="20"/>
          <w:szCs w:val="20"/>
          <w:lang w:val="en-GB"/>
        </w:rPr>
        <w:t xml:space="preserve"> </w:t>
      </w:r>
      <w:r w:rsidRPr="12799994">
        <w:rPr>
          <w:rFonts w:ascii="Arial" w:hAnsi="Arial" w:cs="Arial"/>
          <w:sz w:val="20"/>
          <w:szCs w:val="20"/>
          <w:lang w:val="en-GB"/>
        </w:rPr>
        <w:t>to enhance research excellence and give equal user access opportunities to cutting edge cancer services.</w:t>
      </w:r>
    </w:p>
    <w:p w14:paraId="434BE38F" w14:textId="66FAD2FB" w:rsidR="003C460B" w:rsidRPr="00F66E18" w:rsidRDefault="003C460B" w:rsidP="34B4BEC1">
      <w:pPr>
        <w:jc w:val="both"/>
        <w:rPr>
          <w:rFonts w:ascii="Arial" w:hAnsi="Arial" w:cs="Arial"/>
          <w:sz w:val="20"/>
          <w:szCs w:val="20"/>
          <w:lang w:val="en-GB"/>
        </w:rPr>
      </w:pPr>
      <w:r w:rsidRPr="34B4BEC1">
        <w:rPr>
          <w:rFonts w:ascii="Arial" w:hAnsi="Arial" w:cs="Arial"/>
          <w:sz w:val="20"/>
          <w:szCs w:val="20"/>
          <w:lang w:val="en-GB"/>
        </w:rPr>
        <w:t xml:space="preserve">Access will be through a single, user-friendly, intuitive, and fast-reactive </w:t>
      </w:r>
      <w:r w:rsidR="00804C1C" w:rsidRPr="34B4BEC1">
        <w:rPr>
          <w:rFonts w:ascii="Arial" w:hAnsi="Arial" w:cs="Arial"/>
          <w:sz w:val="20"/>
          <w:szCs w:val="20"/>
          <w:lang w:val="en-GB"/>
        </w:rPr>
        <w:t>Transnational</w:t>
      </w:r>
      <w:r w:rsidRPr="34B4BEC1">
        <w:rPr>
          <w:rFonts w:ascii="Arial" w:hAnsi="Arial" w:cs="Arial"/>
          <w:sz w:val="20"/>
          <w:szCs w:val="20"/>
          <w:lang w:val="en-GB"/>
        </w:rPr>
        <w:t xml:space="preserve"> and virtual Access (TNA) platform: C</w:t>
      </w:r>
      <w:r w:rsidR="2EA7EB87" w:rsidRPr="34B4BEC1">
        <w:rPr>
          <w:rFonts w:ascii="Arial" w:hAnsi="Arial" w:cs="Arial"/>
          <w:sz w:val="20"/>
          <w:szCs w:val="20"/>
          <w:lang w:val="en-GB"/>
        </w:rPr>
        <w:t xml:space="preserve">ommon </w:t>
      </w:r>
      <w:r w:rsidRPr="34B4BEC1">
        <w:rPr>
          <w:rFonts w:ascii="Arial" w:hAnsi="Arial" w:cs="Arial"/>
          <w:sz w:val="20"/>
          <w:szCs w:val="20"/>
          <w:lang w:val="en-GB"/>
        </w:rPr>
        <w:t>A</w:t>
      </w:r>
      <w:r w:rsidR="1E51AB3D" w:rsidRPr="34B4BEC1">
        <w:rPr>
          <w:rFonts w:ascii="Arial" w:hAnsi="Arial" w:cs="Arial"/>
          <w:sz w:val="20"/>
          <w:szCs w:val="20"/>
          <w:lang w:val="en-GB"/>
        </w:rPr>
        <w:t xml:space="preserve">ccess </w:t>
      </w:r>
      <w:r w:rsidRPr="34B4BEC1">
        <w:rPr>
          <w:rFonts w:ascii="Arial" w:hAnsi="Arial" w:cs="Arial"/>
          <w:sz w:val="20"/>
          <w:szCs w:val="20"/>
          <w:lang w:val="en-GB"/>
        </w:rPr>
        <w:t>M</w:t>
      </w:r>
      <w:r w:rsidR="0C183385" w:rsidRPr="34B4BEC1">
        <w:rPr>
          <w:rFonts w:ascii="Arial" w:hAnsi="Arial" w:cs="Arial"/>
          <w:sz w:val="20"/>
          <w:szCs w:val="20"/>
          <w:lang w:val="en-GB"/>
        </w:rPr>
        <w:t xml:space="preserve">anagement </w:t>
      </w:r>
      <w:r w:rsidRPr="34B4BEC1">
        <w:rPr>
          <w:rFonts w:ascii="Arial" w:hAnsi="Arial" w:cs="Arial"/>
          <w:sz w:val="20"/>
          <w:szCs w:val="20"/>
          <w:lang w:val="en-GB"/>
        </w:rPr>
        <w:t>S</w:t>
      </w:r>
      <w:r w:rsidR="14CB23C9" w:rsidRPr="34B4BEC1">
        <w:rPr>
          <w:rFonts w:ascii="Arial" w:hAnsi="Arial" w:cs="Arial"/>
          <w:sz w:val="20"/>
          <w:szCs w:val="20"/>
          <w:lang w:val="en-GB"/>
        </w:rPr>
        <w:t>ystem (CAMS)</w:t>
      </w:r>
      <w:r w:rsidRPr="34B4BEC1">
        <w:rPr>
          <w:rFonts w:ascii="Arial" w:hAnsi="Arial" w:cs="Arial"/>
          <w:sz w:val="20"/>
          <w:szCs w:val="20"/>
          <w:lang w:val="en-GB"/>
        </w:rPr>
        <w:t>. The TNA will be built on existing access tools and further developed as an overarching service integration platform providing service pipelines across RIs.</w:t>
      </w:r>
    </w:p>
    <w:p w14:paraId="1CEF652E" w14:textId="7B29B2A2" w:rsidR="00816194" w:rsidRPr="008B61A7" w:rsidRDefault="008438E5" w:rsidP="34B4BEC1">
      <w:pPr>
        <w:jc w:val="both"/>
        <w:rPr>
          <w:rFonts w:ascii="Arial" w:hAnsi="Arial"/>
          <w:sz w:val="20"/>
          <w:szCs w:val="20"/>
          <w:lang w:val="en-GB"/>
        </w:rPr>
      </w:pPr>
      <w:r w:rsidRPr="34B4BEC1">
        <w:rPr>
          <w:rFonts w:ascii="Arial" w:hAnsi="Arial"/>
          <w:sz w:val="20"/>
          <w:szCs w:val="20"/>
          <w:lang w:val="en-GB"/>
        </w:rPr>
        <w:t>The Parties agree as follows:</w:t>
      </w:r>
    </w:p>
    <w:p w14:paraId="73827DB3" w14:textId="78607933" w:rsidR="00006FFC" w:rsidRPr="008B61A7" w:rsidRDefault="00006FFC" w:rsidP="34B4BEC1">
      <w:pPr>
        <w:pStyle w:val="Odstavecseseznamem"/>
        <w:numPr>
          <w:ilvl w:val="0"/>
          <w:numId w:val="5"/>
        </w:numPr>
        <w:jc w:val="both"/>
        <w:rPr>
          <w:rFonts w:ascii="Arial" w:hAnsi="Arial" w:cs="Arial"/>
          <w:i/>
          <w:iCs/>
          <w:sz w:val="20"/>
          <w:szCs w:val="20"/>
          <w:lang w:val="en-GB"/>
        </w:rPr>
      </w:pPr>
      <w:r w:rsidRPr="34B4BEC1">
        <w:rPr>
          <w:rFonts w:ascii="Arial" w:hAnsi="Arial"/>
          <w:b/>
          <w:bCs/>
          <w:sz w:val="20"/>
          <w:szCs w:val="20"/>
          <w:lang w:val="en-GB"/>
        </w:rPr>
        <w:t>DEFINITIONS</w:t>
      </w:r>
      <w:r w:rsidR="00CF2035" w:rsidRPr="34B4BEC1">
        <w:rPr>
          <w:rFonts w:ascii="Arial" w:hAnsi="Arial" w:cs="Arial"/>
          <w:sz w:val="20"/>
          <w:szCs w:val="20"/>
          <w:lang w:val="en-GB"/>
        </w:rPr>
        <w:t xml:space="preserve"> </w:t>
      </w:r>
    </w:p>
    <w:p w14:paraId="24BFF63D" w14:textId="5E49EA4F" w:rsidR="008438E5" w:rsidRPr="008B61A7" w:rsidRDefault="00006FFC" w:rsidP="34B4BEC1">
      <w:pPr>
        <w:jc w:val="both"/>
        <w:rPr>
          <w:rFonts w:ascii="Arial" w:hAnsi="Arial"/>
          <w:sz w:val="20"/>
          <w:szCs w:val="20"/>
          <w:lang w:val="en-GB"/>
        </w:rPr>
      </w:pPr>
      <w:r w:rsidRPr="34B4BEC1">
        <w:rPr>
          <w:rFonts w:ascii="Arial" w:hAnsi="Arial"/>
          <w:sz w:val="20"/>
          <w:szCs w:val="20"/>
          <w:lang w:val="en-GB"/>
        </w:rPr>
        <w:t>Any word</w:t>
      </w:r>
      <w:r w:rsidR="008438E5" w:rsidRPr="34B4BEC1">
        <w:rPr>
          <w:rFonts w:ascii="Arial" w:hAnsi="Arial"/>
          <w:sz w:val="20"/>
          <w:szCs w:val="20"/>
          <w:lang w:val="en-GB"/>
        </w:rPr>
        <w:t>(s)</w:t>
      </w:r>
      <w:r w:rsidRPr="34B4BEC1">
        <w:rPr>
          <w:rFonts w:ascii="Arial" w:hAnsi="Arial"/>
          <w:sz w:val="20"/>
          <w:szCs w:val="20"/>
          <w:lang w:val="en-GB"/>
        </w:rPr>
        <w:t xml:space="preserve"> or expression(s) appearing in the </w:t>
      </w:r>
      <w:r w:rsidR="00BC3D45">
        <w:rPr>
          <w:rFonts w:ascii="Arial" w:hAnsi="Arial"/>
          <w:sz w:val="20"/>
          <w:szCs w:val="20"/>
          <w:lang w:val="en-GB"/>
        </w:rPr>
        <w:t>Purchase Agreement</w:t>
      </w:r>
      <w:r w:rsidR="00272EFB" w:rsidRPr="34B4BEC1">
        <w:rPr>
          <w:rFonts w:ascii="Arial" w:hAnsi="Arial"/>
          <w:sz w:val="20"/>
          <w:szCs w:val="20"/>
          <w:lang w:val="en-GB"/>
        </w:rPr>
        <w:t xml:space="preserve"> </w:t>
      </w:r>
      <w:r w:rsidRPr="34B4BEC1">
        <w:rPr>
          <w:rFonts w:ascii="Arial" w:hAnsi="Arial"/>
          <w:sz w:val="20"/>
          <w:szCs w:val="20"/>
          <w:lang w:val="en-GB"/>
        </w:rPr>
        <w:t xml:space="preserve">shall have the meaning described to them in the </w:t>
      </w:r>
      <w:r w:rsidR="00272EFB" w:rsidRPr="34B4BEC1">
        <w:rPr>
          <w:rFonts w:ascii="Arial" w:hAnsi="Arial"/>
          <w:sz w:val="20"/>
          <w:szCs w:val="20"/>
          <w:lang w:val="en-GB"/>
        </w:rPr>
        <w:t>provisions</w:t>
      </w:r>
      <w:r w:rsidR="00D209CE" w:rsidRPr="34B4BEC1">
        <w:rPr>
          <w:rFonts w:ascii="Arial" w:hAnsi="Arial"/>
          <w:sz w:val="20"/>
          <w:szCs w:val="20"/>
          <w:lang w:val="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6716"/>
      </w:tblGrid>
      <w:tr w:rsidR="00EE6002" w:rsidRPr="002E212E" w14:paraId="3012CDE5" w14:textId="77777777" w:rsidTr="00714CE4">
        <w:tc>
          <w:tcPr>
            <w:tcW w:w="2356" w:type="dxa"/>
          </w:tcPr>
          <w:p w14:paraId="00A73F97" w14:textId="54AECEB6" w:rsidR="00EE6002" w:rsidRPr="34B4BEC1" w:rsidRDefault="00EE6002" w:rsidP="34B4BEC1">
            <w:pPr>
              <w:jc w:val="both"/>
              <w:rPr>
                <w:rFonts w:ascii="Arial" w:hAnsi="Arial"/>
                <w:b/>
                <w:bCs/>
                <w:sz w:val="20"/>
                <w:szCs w:val="20"/>
                <w:lang w:val="en-GB"/>
              </w:rPr>
            </w:pPr>
            <w:r>
              <w:rPr>
                <w:rFonts w:ascii="Arial" w:hAnsi="Arial"/>
                <w:b/>
                <w:bCs/>
                <w:sz w:val="20"/>
                <w:szCs w:val="20"/>
                <w:lang w:val="en-GB"/>
              </w:rPr>
              <w:t xml:space="preserve">Grant </w:t>
            </w:r>
            <w:r w:rsidR="00915DA3">
              <w:rPr>
                <w:rFonts w:ascii="Arial" w:hAnsi="Arial"/>
                <w:b/>
                <w:bCs/>
                <w:sz w:val="20"/>
                <w:szCs w:val="20"/>
                <w:lang w:val="en-GB"/>
              </w:rPr>
              <w:t>A</w:t>
            </w:r>
            <w:r>
              <w:rPr>
                <w:rFonts w:ascii="Arial" w:hAnsi="Arial"/>
                <w:b/>
                <w:bCs/>
                <w:sz w:val="20"/>
                <w:szCs w:val="20"/>
                <w:lang w:val="en-GB"/>
              </w:rPr>
              <w:t>greement</w:t>
            </w:r>
          </w:p>
        </w:tc>
        <w:tc>
          <w:tcPr>
            <w:tcW w:w="6716" w:type="dxa"/>
          </w:tcPr>
          <w:p w14:paraId="6340CC9F" w14:textId="77777777" w:rsidR="006D02F7" w:rsidRDefault="0053789A" w:rsidP="34B4BEC1">
            <w:pPr>
              <w:jc w:val="both"/>
              <w:rPr>
                <w:rFonts w:ascii="Arial" w:hAnsi="Arial"/>
                <w:sz w:val="20"/>
                <w:szCs w:val="20"/>
                <w:lang w:val="en-GB"/>
              </w:rPr>
            </w:pPr>
            <w:r w:rsidRPr="0053789A">
              <w:rPr>
                <w:rFonts w:ascii="Arial" w:hAnsi="Arial"/>
                <w:sz w:val="20"/>
                <w:szCs w:val="20"/>
                <w:lang w:val="en-GB"/>
              </w:rPr>
              <w:t xml:space="preserve">canSERV project has received funding from the European Union’s Horizon Europe research and innovation programme under </w:t>
            </w:r>
            <w:r w:rsidR="00915DA3">
              <w:rPr>
                <w:rFonts w:ascii="Arial" w:hAnsi="Arial"/>
                <w:sz w:val="20"/>
                <w:szCs w:val="20"/>
                <w:lang w:val="en-GB"/>
              </w:rPr>
              <w:t>G</w:t>
            </w:r>
            <w:r w:rsidRPr="0053789A">
              <w:rPr>
                <w:rFonts w:ascii="Arial" w:hAnsi="Arial"/>
                <w:sz w:val="20"/>
                <w:szCs w:val="20"/>
                <w:lang w:val="en-GB"/>
              </w:rPr>
              <w:t xml:space="preserve">rant </w:t>
            </w:r>
            <w:r w:rsidR="00915DA3">
              <w:rPr>
                <w:rFonts w:ascii="Arial" w:hAnsi="Arial"/>
                <w:sz w:val="20"/>
                <w:szCs w:val="20"/>
                <w:lang w:val="en-GB"/>
              </w:rPr>
              <w:t>A</w:t>
            </w:r>
            <w:r w:rsidRPr="0053789A">
              <w:rPr>
                <w:rFonts w:ascii="Arial" w:hAnsi="Arial"/>
                <w:sz w:val="20"/>
                <w:szCs w:val="20"/>
                <w:lang w:val="en-GB"/>
              </w:rPr>
              <w:t xml:space="preserve">greement </w:t>
            </w:r>
            <w:r w:rsidR="00915DA3">
              <w:rPr>
                <w:rFonts w:ascii="Arial" w:hAnsi="Arial"/>
                <w:sz w:val="20"/>
                <w:szCs w:val="20"/>
                <w:lang w:val="en-GB"/>
              </w:rPr>
              <w:t>ID:</w:t>
            </w:r>
            <w:r w:rsidRPr="0053789A">
              <w:rPr>
                <w:rFonts w:ascii="Arial" w:hAnsi="Arial"/>
                <w:sz w:val="20"/>
                <w:szCs w:val="20"/>
                <w:lang w:val="en-GB"/>
              </w:rPr>
              <w:t xml:space="preserve"> 101058620.</w:t>
            </w:r>
          </w:p>
          <w:p w14:paraId="2B3F2247" w14:textId="276AE109" w:rsidR="00CA1F5B" w:rsidRPr="0053789A" w:rsidRDefault="00CA1F5B" w:rsidP="34B4BEC1">
            <w:pPr>
              <w:jc w:val="both"/>
              <w:rPr>
                <w:rFonts w:ascii="Arial" w:hAnsi="Arial"/>
                <w:sz w:val="20"/>
                <w:szCs w:val="20"/>
                <w:lang w:val="en-GB"/>
              </w:rPr>
            </w:pPr>
          </w:p>
        </w:tc>
      </w:tr>
      <w:tr w:rsidR="00EE6002" w:rsidRPr="002E212E" w14:paraId="66009D59" w14:textId="77777777" w:rsidTr="00714CE4">
        <w:tc>
          <w:tcPr>
            <w:tcW w:w="2356"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tblGrid>
            <w:tr w:rsidR="00360F68" w:rsidRPr="008B61A7" w14:paraId="64B60719" w14:textId="77777777" w:rsidTr="00915DA3">
              <w:tc>
                <w:tcPr>
                  <w:tcW w:w="2140" w:type="dxa"/>
                </w:tcPr>
                <w:p w14:paraId="70C22703" w14:textId="452B3E17" w:rsidR="00360F68" w:rsidRPr="008B61A7" w:rsidRDefault="00BC3D45" w:rsidP="00CA1F5B">
                  <w:pPr>
                    <w:jc w:val="both"/>
                    <w:rPr>
                      <w:rFonts w:ascii="Arial" w:hAnsi="Arial"/>
                      <w:sz w:val="20"/>
                      <w:szCs w:val="20"/>
                      <w:lang w:val="en-GB"/>
                    </w:rPr>
                  </w:pPr>
                  <w:r>
                    <w:rPr>
                      <w:rFonts w:ascii="Arial" w:hAnsi="Arial"/>
                      <w:b/>
                      <w:bCs/>
                      <w:sz w:val="20"/>
                      <w:szCs w:val="20"/>
                      <w:lang w:val="en-GB"/>
                    </w:rPr>
                    <w:lastRenderedPageBreak/>
                    <w:t xml:space="preserve">Purchase Agreement </w:t>
                  </w:r>
                </w:p>
              </w:tc>
            </w:tr>
          </w:tbl>
          <w:p w14:paraId="5284BB0B" w14:textId="77777777" w:rsidR="00EE6002" w:rsidRDefault="00EE6002" w:rsidP="34B4BEC1">
            <w:pPr>
              <w:jc w:val="both"/>
              <w:rPr>
                <w:rFonts w:ascii="Arial" w:hAnsi="Arial"/>
                <w:b/>
                <w:bCs/>
                <w:sz w:val="20"/>
                <w:szCs w:val="20"/>
                <w:lang w:val="en-GB"/>
              </w:rPr>
            </w:pPr>
          </w:p>
        </w:tc>
        <w:tc>
          <w:tcPr>
            <w:tcW w:w="6716"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0"/>
            </w:tblGrid>
            <w:tr w:rsidR="00360F68" w:rsidRPr="008B61A7" w14:paraId="7B3956BE" w14:textId="77777777" w:rsidTr="006976EB">
              <w:tc>
                <w:tcPr>
                  <w:tcW w:w="6583" w:type="dxa"/>
                </w:tcPr>
                <w:p w14:paraId="3F6AB1F2" w14:textId="5DC2E606" w:rsidR="00360F68" w:rsidRPr="008B61A7" w:rsidRDefault="00360F68" w:rsidP="00186C21">
                  <w:pPr>
                    <w:ind w:left="-28"/>
                    <w:jc w:val="both"/>
                    <w:rPr>
                      <w:rFonts w:ascii="Arial" w:hAnsi="Arial"/>
                      <w:sz w:val="20"/>
                      <w:szCs w:val="20"/>
                      <w:lang w:val="en-GB"/>
                    </w:rPr>
                  </w:pPr>
                  <w:r w:rsidRPr="34B4BEC1">
                    <w:rPr>
                      <w:rFonts w:ascii="Arial" w:hAnsi="Arial"/>
                      <w:sz w:val="20"/>
                      <w:szCs w:val="20"/>
                      <w:lang w:val="en-GB"/>
                    </w:rPr>
                    <w:t>Th</w:t>
                  </w:r>
                  <w:r w:rsidR="00BC3D45">
                    <w:rPr>
                      <w:rFonts w:ascii="Arial" w:hAnsi="Arial"/>
                      <w:sz w:val="20"/>
                      <w:szCs w:val="20"/>
                      <w:lang w:val="en-GB"/>
                    </w:rPr>
                    <w:t xml:space="preserve">e terms and conditions of this Agreement </w:t>
                  </w:r>
                  <w:r w:rsidRPr="34B4BEC1">
                    <w:rPr>
                      <w:rFonts w:ascii="Arial" w:hAnsi="Arial"/>
                      <w:sz w:val="20"/>
                      <w:szCs w:val="20"/>
                      <w:lang w:val="en-GB"/>
                    </w:rPr>
                    <w:t>including its</w:t>
                  </w:r>
                  <w:r w:rsidR="00915DA3">
                    <w:rPr>
                      <w:rFonts w:ascii="Arial" w:hAnsi="Arial"/>
                      <w:sz w:val="20"/>
                      <w:szCs w:val="20"/>
                      <w:lang w:val="en-GB"/>
                    </w:rPr>
                    <w:t xml:space="preserve"> </w:t>
                  </w:r>
                  <w:r w:rsidRPr="34B4BEC1">
                    <w:rPr>
                      <w:rFonts w:ascii="Arial" w:hAnsi="Arial"/>
                      <w:sz w:val="20"/>
                      <w:szCs w:val="20"/>
                      <w:lang w:val="en-GB"/>
                    </w:rPr>
                    <w:t>Annex(es).</w:t>
                  </w:r>
                </w:p>
              </w:tc>
            </w:tr>
          </w:tbl>
          <w:p w14:paraId="49087F18" w14:textId="77777777" w:rsidR="00EE6002" w:rsidRDefault="00EE6002" w:rsidP="34B4BEC1">
            <w:pPr>
              <w:jc w:val="both"/>
              <w:rPr>
                <w:rFonts w:ascii="Arial" w:hAnsi="Arial"/>
                <w:sz w:val="20"/>
                <w:szCs w:val="20"/>
                <w:lang w:val="en-GB"/>
              </w:rPr>
            </w:pPr>
          </w:p>
        </w:tc>
      </w:tr>
      <w:tr w:rsidR="002E212E" w:rsidRPr="002E212E" w14:paraId="1A8A0A6A" w14:textId="77777777" w:rsidTr="00714CE4">
        <w:tc>
          <w:tcPr>
            <w:tcW w:w="2356" w:type="dxa"/>
          </w:tcPr>
          <w:p w14:paraId="605D6EB4" w14:textId="77777777" w:rsidR="00804C1C" w:rsidRPr="008B61A7" w:rsidRDefault="00804C1C" w:rsidP="34B4BEC1">
            <w:pPr>
              <w:jc w:val="both"/>
              <w:rPr>
                <w:rFonts w:ascii="Arial" w:hAnsi="Arial"/>
                <w:b/>
                <w:bCs/>
                <w:sz w:val="20"/>
                <w:szCs w:val="20"/>
                <w:lang w:val="en-GB"/>
              </w:rPr>
            </w:pPr>
          </w:p>
        </w:tc>
        <w:tc>
          <w:tcPr>
            <w:tcW w:w="6716" w:type="dxa"/>
          </w:tcPr>
          <w:p w14:paraId="7B6CDDE8" w14:textId="77777777" w:rsidR="00804C1C" w:rsidRPr="008B61A7" w:rsidRDefault="00804C1C" w:rsidP="34B4BEC1">
            <w:pPr>
              <w:jc w:val="both"/>
              <w:rPr>
                <w:rFonts w:ascii="Arial" w:hAnsi="Arial"/>
                <w:sz w:val="20"/>
                <w:szCs w:val="20"/>
                <w:lang w:val="en-GB"/>
              </w:rPr>
            </w:pPr>
          </w:p>
        </w:tc>
      </w:tr>
      <w:tr w:rsidR="002E212E" w:rsidRPr="002E212E" w14:paraId="070EB368" w14:textId="77777777" w:rsidTr="006976EB">
        <w:tc>
          <w:tcPr>
            <w:tcW w:w="2356" w:type="dxa"/>
          </w:tcPr>
          <w:p w14:paraId="12D21176" w14:textId="52A15223" w:rsidR="008438E5" w:rsidRPr="008B61A7" w:rsidRDefault="008438E5" w:rsidP="34B4BEC1">
            <w:pPr>
              <w:jc w:val="both"/>
              <w:rPr>
                <w:rFonts w:ascii="Arial" w:hAnsi="Arial"/>
                <w:b/>
                <w:bCs/>
                <w:sz w:val="20"/>
                <w:szCs w:val="20"/>
                <w:lang w:val="en-GB"/>
              </w:rPr>
            </w:pPr>
            <w:r w:rsidRPr="34B4BEC1">
              <w:rPr>
                <w:rFonts w:ascii="Arial" w:hAnsi="Arial"/>
                <w:b/>
                <w:bCs/>
                <w:sz w:val="20"/>
                <w:szCs w:val="20"/>
                <w:lang w:val="en-GB"/>
              </w:rPr>
              <w:t>Service Provider</w:t>
            </w:r>
          </w:p>
        </w:tc>
        <w:tc>
          <w:tcPr>
            <w:tcW w:w="6716" w:type="dxa"/>
          </w:tcPr>
          <w:p w14:paraId="1FF4A29A" w14:textId="3CF208B9" w:rsidR="008438E5" w:rsidRPr="00E34CA4" w:rsidRDefault="00E34CA4" w:rsidP="34B4BEC1">
            <w:pPr>
              <w:jc w:val="both"/>
              <w:rPr>
                <w:rFonts w:ascii="Arial" w:hAnsi="Arial"/>
                <w:sz w:val="20"/>
                <w:szCs w:val="20"/>
                <w:lang w:val="en-GB"/>
              </w:rPr>
            </w:pPr>
            <w:r w:rsidRPr="00E34CA4">
              <w:rPr>
                <w:rFonts w:ascii="Arial" w:hAnsi="Arial"/>
                <w:sz w:val="20"/>
                <w:szCs w:val="20"/>
                <w:lang w:val="en-GB"/>
              </w:rPr>
              <w:t>Legal entity</w:t>
            </w:r>
            <w:r w:rsidR="0CB1BB62" w:rsidRPr="00E34CA4">
              <w:rPr>
                <w:rFonts w:ascii="Arial" w:hAnsi="Arial"/>
                <w:sz w:val="20"/>
                <w:szCs w:val="20"/>
                <w:lang w:val="en-GB"/>
              </w:rPr>
              <w:t xml:space="preserve"> </w:t>
            </w:r>
            <w:r w:rsidR="00DA101F">
              <w:rPr>
                <w:rFonts w:ascii="Arial" w:hAnsi="Arial"/>
                <w:sz w:val="20"/>
                <w:szCs w:val="20"/>
                <w:lang w:val="en-GB"/>
              </w:rPr>
              <w:t>who owns the</w:t>
            </w:r>
            <w:r>
              <w:rPr>
                <w:rFonts w:ascii="Arial" w:hAnsi="Arial"/>
                <w:sz w:val="20"/>
                <w:szCs w:val="20"/>
                <w:lang w:val="en-GB"/>
              </w:rPr>
              <w:t xml:space="preserve"> installation </w:t>
            </w:r>
            <w:r w:rsidR="00DA101F">
              <w:rPr>
                <w:rFonts w:ascii="Arial" w:hAnsi="Arial"/>
                <w:sz w:val="20"/>
                <w:szCs w:val="20"/>
                <w:lang w:val="en-GB"/>
              </w:rPr>
              <w:t xml:space="preserve">where services </w:t>
            </w:r>
            <w:r w:rsidR="00EB43B6">
              <w:rPr>
                <w:rFonts w:ascii="Arial" w:hAnsi="Arial"/>
                <w:sz w:val="20"/>
                <w:szCs w:val="20"/>
                <w:lang w:val="en-GB"/>
              </w:rPr>
              <w:t xml:space="preserve">covered by this agreement </w:t>
            </w:r>
            <w:r w:rsidR="00DA101F">
              <w:rPr>
                <w:rFonts w:ascii="Arial" w:hAnsi="Arial"/>
                <w:sz w:val="20"/>
                <w:szCs w:val="20"/>
                <w:lang w:val="en-GB"/>
              </w:rPr>
              <w:t>shall be implemented</w:t>
            </w:r>
            <w:r w:rsidR="00321237">
              <w:rPr>
                <w:rFonts w:ascii="Arial" w:hAnsi="Arial"/>
                <w:sz w:val="20"/>
                <w:szCs w:val="20"/>
                <w:lang w:val="en-GB"/>
              </w:rPr>
              <w:t xml:space="preserve"> </w:t>
            </w:r>
            <w:r w:rsidR="00EB43B6">
              <w:rPr>
                <w:rFonts w:ascii="Arial" w:hAnsi="Arial"/>
                <w:sz w:val="20"/>
                <w:szCs w:val="20"/>
                <w:lang w:val="en-GB"/>
              </w:rPr>
              <w:t xml:space="preserve">for </w:t>
            </w:r>
            <w:r w:rsidR="0CB1BB62" w:rsidRPr="00E34CA4">
              <w:rPr>
                <w:rFonts w:ascii="Arial" w:hAnsi="Arial"/>
                <w:sz w:val="20"/>
                <w:szCs w:val="20"/>
                <w:lang w:val="en-GB"/>
              </w:rPr>
              <w:t>Users within the framework of the canSERV project.</w:t>
            </w:r>
          </w:p>
        </w:tc>
      </w:tr>
      <w:tr w:rsidR="002E212E" w:rsidRPr="002E212E" w14:paraId="6F0FAC6A" w14:textId="77777777" w:rsidTr="006976EB">
        <w:tc>
          <w:tcPr>
            <w:tcW w:w="2356" w:type="dxa"/>
          </w:tcPr>
          <w:p w14:paraId="17EABA22" w14:textId="77777777" w:rsidR="00804C1C" w:rsidRPr="008B61A7" w:rsidRDefault="00804C1C" w:rsidP="34B4BEC1">
            <w:pPr>
              <w:jc w:val="both"/>
              <w:rPr>
                <w:rFonts w:ascii="Arial" w:hAnsi="Arial"/>
                <w:b/>
                <w:bCs/>
                <w:sz w:val="20"/>
                <w:szCs w:val="20"/>
                <w:lang w:val="en-GB"/>
              </w:rPr>
            </w:pPr>
          </w:p>
        </w:tc>
        <w:tc>
          <w:tcPr>
            <w:tcW w:w="6716" w:type="dxa"/>
          </w:tcPr>
          <w:p w14:paraId="22F368FE" w14:textId="77777777" w:rsidR="00804C1C" w:rsidRPr="008B61A7" w:rsidRDefault="00804C1C" w:rsidP="34B4BEC1">
            <w:pPr>
              <w:jc w:val="both"/>
              <w:rPr>
                <w:rFonts w:ascii="Arial" w:hAnsi="Arial"/>
                <w:sz w:val="20"/>
                <w:szCs w:val="20"/>
                <w:lang w:val="en-GB"/>
              </w:rPr>
            </w:pPr>
          </w:p>
        </w:tc>
      </w:tr>
      <w:tr w:rsidR="002E212E" w:rsidRPr="002E212E" w14:paraId="1A0776C4" w14:textId="77777777" w:rsidTr="006976EB">
        <w:tc>
          <w:tcPr>
            <w:tcW w:w="2356" w:type="dxa"/>
          </w:tcPr>
          <w:p w14:paraId="52A5E850" w14:textId="75B93775" w:rsidR="008438E5" w:rsidRPr="008B61A7" w:rsidRDefault="008438E5" w:rsidP="34B4BEC1">
            <w:pPr>
              <w:jc w:val="both"/>
              <w:rPr>
                <w:rFonts w:ascii="Arial" w:hAnsi="Arial"/>
                <w:sz w:val="20"/>
                <w:szCs w:val="20"/>
                <w:lang w:val="en-GB"/>
              </w:rPr>
            </w:pPr>
            <w:r w:rsidRPr="34B4BEC1">
              <w:rPr>
                <w:rFonts w:ascii="Arial" w:hAnsi="Arial"/>
                <w:b/>
                <w:bCs/>
                <w:sz w:val="20"/>
                <w:szCs w:val="20"/>
                <w:lang w:val="en-GB"/>
              </w:rPr>
              <w:t xml:space="preserve">Trans-National Access </w:t>
            </w:r>
            <w:r w:rsidRPr="34B4BEC1">
              <w:rPr>
                <w:rFonts w:ascii="Arial" w:hAnsi="Arial"/>
                <w:sz w:val="20"/>
                <w:szCs w:val="20"/>
                <w:lang w:val="en-GB"/>
              </w:rPr>
              <w:t>or</w:t>
            </w:r>
            <w:r w:rsidRPr="34B4BEC1">
              <w:rPr>
                <w:rFonts w:ascii="Arial" w:hAnsi="Arial"/>
                <w:b/>
                <w:bCs/>
                <w:sz w:val="20"/>
                <w:szCs w:val="20"/>
                <w:lang w:val="en-GB"/>
              </w:rPr>
              <w:t xml:space="preserve"> TNA</w:t>
            </w:r>
          </w:p>
        </w:tc>
        <w:tc>
          <w:tcPr>
            <w:tcW w:w="6716" w:type="dxa"/>
          </w:tcPr>
          <w:p w14:paraId="0B41EEC2" w14:textId="522CE152" w:rsidR="008438E5" w:rsidRDefault="008438E5" w:rsidP="34B4BEC1">
            <w:pPr>
              <w:jc w:val="both"/>
              <w:rPr>
                <w:rFonts w:ascii="Arial" w:hAnsi="Arial"/>
                <w:sz w:val="20"/>
                <w:szCs w:val="20"/>
                <w:lang w:val="en-GB"/>
              </w:rPr>
            </w:pPr>
            <w:r w:rsidRPr="34B4BEC1">
              <w:rPr>
                <w:rFonts w:ascii="Arial" w:hAnsi="Arial"/>
                <w:sz w:val="20"/>
                <w:szCs w:val="20"/>
                <w:lang w:val="en-GB"/>
              </w:rPr>
              <w:t xml:space="preserve">The access to services </w:t>
            </w:r>
            <w:r w:rsidR="00EB43B6">
              <w:rPr>
                <w:rFonts w:ascii="Arial" w:hAnsi="Arial"/>
                <w:sz w:val="20"/>
                <w:szCs w:val="20"/>
                <w:lang w:val="en-GB"/>
              </w:rPr>
              <w:t xml:space="preserve">provided </w:t>
            </w:r>
            <w:r w:rsidRPr="34B4BEC1">
              <w:rPr>
                <w:rFonts w:ascii="Arial" w:hAnsi="Arial"/>
                <w:sz w:val="20"/>
                <w:szCs w:val="20"/>
                <w:lang w:val="en-GB"/>
              </w:rPr>
              <w:t xml:space="preserve">by Service Providers to </w:t>
            </w:r>
            <w:r w:rsidR="00804C1C" w:rsidRPr="34B4BEC1">
              <w:rPr>
                <w:rFonts w:ascii="Arial" w:hAnsi="Arial"/>
                <w:sz w:val="20"/>
                <w:szCs w:val="20"/>
                <w:lang w:val="en-GB"/>
              </w:rPr>
              <w:t>U</w:t>
            </w:r>
            <w:r w:rsidRPr="34B4BEC1">
              <w:rPr>
                <w:rFonts w:ascii="Arial" w:hAnsi="Arial"/>
                <w:sz w:val="20"/>
                <w:szCs w:val="20"/>
                <w:lang w:val="en-GB"/>
              </w:rPr>
              <w:t>sers following TNA application process as outlined in the Grant Agreement</w:t>
            </w:r>
            <w:r w:rsidR="00313BF8">
              <w:rPr>
                <w:rFonts w:ascii="Arial" w:hAnsi="Arial"/>
                <w:sz w:val="20"/>
                <w:szCs w:val="20"/>
                <w:lang w:val="en-GB"/>
              </w:rPr>
              <w:t xml:space="preserve"> ID</w:t>
            </w:r>
            <w:r w:rsidR="00680E1D">
              <w:rPr>
                <w:rFonts w:ascii="Arial" w:hAnsi="Arial"/>
                <w:sz w:val="20"/>
                <w:szCs w:val="20"/>
                <w:lang w:val="en-GB"/>
              </w:rPr>
              <w:t xml:space="preserve">: </w:t>
            </w:r>
            <w:r w:rsidR="00313BF8">
              <w:rPr>
                <w:rFonts w:ascii="Arial" w:hAnsi="Arial"/>
                <w:sz w:val="20"/>
                <w:szCs w:val="20"/>
                <w:lang w:val="en-GB"/>
              </w:rPr>
              <w:t>101058620</w:t>
            </w:r>
            <w:r w:rsidRPr="34B4BEC1">
              <w:rPr>
                <w:rFonts w:ascii="Arial" w:hAnsi="Arial"/>
                <w:sz w:val="20"/>
                <w:szCs w:val="20"/>
                <w:lang w:val="en-GB"/>
              </w:rPr>
              <w:t>, upon the conditions as determined by the Service</w:t>
            </w:r>
            <w:r w:rsidR="00804C1C" w:rsidRPr="34B4BEC1">
              <w:rPr>
                <w:rFonts w:ascii="Arial" w:hAnsi="Arial"/>
                <w:sz w:val="20"/>
                <w:szCs w:val="20"/>
                <w:lang w:val="en-GB"/>
              </w:rPr>
              <w:t xml:space="preserve"> </w:t>
            </w:r>
            <w:r w:rsidRPr="34B4BEC1">
              <w:rPr>
                <w:rFonts w:ascii="Arial" w:hAnsi="Arial"/>
                <w:sz w:val="20"/>
                <w:szCs w:val="20"/>
                <w:lang w:val="en-GB"/>
              </w:rPr>
              <w:t>Provider(s) in accordance with the European Charter of Access for Research Infrastructures</w:t>
            </w:r>
            <w:r w:rsidR="002E212E" w:rsidRPr="34B4BEC1">
              <w:rPr>
                <w:lang w:val="en-GB"/>
              </w:rPr>
              <w:footnoteReference w:id="2"/>
            </w:r>
            <w:r w:rsidRPr="34B4BEC1">
              <w:rPr>
                <w:rFonts w:ascii="Arial" w:hAnsi="Arial"/>
                <w:sz w:val="20"/>
                <w:szCs w:val="20"/>
                <w:lang w:val="en-GB"/>
              </w:rPr>
              <w:t>, subject to the relevant terms and conditions as set out in the Consortium Agreement and the Grant Agreement.</w:t>
            </w:r>
          </w:p>
          <w:p w14:paraId="41CE14F9" w14:textId="53BAA5A7" w:rsidR="00551E3D" w:rsidRPr="008B61A7" w:rsidRDefault="00551E3D" w:rsidP="34B4BEC1">
            <w:pPr>
              <w:jc w:val="both"/>
              <w:rPr>
                <w:rFonts w:ascii="Arial" w:hAnsi="Arial"/>
                <w:sz w:val="20"/>
                <w:szCs w:val="20"/>
                <w:lang w:val="en-GB"/>
              </w:rPr>
            </w:pPr>
          </w:p>
        </w:tc>
      </w:tr>
      <w:tr w:rsidR="002E212E" w:rsidRPr="002E212E" w14:paraId="2AA3E972" w14:textId="77777777" w:rsidTr="006976EB">
        <w:tc>
          <w:tcPr>
            <w:tcW w:w="2356" w:type="dxa"/>
          </w:tcPr>
          <w:p w14:paraId="73E74E7F" w14:textId="140457E3" w:rsidR="00804C1C" w:rsidRPr="008B61A7" w:rsidRDefault="00551E3D" w:rsidP="34B4BEC1">
            <w:pPr>
              <w:jc w:val="both"/>
              <w:rPr>
                <w:rFonts w:ascii="Arial" w:hAnsi="Arial"/>
                <w:b/>
                <w:bCs/>
                <w:sz w:val="20"/>
                <w:szCs w:val="20"/>
                <w:lang w:val="en-GB"/>
              </w:rPr>
            </w:pPr>
            <w:r>
              <w:rPr>
                <w:rFonts w:ascii="Arial" w:hAnsi="Arial"/>
                <w:b/>
                <w:bCs/>
                <w:sz w:val="20"/>
                <w:szCs w:val="20"/>
                <w:lang w:val="en-GB"/>
              </w:rPr>
              <w:t xml:space="preserve">TNA </w:t>
            </w:r>
            <w:r w:rsidR="003A4BAF">
              <w:rPr>
                <w:rFonts w:ascii="Arial" w:hAnsi="Arial"/>
                <w:b/>
                <w:bCs/>
                <w:sz w:val="20"/>
                <w:szCs w:val="20"/>
                <w:lang w:val="en-GB"/>
              </w:rPr>
              <w:t>B</w:t>
            </w:r>
            <w:r>
              <w:rPr>
                <w:rFonts w:ascii="Arial" w:hAnsi="Arial"/>
                <w:b/>
                <w:bCs/>
                <w:sz w:val="20"/>
                <w:szCs w:val="20"/>
                <w:lang w:val="en-GB"/>
              </w:rPr>
              <w:t xml:space="preserve">udget </w:t>
            </w:r>
            <w:r w:rsidR="004E2CF8">
              <w:rPr>
                <w:rFonts w:ascii="Arial" w:hAnsi="Arial"/>
                <w:b/>
                <w:bCs/>
                <w:sz w:val="20"/>
                <w:szCs w:val="20"/>
                <w:lang w:val="en-GB"/>
              </w:rPr>
              <w:t>H</w:t>
            </w:r>
            <w:r>
              <w:rPr>
                <w:rFonts w:ascii="Arial" w:hAnsi="Arial"/>
                <w:b/>
                <w:bCs/>
                <w:sz w:val="20"/>
                <w:szCs w:val="20"/>
                <w:lang w:val="en-GB"/>
              </w:rPr>
              <w:t xml:space="preserve">older </w:t>
            </w:r>
          </w:p>
        </w:tc>
        <w:tc>
          <w:tcPr>
            <w:tcW w:w="6716" w:type="dxa"/>
          </w:tcPr>
          <w:p w14:paraId="0BBB471D" w14:textId="1586142B" w:rsidR="00804C1C" w:rsidRPr="00551E3D" w:rsidRDefault="004E2CF8" w:rsidP="34B4BEC1">
            <w:pPr>
              <w:jc w:val="both"/>
              <w:rPr>
                <w:rFonts w:ascii="Arial" w:hAnsi="Arial"/>
                <w:sz w:val="20"/>
                <w:szCs w:val="20"/>
                <w:lang w:val="en-GB"/>
              </w:rPr>
            </w:pPr>
            <w:r>
              <w:rPr>
                <w:rFonts w:ascii="Arial" w:hAnsi="Arial"/>
                <w:sz w:val="20"/>
                <w:szCs w:val="20"/>
                <w:lang w:val="en-GB"/>
              </w:rPr>
              <w:t>Legal entit</w:t>
            </w:r>
            <w:r w:rsidR="003400E7">
              <w:rPr>
                <w:rFonts w:ascii="Arial" w:hAnsi="Arial"/>
                <w:sz w:val="20"/>
                <w:szCs w:val="20"/>
                <w:lang w:val="en-GB"/>
              </w:rPr>
              <w:t xml:space="preserve">y </w:t>
            </w:r>
            <w:r w:rsidR="00EE6002">
              <w:rPr>
                <w:rFonts w:ascii="Arial" w:hAnsi="Arial"/>
                <w:sz w:val="20"/>
                <w:szCs w:val="20"/>
                <w:lang w:val="en-GB"/>
              </w:rPr>
              <w:t xml:space="preserve">that as </w:t>
            </w:r>
            <w:r w:rsidR="00714CE4">
              <w:rPr>
                <w:rFonts w:ascii="Arial" w:hAnsi="Arial"/>
                <w:sz w:val="20"/>
                <w:szCs w:val="20"/>
                <w:lang w:val="en-GB"/>
              </w:rPr>
              <w:t xml:space="preserve">Beneficiary </w:t>
            </w:r>
            <w:r w:rsidR="00EE6002">
              <w:rPr>
                <w:rFonts w:ascii="Arial" w:hAnsi="Arial"/>
                <w:sz w:val="20"/>
                <w:szCs w:val="20"/>
                <w:lang w:val="en-GB"/>
              </w:rPr>
              <w:t xml:space="preserve">of the </w:t>
            </w:r>
            <w:r w:rsidR="00915DA3">
              <w:rPr>
                <w:rFonts w:ascii="Arial" w:hAnsi="Arial"/>
                <w:sz w:val="20"/>
                <w:szCs w:val="20"/>
                <w:lang w:val="en-GB"/>
              </w:rPr>
              <w:t>G</w:t>
            </w:r>
            <w:r w:rsidR="00EE6002">
              <w:rPr>
                <w:rFonts w:ascii="Arial" w:hAnsi="Arial"/>
                <w:sz w:val="20"/>
                <w:szCs w:val="20"/>
                <w:lang w:val="en-GB"/>
              </w:rPr>
              <w:t xml:space="preserve">rant </w:t>
            </w:r>
            <w:r w:rsidR="00915DA3">
              <w:rPr>
                <w:rFonts w:ascii="Arial" w:hAnsi="Arial"/>
                <w:sz w:val="20"/>
                <w:szCs w:val="20"/>
                <w:lang w:val="en-GB"/>
              </w:rPr>
              <w:t>A</w:t>
            </w:r>
            <w:r w:rsidR="00EE6002">
              <w:rPr>
                <w:rFonts w:ascii="Arial" w:hAnsi="Arial"/>
                <w:sz w:val="20"/>
                <w:szCs w:val="20"/>
                <w:lang w:val="en-GB"/>
              </w:rPr>
              <w:t xml:space="preserve">greement </w:t>
            </w:r>
            <w:r w:rsidR="003A4BAF">
              <w:rPr>
                <w:rFonts w:ascii="Arial" w:hAnsi="Arial"/>
                <w:sz w:val="20"/>
                <w:szCs w:val="20"/>
                <w:lang w:val="en-GB"/>
              </w:rPr>
              <w:t xml:space="preserve">is </w:t>
            </w:r>
            <w:r w:rsidR="00551E3D" w:rsidRPr="00551E3D">
              <w:rPr>
                <w:rFonts w:ascii="Arial" w:hAnsi="Arial"/>
                <w:sz w:val="20"/>
                <w:szCs w:val="20"/>
                <w:lang w:val="en-GB"/>
              </w:rPr>
              <w:t>responsible for managing and allocating financial resources</w:t>
            </w:r>
            <w:r w:rsidR="00EE6002">
              <w:rPr>
                <w:rFonts w:ascii="Arial" w:hAnsi="Arial"/>
                <w:sz w:val="20"/>
                <w:szCs w:val="20"/>
                <w:lang w:val="en-GB"/>
              </w:rPr>
              <w:t xml:space="preserve"> to enable conduct of user projects at a service provider’s research infrastructure installation</w:t>
            </w:r>
            <w:r w:rsidR="00551E3D" w:rsidRPr="00551E3D">
              <w:rPr>
                <w:rFonts w:ascii="Arial" w:hAnsi="Arial"/>
                <w:sz w:val="20"/>
                <w:szCs w:val="20"/>
                <w:lang w:val="en-GB"/>
              </w:rPr>
              <w:t xml:space="preserve"> </w:t>
            </w:r>
            <w:r w:rsidR="00EE6002">
              <w:rPr>
                <w:rFonts w:ascii="Arial" w:hAnsi="Arial"/>
                <w:sz w:val="20"/>
                <w:szCs w:val="20"/>
                <w:lang w:val="en-GB"/>
              </w:rPr>
              <w:t xml:space="preserve">in execution of the </w:t>
            </w:r>
            <w:r w:rsidR="00551E3D" w:rsidRPr="00551E3D">
              <w:rPr>
                <w:rFonts w:ascii="Arial" w:hAnsi="Arial"/>
                <w:sz w:val="20"/>
                <w:szCs w:val="20"/>
                <w:lang w:val="en-GB"/>
              </w:rPr>
              <w:t>TNA programme</w:t>
            </w:r>
            <w:r>
              <w:rPr>
                <w:rFonts w:ascii="Arial" w:hAnsi="Arial"/>
                <w:sz w:val="20"/>
                <w:szCs w:val="20"/>
                <w:lang w:val="en-GB"/>
              </w:rPr>
              <w:t xml:space="preserve"> </w:t>
            </w:r>
            <w:r w:rsidR="00EE6002">
              <w:rPr>
                <w:rFonts w:ascii="Arial" w:hAnsi="Arial"/>
                <w:sz w:val="20"/>
                <w:szCs w:val="20"/>
                <w:lang w:val="en-GB"/>
              </w:rPr>
              <w:t xml:space="preserve">under </w:t>
            </w:r>
            <w:r w:rsidR="00714CE4">
              <w:rPr>
                <w:rFonts w:ascii="Arial" w:hAnsi="Arial"/>
                <w:sz w:val="20"/>
                <w:szCs w:val="20"/>
                <w:lang w:val="en-GB"/>
              </w:rPr>
              <w:t xml:space="preserve">the </w:t>
            </w:r>
            <w:r w:rsidRPr="004E2CF8">
              <w:rPr>
                <w:rFonts w:ascii="Arial" w:hAnsi="Arial"/>
                <w:sz w:val="20"/>
                <w:szCs w:val="20"/>
                <w:lang w:val="en-GB"/>
              </w:rPr>
              <w:t>Grant Agreement</w:t>
            </w:r>
            <w:r>
              <w:rPr>
                <w:rFonts w:ascii="Arial" w:hAnsi="Arial"/>
                <w:sz w:val="20"/>
                <w:szCs w:val="20"/>
                <w:lang w:val="en-GB"/>
              </w:rPr>
              <w:t>.</w:t>
            </w:r>
          </w:p>
        </w:tc>
      </w:tr>
      <w:tr w:rsidR="00551E3D" w:rsidRPr="002E212E" w14:paraId="662C3C01" w14:textId="77777777" w:rsidTr="006976EB">
        <w:tc>
          <w:tcPr>
            <w:tcW w:w="2356" w:type="dxa"/>
          </w:tcPr>
          <w:p w14:paraId="1C2010F0" w14:textId="77777777" w:rsidR="00551E3D" w:rsidRDefault="00551E3D" w:rsidP="34B4BEC1">
            <w:pPr>
              <w:jc w:val="both"/>
              <w:rPr>
                <w:rFonts w:ascii="Arial" w:hAnsi="Arial"/>
                <w:b/>
                <w:bCs/>
                <w:sz w:val="20"/>
                <w:szCs w:val="20"/>
                <w:lang w:val="en-GB"/>
              </w:rPr>
            </w:pPr>
          </w:p>
        </w:tc>
        <w:tc>
          <w:tcPr>
            <w:tcW w:w="6716" w:type="dxa"/>
          </w:tcPr>
          <w:p w14:paraId="15367B7E" w14:textId="77777777" w:rsidR="00551E3D" w:rsidRPr="008B61A7" w:rsidRDefault="00551E3D" w:rsidP="34B4BEC1">
            <w:pPr>
              <w:jc w:val="both"/>
              <w:rPr>
                <w:rFonts w:ascii="Arial" w:hAnsi="Arial"/>
                <w:sz w:val="20"/>
                <w:szCs w:val="20"/>
                <w:lang w:val="en-GB"/>
              </w:rPr>
            </w:pPr>
          </w:p>
        </w:tc>
      </w:tr>
      <w:tr w:rsidR="002E212E" w:rsidRPr="002E212E" w14:paraId="13D12A00" w14:textId="77777777" w:rsidTr="006976EB">
        <w:tc>
          <w:tcPr>
            <w:tcW w:w="2356" w:type="dxa"/>
          </w:tcPr>
          <w:p w14:paraId="2B63FCAB" w14:textId="407439AE" w:rsidR="008438E5" w:rsidRPr="008B61A7" w:rsidRDefault="008438E5" w:rsidP="34B4BEC1">
            <w:pPr>
              <w:jc w:val="both"/>
              <w:rPr>
                <w:rFonts w:ascii="Arial" w:hAnsi="Arial"/>
                <w:b/>
                <w:bCs/>
                <w:sz w:val="20"/>
                <w:szCs w:val="20"/>
                <w:lang w:val="en-GB"/>
              </w:rPr>
            </w:pPr>
            <w:r w:rsidRPr="34B4BEC1">
              <w:rPr>
                <w:rFonts w:ascii="Arial" w:hAnsi="Arial"/>
                <w:b/>
                <w:bCs/>
                <w:sz w:val="20"/>
                <w:szCs w:val="20"/>
                <w:lang w:val="en-GB"/>
              </w:rPr>
              <w:t>User</w:t>
            </w:r>
          </w:p>
        </w:tc>
        <w:tc>
          <w:tcPr>
            <w:tcW w:w="6716" w:type="dxa"/>
          </w:tcPr>
          <w:p w14:paraId="35E10031" w14:textId="1C5E5794" w:rsidR="008438E5" w:rsidRPr="008B61A7" w:rsidRDefault="008438E5" w:rsidP="34B4BEC1">
            <w:pPr>
              <w:jc w:val="both"/>
              <w:rPr>
                <w:rFonts w:ascii="Arial" w:hAnsi="Arial"/>
                <w:sz w:val="20"/>
                <w:szCs w:val="20"/>
                <w:lang w:val="en-GB"/>
              </w:rPr>
            </w:pPr>
            <w:r w:rsidRPr="34B4BEC1">
              <w:rPr>
                <w:rFonts w:ascii="Arial" w:hAnsi="Arial"/>
                <w:sz w:val="20"/>
                <w:szCs w:val="20"/>
                <w:lang w:val="en-GB"/>
              </w:rPr>
              <w:t>Any individual or group of individuals, in academia and industry, that has access to and uses Service Provider’s services.</w:t>
            </w:r>
            <w:r w:rsidR="003A4BAF">
              <w:rPr>
                <w:rFonts w:ascii="Arial" w:hAnsi="Arial"/>
                <w:sz w:val="20"/>
                <w:szCs w:val="20"/>
                <w:lang w:val="en-GB"/>
              </w:rPr>
              <w:t xml:space="preserve"> </w:t>
            </w:r>
            <w:r w:rsidR="00994895">
              <w:rPr>
                <w:rFonts w:ascii="Arial" w:hAnsi="Arial"/>
                <w:sz w:val="20"/>
                <w:szCs w:val="20"/>
                <w:lang w:val="en-GB"/>
              </w:rPr>
              <w:t>Terms and Conditions for Users</w:t>
            </w:r>
            <w:r w:rsidR="003A4BAF" w:rsidRPr="003A4BAF">
              <w:rPr>
                <w:rFonts w:ascii="Arial" w:hAnsi="Arial"/>
                <w:sz w:val="20"/>
                <w:szCs w:val="20"/>
                <w:lang w:val="en-GB"/>
              </w:rPr>
              <w:t xml:space="preserve"> between User(s) and Service Provider</w:t>
            </w:r>
            <w:r w:rsidR="00502086">
              <w:rPr>
                <w:rFonts w:ascii="Arial" w:hAnsi="Arial"/>
                <w:sz w:val="20"/>
                <w:szCs w:val="20"/>
                <w:lang w:val="en-GB"/>
              </w:rPr>
              <w:t>(s)</w:t>
            </w:r>
            <w:r w:rsidR="003A4BAF" w:rsidRPr="003A4BAF">
              <w:rPr>
                <w:rFonts w:ascii="Arial" w:hAnsi="Arial"/>
                <w:sz w:val="20"/>
                <w:szCs w:val="20"/>
                <w:lang w:val="en-GB"/>
              </w:rPr>
              <w:t xml:space="preserve"> shall </w:t>
            </w:r>
            <w:r w:rsidR="00994895">
              <w:rPr>
                <w:rFonts w:ascii="Arial" w:hAnsi="Arial"/>
                <w:sz w:val="20"/>
                <w:szCs w:val="20"/>
                <w:lang w:val="en-GB"/>
              </w:rPr>
              <w:t xml:space="preserve">govern the relationship between User(s) and Service Provider(s). </w:t>
            </w:r>
          </w:p>
        </w:tc>
      </w:tr>
    </w:tbl>
    <w:p w14:paraId="46B7042B" w14:textId="42B3BE20" w:rsidR="003C460B" w:rsidRPr="000420C4" w:rsidRDefault="003C460B" w:rsidP="000420C4">
      <w:pPr>
        <w:jc w:val="both"/>
        <w:rPr>
          <w:rFonts w:ascii="Arial" w:hAnsi="Arial" w:cs="Arial"/>
          <w:sz w:val="20"/>
          <w:szCs w:val="20"/>
        </w:rPr>
      </w:pPr>
    </w:p>
    <w:p w14:paraId="06431D6B" w14:textId="64693998" w:rsidR="00006FFC" w:rsidRPr="006976EB" w:rsidRDefault="00006FFC" w:rsidP="006976EB">
      <w:pPr>
        <w:pStyle w:val="Odstavecseseznamem"/>
        <w:numPr>
          <w:ilvl w:val="0"/>
          <w:numId w:val="5"/>
        </w:numPr>
        <w:rPr>
          <w:rFonts w:ascii="Arial" w:hAnsi="Arial" w:cs="Arial"/>
          <w:sz w:val="20"/>
          <w:szCs w:val="20"/>
          <w:lang w:val="en-GB"/>
        </w:rPr>
      </w:pPr>
      <w:r w:rsidRPr="006976EB">
        <w:rPr>
          <w:rFonts w:ascii="Arial" w:hAnsi="Arial" w:cs="Arial"/>
          <w:b/>
          <w:bCs/>
          <w:sz w:val="20"/>
          <w:szCs w:val="20"/>
          <w:lang w:val="en-GB"/>
        </w:rPr>
        <w:t xml:space="preserve">PURPOSE OF THE </w:t>
      </w:r>
      <w:r w:rsidR="001B0D24" w:rsidRPr="006976EB">
        <w:rPr>
          <w:rFonts w:ascii="Arial" w:hAnsi="Arial" w:cs="Arial"/>
          <w:b/>
          <w:bCs/>
          <w:sz w:val="20"/>
          <w:szCs w:val="20"/>
          <w:lang w:val="en-GB"/>
        </w:rPr>
        <w:t>PURCHASE AGREEMENT</w:t>
      </w:r>
      <w:r w:rsidR="00F86507" w:rsidRPr="006976EB">
        <w:rPr>
          <w:rFonts w:ascii="Arial" w:hAnsi="Arial" w:cs="Arial"/>
          <w:sz w:val="20"/>
          <w:szCs w:val="20"/>
          <w:lang w:val="en-GB"/>
        </w:rPr>
        <w:t xml:space="preserve"> </w:t>
      </w:r>
    </w:p>
    <w:p w14:paraId="2244D06D" w14:textId="4056287E" w:rsidR="005B13AA" w:rsidRPr="00BB2F71" w:rsidRDefault="0CB1BB62" w:rsidP="5A09658B">
      <w:pPr>
        <w:jc w:val="both"/>
        <w:rPr>
          <w:rFonts w:ascii="Arial" w:hAnsi="Arial" w:cs="Arial"/>
          <w:sz w:val="20"/>
          <w:szCs w:val="20"/>
          <w:lang w:val="en-GB"/>
        </w:rPr>
      </w:pPr>
      <w:r w:rsidRPr="3C7C6C2C">
        <w:rPr>
          <w:rFonts w:ascii="Arial" w:hAnsi="Arial" w:cs="Arial"/>
          <w:sz w:val="20"/>
          <w:szCs w:val="20"/>
          <w:lang w:val="en-GB"/>
        </w:rPr>
        <w:t>The purpose of th</w:t>
      </w:r>
      <w:r w:rsidR="00BC3D45">
        <w:rPr>
          <w:rFonts w:ascii="Arial" w:hAnsi="Arial" w:cs="Arial"/>
          <w:sz w:val="20"/>
          <w:szCs w:val="20"/>
          <w:lang w:val="en-GB"/>
        </w:rPr>
        <w:t xml:space="preserve">is Purchase Agreement </w:t>
      </w:r>
      <w:r w:rsidR="7F290E8C" w:rsidRPr="3C7C6C2C">
        <w:rPr>
          <w:rFonts w:ascii="Arial" w:hAnsi="Arial" w:cs="Arial"/>
          <w:sz w:val="20"/>
          <w:szCs w:val="20"/>
          <w:lang w:val="en-GB"/>
        </w:rPr>
        <w:t>is</w:t>
      </w:r>
      <w:r w:rsidRPr="3C7C6C2C">
        <w:rPr>
          <w:rFonts w:ascii="Arial" w:hAnsi="Arial" w:cs="Arial"/>
          <w:sz w:val="20"/>
          <w:szCs w:val="20"/>
          <w:lang w:val="en-GB"/>
        </w:rPr>
        <w:t xml:space="preserve"> to define the relationship between </w:t>
      </w:r>
      <w:r w:rsidR="00D0053E" w:rsidRPr="3C7C6C2C">
        <w:rPr>
          <w:rFonts w:ascii="Arial" w:hAnsi="Arial" w:cs="Arial"/>
          <w:sz w:val="20"/>
          <w:szCs w:val="20"/>
          <w:lang w:val="en-GB"/>
        </w:rPr>
        <w:t>TNA Budget Holder</w:t>
      </w:r>
      <w:r w:rsidRPr="3C7C6C2C">
        <w:rPr>
          <w:rFonts w:ascii="Arial" w:hAnsi="Arial" w:cs="Arial"/>
          <w:sz w:val="20"/>
          <w:szCs w:val="20"/>
          <w:lang w:val="en-GB"/>
        </w:rPr>
        <w:t xml:space="preserve"> and the Service Provider. </w:t>
      </w:r>
      <w:r w:rsidR="3428F76B" w:rsidRPr="3C7C6C2C">
        <w:rPr>
          <w:rFonts w:ascii="Arial" w:hAnsi="Arial" w:cs="Arial"/>
          <w:sz w:val="20"/>
          <w:szCs w:val="20"/>
          <w:lang w:val="en-GB"/>
        </w:rPr>
        <w:t>canSERV</w:t>
      </w:r>
      <w:r w:rsidR="00AA561F" w:rsidRPr="3C7C6C2C">
        <w:rPr>
          <w:rFonts w:ascii="Arial" w:hAnsi="Arial" w:cs="Arial"/>
          <w:sz w:val="20"/>
          <w:szCs w:val="20"/>
          <w:lang w:val="en-GB"/>
        </w:rPr>
        <w:t xml:space="preserve"> </w:t>
      </w:r>
      <w:r w:rsidR="3428F76B" w:rsidRPr="3C7C6C2C">
        <w:rPr>
          <w:rFonts w:ascii="Arial" w:hAnsi="Arial" w:cs="Arial"/>
          <w:sz w:val="20"/>
          <w:szCs w:val="20"/>
          <w:lang w:val="en-GB"/>
        </w:rPr>
        <w:t xml:space="preserve">Consortium makes the services </w:t>
      </w:r>
      <w:r w:rsidR="0098F53A" w:rsidRPr="3C7C6C2C">
        <w:rPr>
          <w:rFonts w:ascii="Arial" w:hAnsi="Arial" w:cs="Arial"/>
          <w:sz w:val="20"/>
          <w:szCs w:val="20"/>
          <w:lang w:val="en-GB"/>
        </w:rPr>
        <w:t>of the Service Provider</w:t>
      </w:r>
      <w:r w:rsidR="00D0053E" w:rsidRPr="3C7C6C2C">
        <w:rPr>
          <w:rFonts w:ascii="Arial" w:hAnsi="Arial" w:cs="Arial"/>
          <w:sz w:val="20"/>
          <w:szCs w:val="20"/>
          <w:lang w:val="en-GB"/>
        </w:rPr>
        <w:t>s</w:t>
      </w:r>
      <w:r w:rsidR="0098F53A" w:rsidRPr="3C7C6C2C">
        <w:rPr>
          <w:rFonts w:ascii="Arial" w:hAnsi="Arial" w:cs="Arial"/>
          <w:sz w:val="20"/>
          <w:szCs w:val="20"/>
          <w:lang w:val="en-GB"/>
        </w:rPr>
        <w:t xml:space="preserve"> </w:t>
      </w:r>
      <w:r w:rsidR="3428F76B" w:rsidRPr="3C7C6C2C">
        <w:rPr>
          <w:rFonts w:ascii="Arial" w:hAnsi="Arial" w:cs="Arial"/>
          <w:sz w:val="20"/>
          <w:szCs w:val="20"/>
          <w:lang w:val="en-GB"/>
        </w:rPr>
        <w:t>available in the canSERV catalogue(s)</w:t>
      </w:r>
      <w:r w:rsidR="00360F68">
        <w:rPr>
          <w:rFonts w:ascii="Arial" w:hAnsi="Arial" w:cs="Arial"/>
          <w:sz w:val="20"/>
          <w:szCs w:val="20"/>
          <w:lang w:val="en-GB"/>
        </w:rPr>
        <w:t xml:space="preserve">, it invites applications by external </w:t>
      </w:r>
      <w:r w:rsidR="00BC3D45">
        <w:rPr>
          <w:rFonts w:ascii="Arial" w:hAnsi="Arial" w:cs="Arial"/>
          <w:sz w:val="20"/>
          <w:szCs w:val="20"/>
          <w:lang w:val="en-GB"/>
        </w:rPr>
        <w:t>U</w:t>
      </w:r>
      <w:r w:rsidR="00360F68">
        <w:rPr>
          <w:rFonts w:ascii="Arial" w:hAnsi="Arial" w:cs="Arial"/>
          <w:sz w:val="20"/>
          <w:szCs w:val="20"/>
          <w:lang w:val="en-GB"/>
        </w:rPr>
        <w:t>sers of these services,</w:t>
      </w:r>
      <w:r w:rsidR="3428F76B" w:rsidRPr="3C7C6C2C">
        <w:rPr>
          <w:rFonts w:ascii="Arial" w:hAnsi="Arial" w:cs="Arial"/>
          <w:sz w:val="20"/>
          <w:szCs w:val="20"/>
          <w:lang w:val="en-GB"/>
        </w:rPr>
        <w:t xml:space="preserve"> and </w:t>
      </w:r>
      <w:r w:rsidR="00360F68">
        <w:rPr>
          <w:rFonts w:ascii="Arial" w:hAnsi="Arial" w:cs="Arial"/>
          <w:sz w:val="20"/>
          <w:szCs w:val="20"/>
          <w:lang w:val="en-GB"/>
        </w:rPr>
        <w:t xml:space="preserve">it </w:t>
      </w:r>
      <w:r w:rsidR="3428F76B" w:rsidRPr="3C7C6C2C">
        <w:rPr>
          <w:rFonts w:ascii="Arial" w:hAnsi="Arial" w:cs="Arial"/>
          <w:sz w:val="20"/>
          <w:szCs w:val="20"/>
          <w:lang w:val="en-GB"/>
        </w:rPr>
        <w:t xml:space="preserve">organises the selection procedure for </w:t>
      </w:r>
      <w:r w:rsidR="00D0053E" w:rsidRPr="3C7C6C2C">
        <w:rPr>
          <w:rFonts w:ascii="Arial" w:hAnsi="Arial" w:cs="Arial"/>
          <w:sz w:val="20"/>
          <w:szCs w:val="20"/>
          <w:lang w:val="en-GB"/>
        </w:rPr>
        <w:t>U</w:t>
      </w:r>
      <w:r w:rsidR="3428F76B" w:rsidRPr="3C7C6C2C">
        <w:rPr>
          <w:rFonts w:ascii="Arial" w:hAnsi="Arial" w:cs="Arial"/>
          <w:sz w:val="20"/>
          <w:szCs w:val="20"/>
          <w:lang w:val="en-GB"/>
        </w:rPr>
        <w:t>ser</w:t>
      </w:r>
      <w:r w:rsidR="00D0053E" w:rsidRPr="3C7C6C2C">
        <w:rPr>
          <w:rFonts w:ascii="Arial" w:hAnsi="Arial" w:cs="Arial"/>
          <w:sz w:val="20"/>
          <w:szCs w:val="20"/>
          <w:lang w:val="en-GB"/>
        </w:rPr>
        <w:t>’s</w:t>
      </w:r>
      <w:r w:rsidR="3428F76B" w:rsidRPr="3C7C6C2C">
        <w:rPr>
          <w:rFonts w:ascii="Arial" w:hAnsi="Arial" w:cs="Arial"/>
          <w:sz w:val="20"/>
          <w:szCs w:val="20"/>
          <w:lang w:val="en-GB"/>
        </w:rPr>
        <w:t xml:space="preserve"> requests. </w:t>
      </w:r>
    </w:p>
    <w:p w14:paraId="76CB7E8F" w14:textId="23395407" w:rsidR="527E69DA" w:rsidRPr="00BB2F71" w:rsidRDefault="005B13AA" w:rsidP="5A09658B">
      <w:pPr>
        <w:jc w:val="both"/>
        <w:rPr>
          <w:rFonts w:ascii="Arial" w:hAnsi="Arial" w:cs="Arial"/>
          <w:sz w:val="20"/>
          <w:szCs w:val="20"/>
          <w:lang w:val="en-GB"/>
        </w:rPr>
      </w:pPr>
      <w:r w:rsidRPr="34B4BEC1">
        <w:rPr>
          <w:rFonts w:ascii="Arial" w:hAnsi="Arial" w:cs="Arial"/>
          <w:sz w:val="20"/>
          <w:szCs w:val="20"/>
          <w:lang w:val="en-GB"/>
        </w:rPr>
        <w:t>The purpose of t</w:t>
      </w:r>
      <w:r w:rsidR="007E2CFC" w:rsidRPr="34B4BEC1">
        <w:rPr>
          <w:rFonts w:ascii="Arial" w:hAnsi="Arial" w:cs="Arial"/>
          <w:sz w:val="20"/>
          <w:szCs w:val="20"/>
          <w:lang w:val="en-GB"/>
        </w:rPr>
        <w:t>he present document is</w:t>
      </w:r>
      <w:r w:rsidR="00156CF4" w:rsidRPr="34B4BEC1">
        <w:rPr>
          <w:rFonts w:ascii="Arial" w:hAnsi="Arial" w:cs="Arial"/>
          <w:sz w:val="20"/>
          <w:szCs w:val="20"/>
          <w:lang w:val="en-GB"/>
        </w:rPr>
        <w:t xml:space="preserve"> </w:t>
      </w:r>
      <w:r w:rsidR="538CFFB7" w:rsidRPr="34B4BEC1">
        <w:rPr>
          <w:rFonts w:ascii="Arial" w:hAnsi="Arial" w:cs="Arial"/>
          <w:sz w:val="20"/>
          <w:szCs w:val="20"/>
          <w:lang w:val="en-GB"/>
        </w:rPr>
        <w:t>to</w:t>
      </w:r>
      <w:r w:rsidR="64449C50" w:rsidRPr="34B4BEC1">
        <w:rPr>
          <w:rFonts w:ascii="Arial" w:hAnsi="Arial" w:cs="Arial"/>
          <w:sz w:val="20"/>
          <w:szCs w:val="20"/>
          <w:lang w:val="en-GB"/>
        </w:rPr>
        <w:t xml:space="preserve"> set forth </w:t>
      </w:r>
      <w:r w:rsidR="466EB730" w:rsidRPr="34B4BEC1">
        <w:rPr>
          <w:rFonts w:ascii="Arial" w:hAnsi="Arial" w:cs="Arial"/>
          <w:sz w:val="20"/>
          <w:szCs w:val="20"/>
          <w:lang w:val="en-GB"/>
        </w:rPr>
        <w:t xml:space="preserve">the </w:t>
      </w:r>
      <w:r w:rsidR="00360F68">
        <w:rPr>
          <w:rFonts w:ascii="Arial" w:hAnsi="Arial" w:cs="Arial"/>
          <w:sz w:val="20"/>
          <w:szCs w:val="20"/>
          <w:lang w:val="en-GB"/>
        </w:rPr>
        <w:t xml:space="preserve">financial coverage of </w:t>
      </w:r>
      <w:r w:rsidR="20E522EE" w:rsidRPr="34B4BEC1">
        <w:rPr>
          <w:rFonts w:ascii="Arial" w:hAnsi="Arial" w:cs="Arial"/>
          <w:sz w:val="20"/>
          <w:szCs w:val="20"/>
          <w:lang w:val="en-GB"/>
        </w:rPr>
        <w:t xml:space="preserve">TNA </w:t>
      </w:r>
      <w:r w:rsidR="00360F68">
        <w:rPr>
          <w:rFonts w:ascii="Arial" w:hAnsi="Arial" w:cs="Arial"/>
          <w:sz w:val="20"/>
          <w:szCs w:val="20"/>
          <w:lang w:val="en-GB"/>
        </w:rPr>
        <w:t>delivery by con</w:t>
      </w:r>
      <w:r w:rsidR="008272BD">
        <w:rPr>
          <w:rFonts w:ascii="Arial" w:hAnsi="Arial" w:cs="Arial"/>
          <w:sz w:val="20"/>
          <w:szCs w:val="20"/>
          <w:lang w:val="en-GB"/>
        </w:rPr>
        <w:t>s</w:t>
      </w:r>
      <w:r w:rsidR="00360F68">
        <w:rPr>
          <w:rFonts w:ascii="Arial" w:hAnsi="Arial" w:cs="Arial"/>
          <w:sz w:val="20"/>
          <w:szCs w:val="20"/>
          <w:lang w:val="en-GB"/>
        </w:rPr>
        <w:t>ortium</w:t>
      </w:r>
      <w:r w:rsidR="008272BD">
        <w:rPr>
          <w:rFonts w:ascii="Arial" w:hAnsi="Arial" w:cs="Arial"/>
          <w:sz w:val="20"/>
          <w:szCs w:val="20"/>
          <w:lang w:val="en-GB"/>
        </w:rPr>
        <w:t>-</w:t>
      </w:r>
      <w:r w:rsidR="00360F68">
        <w:rPr>
          <w:rFonts w:ascii="Arial" w:hAnsi="Arial" w:cs="Arial"/>
          <w:sz w:val="20"/>
          <w:szCs w:val="20"/>
          <w:lang w:val="en-GB"/>
        </w:rPr>
        <w:t>external Services Providers</w:t>
      </w:r>
      <w:r w:rsidR="20E522EE" w:rsidRPr="34B4BEC1">
        <w:rPr>
          <w:rFonts w:ascii="Arial" w:hAnsi="Arial" w:cs="Arial"/>
          <w:sz w:val="20"/>
          <w:szCs w:val="20"/>
          <w:lang w:val="en-GB"/>
        </w:rPr>
        <w:t xml:space="preserve">, including the </w:t>
      </w:r>
      <w:r w:rsidR="466EB730" w:rsidRPr="34B4BEC1">
        <w:rPr>
          <w:rFonts w:ascii="Arial" w:hAnsi="Arial" w:cs="Arial"/>
          <w:sz w:val="20"/>
          <w:szCs w:val="20"/>
          <w:lang w:val="en-GB"/>
        </w:rPr>
        <w:t>terms and conditions for reimbursement</w:t>
      </w:r>
      <w:r w:rsidR="008272BD">
        <w:rPr>
          <w:rFonts w:ascii="Arial" w:hAnsi="Arial" w:cs="Arial"/>
          <w:sz w:val="20"/>
          <w:szCs w:val="20"/>
          <w:lang w:val="en-GB"/>
        </w:rPr>
        <w:t xml:space="preserve"> to Service </w:t>
      </w:r>
      <w:r w:rsidR="00545505">
        <w:rPr>
          <w:rFonts w:ascii="Arial" w:hAnsi="Arial" w:cs="Arial"/>
          <w:sz w:val="20"/>
          <w:szCs w:val="20"/>
          <w:lang w:val="en-GB"/>
        </w:rPr>
        <w:t>P</w:t>
      </w:r>
      <w:r w:rsidR="008272BD">
        <w:rPr>
          <w:rFonts w:ascii="Arial" w:hAnsi="Arial" w:cs="Arial"/>
          <w:sz w:val="20"/>
          <w:szCs w:val="20"/>
          <w:lang w:val="en-GB"/>
        </w:rPr>
        <w:t>rovider</w:t>
      </w:r>
      <w:r w:rsidR="00545505">
        <w:rPr>
          <w:rFonts w:ascii="Arial" w:hAnsi="Arial" w:cs="Arial"/>
          <w:sz w:val="20"/>
          <w:szCs w:val="20"/>
          <w:lang w:val="en-GB"/>
        </w:rPr>
        <w:t>’</w:t>
      </w:r>
      <w:r w:rsidR="008272BD">
        <w:rPr>
          <w:rFonts w:ascii="Arial" w:hAnsi="Arial" w:cs="Arial"/>
          <w:sz w:val="20"/>
          <w:szCs w:val="20"/>
          <w:lang w:val="en-GB"/>
        </w:rPr>
        <w:t xml:space="preserve">s </w:t>
      </w:r>
      <w:r w:rsidR="00545505">
        <w:rPr>
          <w:rFonts w:ascii="Arial" w:hAnsi="Arial" w:cs="Arial"/>
          <w:sz w:val="20"/>
          <w:szCs w:val="20"/>
          <w:lang w:val="en-GB"/>
        </w:rPr>
        <w:t>TNA costs b</w:t>
      </w:r>
      <w:r w:rsidR="008272BD">
        <w:rPr>
          <w:rFonts w:ascii="Arial" w:hAnsi="Arial" w:cs="Arial"/>
          <w:sz w:val="20"/>
          <w:szCs w:val="20"/>
          <w:lang w:val="en-GB"/>
        </w:rPr>
        <w:t xml:space="preserve">y </w:t>
      </w:r>
      <w:r w:rsidR="00545505">
        <w:rPr>
          <w:rFonts w:ascii="Arial" w:hAnsi="Arial" w:cs="Arial"/>
          <w:sz w:val="20"/>
          <w:szCs w:val="20"/>
          <w:lang w:val="en-GB"/>
        </w:rPr>
        <w:t xml:space="preserve">respective </w:t>
      </w:r>
      <w:r w:rsidR="008272BD">
        <w:rPr>
          <w:rFonts w:ascii="Arial" w:hAnsi="Arial" w:cs="Arial"/>
          <w:sz w:val="20"/>
          <w:szCs w:val="20"/>
          <w:lang w:val="en-GB"/>
        </w:rPr>
        <w:t xml:space="preserve">TNA </w:t>
      </w:r>
      <w:r w:rsidR="00426078">
        <w:rPr>
          <w:rFonts w:ascii="Arial" w:hAnsi="Arial" w:cs="Arial"/>
          <w:sz w:val="20"/>
          <w:szCs w:val="20"/>
          <w:lang w:val="en-GB"/>
        </w:rPr>
        <w:t>B</w:t>
      </w:r>
      <w:r w:rsidR="008272BD">
        <w:rPr>
          <w:rFonts w:ascii="Arial" w:hAnsi="Arial" w:cs="Arial"/>
          <w:sz w:val="20"/>
          <w:szCs w:val="20"/>
          <w:lang w:val="en-GB"/>
        </w:rPr>
        <w:t>udget</w:t>
      </w:r>
      <w:r w:rsidR="00545505">
        <w:rPr>
          <w:rFonts w:ascii="Arial" w:hAnsi="Arial" w:cs="Arial"/>
          <w:sz w:val="20"/>
          <w:szCs w:val="20"/>
          <w:lang w:val="en-GB"/>
        </w:rPr>
        <w:t xml:space="preserve"> </w:t>
      </w:r>
      <w:r w:rsidR="00426078">
        <w:rPr>
          <w:rFonts w:ascii="Arial" w:hAnsi="Arial" w:cs="Arial"/>
          <w:sz w:val="20"/>
          <w:szCs w:val="20"/>
          <w:lang w:val="en-GB"/>
        </w:rPr>
        <w:t>H</w:t>
      </w:r>
      <w:r w:rsidR="008272BD">
        <w:rPr>
          <w:rFonts w:ascii="Arial" w:hAnsi="Arial" w:cs="Arial"/>
          <w:sz w:val="20"/>
          <w:szCs w:val="20"/>
          <w:lang w:val="en-GB"/>
        </w:rPr>
        <w:t xml:space="preserve">older </w:t>
      </w:r>
      <w:r w:rsidR="00714CE4">
        <w:rPr>
          <w:rFonts w:ascii="Arial" w:hAnsi="Arial" w:cs="Arial"/>
          <w:sz w:val="20"/>
          <w:szCs w:val="20"/>
          <w:lang w:val="en-GB"/>
        </w:rPr>
        <w:t>B</w:t>
      </w:r>
      <w:r w:rsidR="008272BD">
        <w:rPr>
          <w:rFonts w:ascii="Arial" w:hAnsi="Arial" w:cs="Arial"/>
          <w:sz w:val="20"/>
          <w:szCs w:val="20"/>
          <w:lang w:val="en-GB"/>
        </w:rPr>
        <w:t>eneficiary</w:t>
      </w:r>
      <w:r w:rsidR="00502086">
        <w:rPr>
          <w:rFonts w:ascii="Arial" w:hAnsi="Arial" w:cs="Arial"/>
          <w:sz w:val="20"/>
          <w:szCs w:val="20"/>
          <w:lang w:val="en-GB"/>
        </w:rPr>
        <w:t>.</w:t>
      </w:r>
    </w:p>
    <w:p w14:paraId="7A6D09A8" w14:textId="3CFA2CDA" w:rsidR="00994927" w:rsidRPr="006976EB" w:rsidRDefault="003C460B" w:rsidP="006976EB">
      <w:pPr>
        <w:jc w:val="both"/>
        <w:rPr>
          <w:rFonts w:ascii="Arial" w:hAnsi="Arial" w:cs="Arial"/>
          <w:sz w:val="20"/>
          <w:szCs w:val="20"/>
          <w:lang w:val="en-GB"/>
        </w:rPr>
      </w:pPr>
      <w:r w:rsidRPr="006976EB">
        <w:rPr>
          <w:rFonts w:ascii="Arial" w:hAnsi="Arial" w:cs="Arial"/>
          <w:sz w:val="20"/>
          <w:szCs w:val="20"/>
          <w:lang w:val="en-GB"/>
        </w:rPr>
        <w:t>Th</w:t>
      </w:r>
      <w:r w:rsidR="001B0D24" w:rsidRPr="006976EB">
        <w:rPr>
          <w:rFonts w:ascii="Arial" w:hAnsi="Arial" w:cs="Arial"/>
          <w:sz w:val="20"/>
          <w:szCs w:val="20"/>
          <w:lang w:val="en-GB"/>
        </w:rPr>
        <w:t xml:space="preserve">is Purchase Agreement is </w:t>
      </w:r>
      <w:r w:rsidRPr="006976EB">
        <w:rPr>
          <w:rFonts w:ascii="Arial" w:hAnsi="Arial" w:cs="Arial"/>
          <w:sz w:val="20"/>
          <w:szCs w:val="20"/>
          <w:lang w:val="en-GB"/>
        </w:rPr>
        <w:t>not intended, and nothing contained herein shall be deemed to create any partnership, agency or joint venture amongst the Parties</w:t>
      </w:r>
      <w:r w:rsidR="00E05C87">
        <w:rPr>
          <w:rFonts w:ascii="Arial" w:hAnsi="Arial" w:cs="Arial"/>
          <w:sz w:val="20"/>
          <w:szCs w:val="20"/>
          <w:lang w:val="en-GB"/>
        </w:rPr>
        <w:t>.</w:t>
      </w:r>
    </w:p>
    <w:p w14:paraId="36312562" w14:textId="388BE6DD" w:rsidR="00006FFC" w:rsidRPr="006976EB" w:rsidRDefault="00006FFC" w:rsidP="006976EB">
      <w:pPr>
        <w:pStyle w:val="Odstavecseseznamem"/>
        <w:numPr>
          <w:ilvl w:val="0"/>
          <w:numId w:val="5"/>
        </w:numPr>
        <w:rPr>
          <w:rFonts w:ascii="Arial" w:hAnsi="Arial" w:cs="Arial"/>
          <w:sz w:val="20"/>
          <w:szCs w:val="20"/>
          <w:lang w:val="en-GB"/>
        </w:rPr>
      </w:pPr>
      <w:r w:rsidRPr="006976EB">
        <w:rPr>
          <w:rFonts w:ascii="Arial" w:hAnsi="Arial" w:cs="Arial"/>
          <w:b/>
          <w:bCs/>
          <w:sz w:val="20"/>
          <w:szCs w:val="20"/>
          <w:lang w:val="en-GB"/>
        </w:rPr>
        <w:t xml:space="preserve">SERVICES </w:t>
      </w:r>
      <w:r w:rsidR="00C74149" w:rsidRPr="006976EB">
        <w:rPr>
          <w:rFonts w:ascii="Arial" w:hAnsi="Arial" w:cs="Arial"/>
          <w:b/>
          <w:bCs/>
          <w:sz w:val="20"/>
          <w:szCs w:val="20"/>
          <w:lang w:val="en-GB"/>
        </w:rPr>
        <w:t xml:space="preserve">PROVIDED </w:t>
      </w:r>
      <w:r w:rsidRPr="006976EB">
        <w:rPr>
          <w:rFonts w:ascii="Arial" w:hAnsi="Arial" w:cs="Arial"/>
          <w:b/>
          <w:bCs/>
          <w:sz w:val="20"/>
          <w:szCs w:val="20"/>
          <w:lang w:val="en-GB"/>
        </w:rPr>
        <w:t xml:space="preserve">BY THE </w:t>
      </w:r>
      <w:r w:rsidR="003C460B" w:rsidRPr="006976EB">
        <w:rPr>
          <w:rFonts w:ascii="Arial" w:hAnsi="Arial" w:cs="Arial"/>
          <w:b/>
          <w:bCs/>
          <w:sz w:val="20"/>
          <w:szCs w:val="20"/>
          <w:lang w:val="en-GB"/>
        </w:rPr>
        <w:t>SERVICE</w:t>
      </w:r>
      <w:r w:rsidR="00CA0589" w:rsidRPr="006976EB">
        <w:rPr>
          <w:rFonts w:ascii="Arial" w:hAnsi="Arial" w:cs="Arial"/>
          <w:b/>
          <w:bCs/>
          <w:sz w:val="20"/>
          <w:szCs w:val="20"/>
          <w:lang w:val="en-GB"/>
        </w:rPr>
        <w:t xml:space="preserve"> PROVIDER</w:t>
      </w:r>
      <w:r w:rsidR="00CF2035" w:rsidRPr="006976EB">
        <w:rPr>
          <w:rFonts w:ascii="Arial" w:hAnsi="Arial" w:cs="Arial"/>
          <w:b/>
          <w:bCs/>
          <w:sz w:val="20"/>
          <w:szCs w:val="20"/>
          <w:lang w:val="en-GB"/>
        </w:rPr>
        <w:t xml:space="preserve"> </w:t>
      </w:r>
    </w:p>
    <w:p w14:paraId="20765770" w14:textId="4775708D" w:rsidR="005E29E4" w:rsidRDefault="270C3F62" w:rsidP="00CA242C">
      <w:pPr>
        <w:jc w:val="both"/>
        <w:rPr>
          <w:rFonts w:ascii="Arial" w:hAnsi="Arial" w:cs="Arial"/>
          <w:sz w:val="20"/>
          <w:szCs w:val="20"/>
          <w:lang w:val="en-GB"/>
        </w:rPr>
      </w:pPr>
      <w:r w:rsidRPr="1F9D3238">
        <w:rPr>
          <w:rFonts w:ascii="Arial" w:hAnsi="Arial" w:cs="Arial"/>
          <w:sz w:val="20"/>
          <w:szCs w:val="20"/>
          <w:lang w:val="en-GB"/>
        </w:rPr>
        <w:t xml:space="preserve">The types and delivery of services provided by the Service </w:t>
      </w:r>
      <w:r w:rsidR="41ABEF84" w:rsidRPr="1F9D3238">
        <w:rPr>
          <w:rFonts w:ascii="Arial" w:hAnsi="Arial" w:cs="Arial"/>
          <w:sz w:val="20"/>
          <w:szCs w:val="20"/>
          <w:lang w:val="en-GB"/>
        </w:rPr>
        <w:t>P</w:t>
      </w:r>
      <w:r w:rsidRPr="1F9D3238">
        <w:rPr>
          <w:rFonts w:ascii="Arial" w:hAnsi="Arial" w:cs="Arial"/>
          <w:sz w:val="20"/>
          <w:szCs w:val="20"/>
          <w:lang w:val="en-GB"/>
        </w:rPr>
        <w:t>rovider(s)</w:t>
      </w:r>
      <w:r w:rsidR="00617C3E" w:rsidRPr="1F9D3238">
        <w:rPr>
          <w:rFonts w:ascii="Arial" w:hAnsi="Arial" w:cs="Arial"/>
          <w:sz w:val="20"/>
          <w:szCs w:val="20"/>
          <w:lang w:val="en-GB"/>
        </w:rPr>
        <w:t>’</w:t>
      </w:r>
      <w:r w:rsidRPr="1F9D3238">
        <w:rPr>
          <w:rFonts w:ascii="Arial" w:hAnsi="Arial" w:cs="Arial"/>
          <w:sz w:val="20"/>
          <w:szCs w:val="20"/>
          <w:lang w:val="en-GB"/>
        </w:rPr>
        <w:t xml:space="preserve"> </w:t>
      </w:r>
      <w:r w:rsidR="00617C3E" w:rsidRPr="1F9D3238">
        <w:rPr>
          <w:rFonts w:ascii="Arial" w:hAnsi="Arial" w:cs="Arial"/>
          <w:sz w:val="20"/>
          <w:szCs w:val="20"/>
          <w:lang w:val="en-GB"/>
        </w:rPr>
        <w:t>installation</w:t>
      </w:r>
      <w:r w:rsidR="004D1621" w:rsidRPr="1F9D3238">
        <w:rPr>
          <w:rFonts w:ascii="Arial" w:hAnsi="Arial" w:cs="Arial"/>
          <w:sz w:val="20"/>
          <w:szCs w:val="20"/>
          <w:lang w:val="en-GB"/>
        </w:rPr>
        <w:t>(</w:t>
      </w:r>
      <w:r w:rsidR="00617C3E" w:rsidRPr="1F9D3238">
        <w:rPr>
          <w:rFonts w:ascii="Arial" w:hAnsi="Arial" w:cs="Arial"/>
          <w:sz w:val="20"/>
          <w:szCs w:val="20"/>
          <w:lang w:val="en-GB"/>
        </w:rPr>
        <w:t>s</w:t>
      </w:r>
      <w:r w:rsidR="004D1621" w:rsidRPr="1F9D3238">
        <w:rPr>
          <w:rFonts w:ascii="Arial" w:hAnsi="Arial" w:cs="Arial"/>
          <w:sz w:val="20"/>
          <w:szCs w:val="20"/>
          <w:lang w:val="en-GB"/>
        </w:rPr>
        <w:t>)</w:t>
      </w:r>
      <w:r w:rsidR="00617C3E" w:rsidRPr="1F9D3238">
        <w:rPr>
          <w:rFonts w:ascii="Arial" w:hAnsi="Arial" w:cs="Arial"/>
          <w:sz w:val="20"/>
          <w:szCs w:val="20"/>
          <w:lang w:val="en-GB"/>
        </w:rPr>
        <w:t xml:space="preserve"> </w:t>
      </w:r>
      <w:r w:rsidRPr="1F9D3238">
        <w:rPr>
          <w:rFonts w:ascii="Arial" w:hAnsi="Arial" w:cs="Arial"/>
          <w:sz w:val="20"/>
          <w:szCs w:val="20"/>
          <w:lang w:val="en-GB"/>
        </w:rPr>
        <w:t xml:space="preserve">are described under the following hyperlink: </w:t>
      </w:r>
      <w:hyperlink r:id="rId11" w:history="1">
        <w:r w:rsidR="00A41856" w:rsidRPr="00CF1EDD">
          <w:rPr>
            <w:rStyle w:val="Hypertextovodkaz"/>
            <w:rFonts w:ascii="Arial" w:hAnsi="Arial" w:cs="Arial"/>
            <w:sz w:val="20"/>
            <w:szCs w:val="20"/>
            <w:lang w:val="en-GB"/>
          </w:rPr>
          <w:t>https://www.directory.canserv.eu/</w:t>
        </w:r>
      </w:hyperlink>
      <w:r w:rsidRPr="1F9D3238">
        <w:rPr>
          <w:rFonts w:ascii="Arial" w:hAnsi="Arial" w:cs="Arial"/>
          <w:sz w:val="20"/>
          <w:szCs w:val="20"/>
          <w:lang w:val="en-GB"/>
        </w:rPr>
        <w:t xml:space="preserve"> </w:t>
      </w:r>
      <w:r w:rsidR="00994927" w:rsidRPr="1F9D3238">
        <w:rPr>
          <w:rFonts w:ascii="Arial" w:hAnsi="Arial" w:cs="Arial"/>
          <w:sz w:val="20"/>
          <w:szCs w:val="20"/>
          <w:lang w:val="en-GB"/>
        </w:rPr>
        <w:t xml:space="preserve">The list of services provided by the Service Provider is annexed to this Purchase Agreement (Annex 1 to this Purchase Agreement). </w:t>
      </w:r>
    </w:p>
    <w:p w14:paraId="11AA7925" w14:textId="6DF032B0" w:rsidR="07E9587A" w:rsidRDefault="07E9587A" w:rsidP="00CA1F5B">
      <w:pPr>
        <w:spacing w:line="257" w:lineRule="auto"/>
        <w:jc w:val="both"/>
        <w:rPr>
          <w:rFonts w:ascii="Arial" w:eastAsia="Arial" w:hAnsi="Arial" w:cs="Arial"/>
          <w:sz w:val="19"/>
          <w:szCs w:val="19"/>
          <w:lang w:val="en-GB"/>
        </w:rPr>
      </w:pPr>
      <w:r w:rsidRPr="1E4E1062">
        <w:rPr>
          <w:rFonts w:ascii="Arial" w:eastAsia="Arial" w:hAnsi="Arial" w:cs="Arial"/>
          <w:sz w:val="19"/>
          <w:szCs w:val="19"/>
          <w:lang w:val="en-GB"/>
        </w:rPr>
        <w:t xml:space="preserve">The Service Provider shall conclude an agreement with the User specifying the Service to be provided in line the description which is applicable to this </w:t>
      </w:r>
      <w:r w:rsidR="00A41856" w:rsidRPr="1E4E1062">
        <w:rPr>
          <w:rFonts w:ascii="Arial" w:eastAsia="Arial" w:hAnsi="Arial" w:cs="Arial"/>
          <w:sz w:val="19"/>
          <w:szCs w:val="19"/>
          <w:lang w:val="en-GB"/>
        </w:rPr>
        <w:t>Purchase Contract</w:t>
      </w:r>
      <w:r w:rsidRPr="1E4E1062">
        <w:rPr>
          <w:rFonts w:ascii="Arial" w:eastAsia="Arial" w:hAnsi="Arial" w:cs="Arial"/>
          <w:sz w:val="19"/>
          <w:szCs w:val="19"/>
          <w:lang w:val="en-GB"/>
        </w:rPr>
        <w:t>. Furthermore, the agreement between the Service Provider and the User must clearly specify that the TNA Budget holder provides no warranty and/or liability related to the Service.</w:t>
      </w:r>
    </w:p>
    <w:p w14:paraId="3709284D" w14:textId="58E6C5FC" w:rsidR="1E4E1062" w:rsidRDefault="1E4E1062" w:rsidP="1E4E1062">
      <w:pPr>
        <w:spacing w:line="257" w:lineRule="auto"/>
        <w:jc w:val="both"/>
        <w:rPr>
          <w:rFonts w:ascii="Arial" w:eastAsia="Arial" w:hAnsi="Arial" w:cs="Arial"/>
          <w:sz w:val="19"/>
          <w:szCs w:val="19"/>
          <w:lang w:val="en-GB"/>
        </w:rPr>
      </w:pPr>
    </w:p>
    <w:p w14:paraId="6C073F02" w14:textId="335D0CF3" w:rsidR="00CA0589" w:rsidRPr="00BB2F71" w:rsidRDefault="00CA0589" w:rsidP="34B4BEC1">
      <w:pPr>
        <w:pStyle w:val="Odstavecseseznamem"/>
        <w:numPr>
          <w:ilvl w:val="0"/>
          <w:numId w:val="5"/>
        </w:numPr>
        <w:jc w:val="both"/>
        <w:rPr>
          <w:rFonts w:ascii="Arial" w:hAnsi="Arial" w:cs="Arial"/>
          <w:sz w:val="20"/>
          <w:szCs w:val="20"/>
          <w:lang w:val="en-GB"/>
        </w:rPr>
      </w:pPr>
      <w:r w:rsidRPr="34B4BEC1">
        <w:rPr>
          <w:rFonts w:ascii="Arial" w:hAnsi="Arial" w:cs="Arial"/>
          <w:b/>
          <w:bCs/>
          <w:sz w:val="20"/>
          <w:szCs w:val="20"/>
          <w:lang w:val="en-GB"/>
        </w:rPr>
        <w:t>FINANCIAL PROVISIONS</w:t>
      </w:r>
      <w:r w:rsidR="00CF2035" w:rsidRPr="34B4BEC1">
        <w:rPr>
          <w:rFonts w:ascii="Arial" w:hAnsi="Arial" w:cs="Arial"/>
          <w:b/>
          <w:bCs/>
          <w:sz w:val="20"/>
          <w:szCs w:val="20"/>
          <w:lang w:val="en-GB"/>
        </w:rPr>
        <w:t xml:space="preserve"> </w:t>
      </w:r>
    </w:p>
    <w:p w14:paraId="2B1B21C7" w14:textId="2298E651" w:rsidR="00962CDE" w:rsidRPr="00D40D8D" w:rsidRDefault="00804C1C" w:rsidP="00962CDE">
      <w:pPr>
        <w:jc w:val="both"/>
        <w:rPr>
          <w:rFonts w:ascii="Arial" w:hAnsi="Arial" w:cs="Arial"/>
          <w:b/>
          <w:bCs/>
          <w:sz w:val="20"/>
          <w:szCs w:val="20"/>
          <w:lang w:val="en-GB"/>
        </w:rPr>
      </w:pPr>
      <w:r w:rsidRPr="34B4BEC1">
        <w:rPr>
          <w:rFonts w:ascii="Arial" w:hAnsi="Arial" w:cs="Arial"/>
          <w:b/>
          <w:bCs/>
          <w:sz w:val="20"/>
          <w:szCs w:val="20"/>
          <w:lang w:val="en-GB"/>
        </w:rPr>
        <w:t xml:space="preserve">4.1 </w:t>
      </w:r>
      <w:r w:rsidR="5117A1C2" w:rsidRPr="00D40D8D">
        <w:rPr>
          <w:rFonts w:ascii="Arial" w:hAnsi="Arial" w:cs="Arial"/>
          <w:b/>
          <w:bCs/>
          <w:sz w:val="20"/>
          <w:szCs w:val="20"/>
          <w:lang w:val="en-GB"/>
        </w:rPr>
        <w:t>Price and cost methodology</w:t>
      </w:r>
      <w:r w:rsidR="00572A7D" w:rsidRPr="00D40D8D">
        <w:rPr>
          <w:rFonts w:ascii="Arial" w:hAnsi="Arial" w:cs="Arial"/>
          <w:b/>
          <w:bCs/>
          <w:sz w:val="20"/>
          <w:szCs w:val="20"/>
          <w:lang w:val="en-GB"/>
        </w:rPr>
        <w:t>, deviations</w:t>
      </w:r>
    </w:p>
    <w:p w14:paraId="0359C848" w14:textId="15D2CFF5" w:rsidR="00753D69" w:rsidRPr="00D40D8D" w:rsidRDefault="5117A1C2" w:rsidP="5A09658B">
      <w:pPr>
        <w:jc w:val="both"/>
        <w:rPr>
          <w:rFonts w:ascii="Arial" w:hAnsi="Arial" w:cs="Arial"/>
          <w:sz w:val="20"/>
          <w:szCs w:val="20"/>
          <w:lang w:val="en-GB"/>
        </w:rPr>
      </w:pPr>
      <w:r w:rsidRPr="00D40D8D">
        <w:rPr>
          <w:rFonts w:ascii="Arial" w:hAnsi="Arial" w:cs="Arial"/>
          <w:b/>
          <w:bCs/>
          <w:sz w:val="20"/>
          <w:szCs w:val="20"/>
          <w:lang w:val="en-GB"/>
        </w:rPr>
        <w:lastRenderedPageBreak/>
        <w:t>Price</w:t>
      </w:r>
      <w:r w:rsidR="6C52961C" w:rsidRPr="00D40D8D">
        <w:rPr>
          <w:rFonts w:ascii="Arial" w:hAnsi="Arial" w:cs="Arial"/>
          <w:b/>
          <w:bCs/>
          <w:sz w:val="20"/>
          <w:szCs w:val="20"/>
          <w:lang w:val="en-GB"/>
        </w:rPr>
        <w:t xml:space="preserve"> and cost calculation</w:t>
      </w:r>
      <w:r w:rsidR="00DD3345" w:rsidRPr="00D40D8D">
        <w:rPr>
          <w:rFonts w:ascii="Arial" w:hAnsi="Arial" w:cs="Arial"/>
          <w:b/>
          <w:bCs/>
          <w:sz w:val="20"/>
          <w:szCs w:val="20"/>
          <w:lang w:val="en-GB"/>
        </w:rPr>
        <w:t xml:space="preserve"> for services</w:t>
      </w:r>
      <w:r w:rsidR="00DD3345" w:rsidRPr="00D40D8D">
        <w:rPr>
          <w:rFonts w:ascii="Arial" w:hAnsi="Arial" w:cs="Arial"/>
          <w:sz w:val="20"/>
          <w:szCs w:val="20"/>
          <w:lang w:val="en-GB"/>
        </w:rPr>
        <w:t xml:space="preserve"> provided by the Service </w:t>
      </w:r>
      <w:r w:rsidR="00FA4866" w:rsidRPr="00D40D8D">
        <w:rPr>
          <w:rFonts w:ascii="Arial" w:hAnsi="Arial" w:cs="Arial"/>
          <w:sz w:val="20"/>
          <w:szCs w:val="20"/>
          <w:lang w:val="en-GB"/>
        </w:rPr>
        <w:t>P</w:t>
      </w:r>
      <w:r w:rsidR="00DD3345" w:rsidRPr="00D40D8D">
        <w:rPr>
          <w:rFonts w:ascii="Arial" w:hAnsi="Arial" w:cs="Arial"/>
          <w:sz w:val="20"/>
          <w:szCs w:val="20"/>
          <w:lang w:val="en-GB"/>
        </w:rPr>
        <w:t xml:space="preserve">rovider </w:t>
      </w:r>
      <w:r w:rsidR="13268865" w:rsidRPr="00D40D8D">
        <w:rPr>
          <w:rFonts w:ascii="Arial" w:hAnsi="Arial" w:cs="Arial"/>
          <w:b/>
          <w:bCs/>
          <w:sz w:val="20"/>
          <w:szCs w:val="20"/>
          <w:lang w:val="en-GB"/>
        </w:rPr>
        <w:t>is</w:t>
      </w:r>
      <w:r w:rsidR="00DD3345" w:rsidRPr="00D40D8D">
        <w:rPr>
          <w:rFonts w:ascii="Arial" w:hAnsi="Arial" w:cs="Arial"/>
          <w:b/>
          <w:bCs/>
          <w:sz w:val="20"/>
          <w:szCs w:val="20"/>
          <w:lang w:val="en-GB"/>
        </w:rPr>
        <w:t xml:space="preserve"> </w:t>
      </w:r>
      <w:r w:rsidR="00E81BDB" w:rsidRPr="00D40D8D">
        <w:rPr>
          <w:rFonts w:ascii="Arial" w:hAnsi="Arial" w:cs="Arial"/>
          <w:b/>
          <w:bCs/>
          <w:sz w:val="20"/>
          <w:szCs w:val="20"/>
          <w:lang w:val="en-GB"/>
        </w:rPr>
        <w:t xml:space="preserve">described </w:t>
      </w:r>
      <w:r w:rsidR="008B61A7" w:rsidRPr="00D40D8D">
        <w:rPr>
          <w:rFonts w:ascii="Arial" w:hAnsi="Arial" w:cs="Arial"/>
          <w:b/>
          <w:bCs/>
          <w:sz w:val="20"/>
          <w:szCs w:val="20"/>
          <w:lang w:val="en-GB"/>
        </w:rPr>
        <w:t xml:space="preserve">as </w:t>
      </w:r>
      <w:r w:rsidR="00E81BDB" w:rsidRPr="002900C9">
        <w:rPr>
          <w:rFonts w:ascii="Arial" w:hAnsi="Arial" w:cs="Arial"/>
          <w:b/>
          <w:bCs/>
          <w:sz w:val="20"/>
          <w:szCs w:val="20"/>
          <w:lang w:val="en-GB"/>
        </w:rPr>
        <w:t xml:space="preserve">Annex </w:t>
      </w:r>
      <w:r w:rsidR="00994927">
        <w:rPr>
          <w:rFonts w:ascii="Arial" w:hAnsi="Arial" w:cs="Arial"/>
          <w:b/>
          <w:bCs/>
          <w:sz w:val="20"/>
          <w:szCs w:val="20"/>
          <w:lang w:val="en-GB"/>
        </w:rPr>
        <w:t>2</w:t>
      </w:r>
      <w:r w:rsidR="005A5513" w:rsidRPr="00D40D8D">
        <w:rPr>
          <w:rFonts w:ascii="Arial" w:hAnsi="Arial" w:cs="Arial"/>
          <w:b/>
          <w:bCs/>
          <w:sz w:val="20"/>
          <w:szCs w:val="20"/>
          <w:lang w:val="en-GB"/>
        </w:rPr>
        <w:t xml:space="preserve"> </w:t>
      </w:r>
      <w:r w:rsidR="00E81BDB" w:rsidRPr="00D40D8D">
        <w:rPr>
          <w:rFonts w:ascii="Arial" w:hAnsi="Arial" w:cs="Arial"/>
          <w:b/>
          <w:bCs/>
          <w:sz w:val="20"/>
          <w:szCs w:val="20"/>
          <w:lang w:val="en-GB"/>
        </w:rPr>
        <w:t>to this</w:t>
      </w:r>
      <w:r w:rsidR="00A259D2" w:rsidRPr="00D40D8D">
        <w:rPr>
          <w:rFonts w:ascii="Arial" w:hAnsi="Arial" w:cs="Arial"/>
          <w:b/>
          <w:bCs/>
          <w:sz w:val="20"/>
          <w:szCs w:val="20"/>
          <w:lang w:val="en-GB"/>
        </w:rPr>
        <w:t xml:space="preserve"> Agreement</w:t>
      </w:r>
      <w:r w:rsidR="00AA154B" w:rsidRPr="00D40D8D">
        <w:rPr>
          <w:rFonts w:ascii="Arial" w:hAnsi="Arial" w:cs="Arial"/>
          <w:b/>
          <w:bCs/>
          <w:sz w:val="20"/>
          <w:szCs w:val="20"/>
          <w:lang w:val="en-GB"/>
        </w:rPr>
        <w:t xml:space="preserve">. </w:t>
      </w:r>
    </w:p>
    <w:p w14:paraId="36AB776D" w14:textId="1C6C0C75" w:rsidR="00572A7D" w:rsidRPr="00D40D8D" w:rsidRDefault="42F455F0" w:rsidP="00D40D8D">
      <w:pPr>
        <w:jc w:val="both"/>
        <w:rPr>
          <w:rFonts w:ascii="Arial" w:hAnsi="Arial" w:cs="Arial"/>
          <w:sz w:val="20"/>
          <w:szCs w:val="20"/>
          <w:lang w:val="en-GB"/>
        </w:rPr>
      </w:pPr>
      <w:r w:rsidRPr="00D40D8D">
        <w:rPr>
          <w:rFonts w:ascii="Arial" w:hAnsi="Arial" w:cs="Arial"/>
          <w:sz w:val="20"/>
          <w:szCs w:val="20"/>
          <w:lang w:val="en-GB"/>
        </w:rPr>
        <w:t>For the cost calculations,</w:t>
      </w:r>
      <w:r w:rsidR="5D827E13" w:rsidRPr="00D40D8D">
        <w:rPr>
          <w:rFonts w:ascii="Arial" w:hAnsi="Arial" w:cs="Arial"/>
          <w:sz w:val="20"/>
          <w:szCs w:val="20"/>
          <w:lang w:val="en-GB"/>
        </w:rPr>
        <w:t xml:space="preserve"> it was specified in the Grant Agreement </w:t>
      </w:r>
      <w:r w:rsidR="51F2F03E" w:rsidRPr="00D40D8D">
        <w:rPr>
          <w:rFonts w:ascii="Arial" w:hAnsi="Arial" w:cs="Arial"/>
          <w:sz w:val="20"/>
          <w:szCs w:val="20"/>
          <w:lang w:val="en-GB"/>
        </w:rPr>
        <w:t xml:space="preserve">that </w:t>
      </w:r>
      <w:r w:rsidR="00862B6B">
        <w:rPr>
          <w:rFonts w:ascii="Arial" w:hAnsi="Arial" w:cs="Arial"/>
          <w:sz w:val="20"/>
          <w:szCs w:val="20"/>
          <w:lang w:val="en-GB"/>
        </w:rPr>
        <w:t xml:space="preserve">TNA Budget Holders (who are Beneficiaries to the Grant Agreement) </w:t>
      </w:r>
      <w:r w:rsidRPr="00D40D8D">
        <w:rPr>
          <w:rFonts w:ascii="Arial" w:hAnsi="Arial" w:cs="Arial"/>
          <w:sz w:val="20"/>
          <w:szCs w:val="20"/>
          <w:lang w:val="en-GB"/>
        </w:rPr>
        <w:t>declar</w:t>
      </w:r>
      <w:r w:rsidR="1F648230" w:rsidRPr="00D40D8D">
        <w:rPr>
          <w:rFonts w:ascii="Arial" w:hAnsi="Arial" w:cs="Arial"/>
          <w:sz w:val="20"/>
          <w:szCs w:val="20"/>
          <w:lang w:val="en-GB"/>
        </w:rPr>
        <w:t>e</w:t>
      </w:r>
      <w:r w:rsidRPr="00D40D8D">
        <w:rPr>
          <w:rFonts w:ascii="Arial" w:hAnsi="Arial" w:cs="Arial"/>
          <w:sz w:val="20"/>
          <w:szCs w:val="20"/>
          <w:lang w:val="en-GB"/>
        </w:rPr>
        <w:t xml:space="preserve"> their eligible cost for direct cost (other than personnel) and personnel cost either (a) as a unit cost for providing transnational access, (b) as cost actually incurred, or (c) as a combination of unit cost and actual cost. In case of combination of unit cost and actual cost, only cost categories and cost items that have not been used in the unit cost calculation may be reimbursed on an actual cost basis. </w:t>
      </w:r>
      <w:r w:rsidR="5D827E13" w:rsidRPr="00D40D8D">
        <w:rPr>
          <w:rFonts w:ascii="Arial" w:hAnsi="Arial" w:cs="Arial"/>
          <w:sz w:val="20"/>
          <w:szCs w:val="20"/>
          <w:lang w:val="en-GB"/>
        </w:rPr>
        <w:t xml:space="preserve">These calculations are attached to this agreement as part of </w:t>
      </w:r>
      <w:r w:rsidR="5D827E13" w:rsidRPr="002900C9">
        <w:rPr>
          <w:rFonts w:ascii="Arial" w:hAnsi="Arial" w:cs="Arial"/>
          <w:sz w:val="20"/>
          <w:szCs w:val="20"/>
          <w:lang w:val="en-GB"/>
        </w:rPr>
        <w:t xml:space="preserve">Annex </w:t>
      </w:r>
      <w:r w:rsidR="00B67935">
        <w:rPr>
          <w:rFonts w:ascii="Arial" w:hAnsi="Arial" w:cs="Arial"/>
          <w:sz w:val="20"/>
          <w:szCs w:val="20"/>
          <w:lang w:val="en-GB"/>
        </w:rPr>
        <w:t>2</w:t>
      </w:r>
      <w:r w:rsidR="29AF3868" w:rsidRPr="002900C9">
        <w:rPr>
          <w:rFonts w:ascii="Arial" w:hAnsi="Arial" w:cs="Arial"/>
          <w:sz w:val="20"/>
          <w:szCs w:val="20"/>
          <w:lang w:val="en-GB"/>
        </w:rPr>
        <w:t>.</w:t>
      </w:r>
    </w:p>
    <w:p w14:paraId="327B17AC" w14:textId="6B4A1B6B" w:rsidR="00660505" w:rsidRDefault="70B36556" w:rsidP="00660505">
      <w:pPr>
        <w:jc w:val="both"/>
        <w:rPr>
          <w:rFonts w:ascii="Arial" w:hAnsi="Arial" w:cs="Arial"/>
          <w:sz w:val="20"/>
          <w:szCs w:val="20"/>
          <w:lang w:val="en-GB"/>
        </w:rPr>
      </w:pPr>
      <w:r w:rsidRPr="4B621D8D">
        <w:rPr>
          <w:rFonts w:ascii="Arial" w:hAnsi="Arial" w:cs="Arial"/>
          <w:sz w:val="20"/>
          <w:szCs w:val="20"/>
          <w:lang w:val="en-GB"/>
        </w:rPr>
        <w:t>C</w:t>
      </w:r>
      <w:r w:rsidR="6B2491C7" w:rsidRPr="4B621D8D">
        <w:rPr>
          <w:rFonts w:ascii="Arial" w:hAnsi="Arial" w:cs="Arial"/>
          <w:sz w:val="20"/>
          <w:szCs w:val="20"/>
          <w:lang w:val="en-GB"/>
        </w:rPr>
        <w:t xml:space="preserve">hanges </w:t>
      </w:r>
      <w:r w:rsidRPr="4B621D8D">
        <w:rPr>
          <w:rFonts w:ascii="Arial" w:hAnsi="Arial" w:cs="Arial"/>
          <w:sz w:val="20"/>
          <w:szCs w:val="20"/>
          <w:lang w:val="en-GB"/>
        </w:rPr>
        <w:t>in relation to</w:t>
      </w:r>
      <w:r w:rsidR="6B2491C7" w:rsidRPr="4B621D8D">
        <w:rPr>
          <w:rFonts w:ascii="Arial" w:hAnsi="Arial" w:cs="Arial"/>
          <w:sz w:val="20"/>
          <w:szCs w:val="20"/>
          <w:lang w:val="en-GB"/>
        </w:rPr>
        <w:t xml:space="preserve"> the cost calculation</w:t>
      </w:r>
      <w:r w:rsidR="3901990A" w:rsidRPr="4B621D8D">
        <w:rPr>
          <w:rFonts w:ascii="Arial" w:hAnsi="Arial" w:cs="Arial"/>
          <w:sz w:val="20"/>
          <w:szCs w:val="20"/>
          <w:lang w:val="en-GB"/>
        </w:rPr>
        <w:t xml:space="preserve"> methodology and the estimated cost </w:t>
      </w:r>
      <w:r w:rsidR="0336BD7D" w:rsidRPr="4B621D8D">
        <w:rPr>
          <w:rFonts w:ascii="Arial" w:hAnsi="Arial" w:cs="Arial"/>
          <w:sz w:val="20"/>
          <w:szCs w:val="20"/>
          <w:lang w:val="en-GB"/>
        </w:rPr>
        <w:t xml:space="preserve">(only unit cost) </w:t>
      </w:r>
      <w:r w:rsidR="1D81A9DC" w:rsidRPr="4B621D8D">
        <w:rPr>
          <w:rFonts w:ascii="Arial" w:hAnsi="Arial" w:cs="Arial"/>
          <w:sz w:val="20"/>
          <w:szCs w:val="20"/>
          <w:lang w:val="en-GB"/>
        </w:rPr>
        <w:t xml:space="preserve">need to be approved </w:t>
      </w:r>
      <w:r w:rsidR="7BAB49EF" w:rsidRPr="4B621D8D">
        <w:rPr>
          <w:rFonts w:ascii="Arial" w:hAnsi="Arial" w:cs="Arial"/>
          <w:sz w:val="20"/>
          <w:szCs w:val="20"/>
          <w:lang w:val="en-GB"/>
        </w:rPr>
        <w:t>as follows</w:t>
      </w:r>
      <w:r w:rsidR="3901990A" w:rsidRPr="4B621D8D">
        <w:rPr>
          <w:rFonts w:ascii="Arial" w:hAnsi="Arial" w:cs="Arial"/>
          <w:sz w:val="20"/>
          <w:szCs w:val="20"/>
          <w:lang w:val="en-GB"/>
        </w:rPr>
        <w:t>:</w:t>
      </w:r>
    </w:p>
    <w:p w14:paraId="46BE9BB6" w14:textId="150ABD1A" w:rsidR="00D01B7B" w:rsidRDefault="0098F53A" w:rsidP="00D01B7B">
      <w:pPr>
        <w:pStyle w:val="Odstavecseseznamem"/>
        <w:ind w:left="0"/>
        <w:jc w:val="both"/>
        <w:rPr>
          <w:rFonts w:ascii="Arial" w:hAnsi="Arial" w:cs="Arial"/>
          <w:sz w:val="20"/>
          <w:szCs w:val="20"/>
          <w:lang w:val="en-GB"/>
        </w:rPr>
      </w:pPr>
      <w:r w:rsidRPr="3C7C6C2C">
        <w:rPr>
          <w:rFonts w:ascii="Arial" w:hAnsi="Arial" w:cs="Arial"/>
          <w:sz w:val="20"/>
          <w:szCs w:val="20"/>
          <w:lang w:val="en-GB"/>
        </w:rPr>
        <w:t xml:space="preserve">If a user requests a service, TNA cost estimations will be checked with the </w:t>
      </w:r>
      <w:r w:rsidR="00502086" w:rsidRPr="3C7C6C2C">
        <w:rPr>
          <w:rFonts w:ascii="Arial" w:hAnsi="Arial" w:cs="Arial"/>
          <w:sz w:val="20"/>
          <w:szCs w:val="20"/>
          <w:lang w:val="en-GB"/>
        </w:rPr>
        <w:t>S</w:t>
      </w:r>
      <w:r w:rsidRPr="3C7C6C2C">
        <w:rPr>
          <w:rFonts w:ascii="Arial" w:hAnsi="Arial" w:cs="Arial"/>
          <w:sz w:val="20"/>
          <w:szCs w:val="20"/>
          <w:lang w:val="en-GB"/>
        </w:rPr>
        <w:t xml:space="preserve">ervice </w:t>
      </w:r>
      <w:r w:rsidR="00502086" w:rsidRPr="3C7C6C2C">
        <w:rPr>
          <w:rFonts w:ascii="Arial" w:hAnsi="Arial" w:cs="Arial"/>
          <w:sz w:val="20"/>
          <w:szCs w:val="20"/>
          <w:lang w:val="en-GB"/>
        </w:rPr>
        <w:t>P</w:t>
      </w:r>
      <w:r w:rsidRPr="3C7C6C2C">
        <w:rPr>
          <w:rFonts w:ascii="Arial" w:hAnsi="Arial" w:cs="Arial"/>
          <w:sz w:val="20"/>
          <w:szCs w:val="20"/>
          <w:lang w:val="en-GB"/>
        </w:rPr>
        <w:t xml:space="preserve">rovider </w:t>
      </w:r>
      <w:r w:rsidR="00D01B7B">
        <w:rPr>
          <w:rFonts w:ascii="Arial" w:hAnsi="Arial" w:cs="Arial"/>
          <w:sz w:val="20"/>
          <w:szCs w:val="20"/>
          <w:lang w:val="en-GB"/>
        </w:rPr>
        <w:t xml:space="preserve">by the Coordination Team </w:t>
      </w:r>
      <w:r w:rsidRPr="3C7C6C2C">
        <w:rPr>
          <w:rFonts w:ascii="Arial" w:hAnsi="Arial" w:cs="Arial"/>
          <w:sz w:val="20"/>
          <w:szCs w:val="20"/>
          <w:lang w:val="en-GB"/>
        </w:rPr>
        <w:t>before approval as part of the feasibility check</w:t>
      </w:r>
      <w:r w:rsidR="3EDB9F97" w:rsidRPr="3C7C6C2C">
        <w:rPr>
          <w:rFonts w:ascii="Arial" w:hAnsi="Arial" w:cs="Arial"/>
          <w:sz w:val="20"/>
          <w:szCs w:val="20"/>
          <w:lang w:val="en-GB"/>
        </w:rPr>
        <w:t>, which is part of the evaluation process</w:t>
      </w:r>
      <w:r w:rsidRPr="3C7C6C2C">
        <w:rPr>
          <w:rFonts w:ascii="Arial" w:hAnsi="Arial" w:cs="Arial"/>
          <w:sz w:val="20"/>
          <w:szCs w:val="20"/>
          <w:lang w:val="en-GB"/>
        </w:rPr>
        <w:t xml:space="preserve">. </w:t>
      </w:r>
    </w:p>
    <w:p w14:paraId="5BC9EF7D" w14:textId="77777777" w:rsidR="00D01B7B" w:rsidRDefault="00D01B7B" w:rsidP="00D01B7B">
      <w:pPr>
        <w:pStyle w:val="Odstavecseseznamem"/>
        <w:ind w:left="0"/>
        <w:jc w:val="both"/>
        <w:rPr>
          <w:rFonts w:ascii="Arial" w:hAnsi="Arial" w:cs="Arial"/>
          <w:sz w:val="20"/>
          <w:szCs w:val="20"/>
          <w:lang w:val="en-GB"/>
        </w:rPr>
      </w:pPr>
    </w:p>
    <w:p w14:paraId="74E285A2" w14:textId="44C84721" w:rsidR="00753D69" w:rsidRDefault="33A0F575" w:rsidP="00CA1F5B">
      <w:pPr>
        <w:pStyle w:val="Odstavecseseznamem"/>
        <w:numPr>
          <w:ilvl w:val="0"/>
          <w:numId w:val="28"/>
        </w:numPr>
        <w:jc w:val="both"/>
        <w:rPr>
          <w:rFonts w:ascii="Arial" w:hAnsi="Arial" w:cs="Arial"/>
          <w:sz w:val="20"/>
          <w:szCs w:val="20"/>
          <w:lang w:val="en-GB"/>
        </w:rPr>
      </w:pPr>
      <w:r w:rsidRPr="4B621D8D">
        <w:rPr>
          <w:rFonts w:ascii="Arial" w:hAnsi="Arial" w:cs="Arial"/>
          <w:sz w:val="20"/>
          <w:szCs w:val="20"/>
          <w:lang w:val="en-GB"/>
        </w:rPr>
        <w:t xml:space="preserve">Deviations from the </w:t>
      </w:r>
      <w:r w:rsidR="660FECB0" w:rsidRPr="4B621D8D">
        <w:rPr>
          <w:rFonts w:ascii="Arial" w:hAnsi="Arial" w:cs="Arial"/>
          <w:sz w:val="20"/>
          <w:szCs w:val="20"/>
          <w:lang w:val="en-GB"/>
        </w:rPr>
        <w:t>cost calculation methodology</w:t>
      </w:r>
      <w:r w:rsidR="4AFF4218" w:rsidRPr="4B621D8D">
        <w:rPr>
          <w:rFonts w:ascii="Arial" w:hAnsi="Arial" w:cs="Arial"/>
          <w:sz w:val="20"/>
          <w:szCs w:val="20"/>
          <w:lang w:val="en-GB"/>
        </w:rPr>
        <w:t xml:space="preserve"> will be indicated </w:t>
      </w:r>
      <w:r w:rsidR="1624AD31" w:rsidRPr="4B621D8D">
        <w:rPr>
          <w:rFonts w:ascii="Arial" w:hAnsi="Arial" w:cs="Arial"/>
          <w:sz w:val="20"/>
          <w:szCs w:val="20"/>
          <w:lang w:val="en-GB"/>
        </w:rPr>
        <w:t>to</w:t>
      </w:r>
      <w:r w:rsidR="0336BD7D" w:rsidRPr="4B621D8D">
        <w:rPr>
          <w:rFonts w:ascii="Arial" w:hAnsi="Arial" w:cs="Arial"/>
          <w:sz w:val="20"/>
          <w:szCs w:val="20"/>
          <w:lang w:val="en-GB"/>
        </w:rPr>
        <w:t xml:space="preserve"> the</w:t>
      </w:r>
      <w:r w:rsidR="4AFF4218" w:rsidRPr="4B621D8D">
        <w:rPr>
          <w:rFonts w:ascii="Arial" w:hAnsi="Arial" w:cs="Arial"/>
          <w:sz w:val="20"/>
          <w:szCs w:val="20"/>
          <w:lang w:val="en-GB"/>
        </w:rPr>
        <w:t xml:space="preserve"> </w:t>
      </w:r>
      <w:r w:rsidR="6753139E" w:rsidRPr="4B621D8D">
        <w:rPr>
          <w:rFonts w:ascii="Arial" w:hAnsi="Arial" w:cs="Arial"/>
          <w:sz w:val="20"/>
          <w:szCs w:val="20"/>
          <w:lang w:val="en-GB"/>
        </w:rPr>
        <w:t>TNA Budget Holder</w:t>
      </w:r>
      <w:r w:rsidR="1D81A9DC" w:rsidRPr="4B621D8D">
        <w:rPr>
          <w:rFonts w:ascii="Arial" w:hAnsi="Arial" w:cs="Arial"/>
          <w:sz w:val="20"/>
          <w:szCs w:val="20"/>
          <w:lang w:val="en-GB"/>
        </w:rPr>
        <w:t>, who aligns with the</w:t>
      </w:r>
      <w:r w:rsidR="620B4CB8" w:rsidRPr="4B621D8D">
        <w:rPr>
          <w:rFonts w:ascii="Arial" w:hAnsi="Arial" w:cs="Arial"/>
          <w:sz w:val="20"/>
          <w:szCs w:val="20"/>
          <w:lang w:val="en-GB"/>
        </w:rPr>
        <w:t xml:space="preserve"> </w:t>
      </w:r>
      <w:r w:rsidR="4CE748A2" w:rsidRPr="4B621D8D">
        <w:rPr>
          <w:rFonts w:ascii="Arial" w:hAnsi="Arial" w:cs="Arial"/>
          <w:sz w:val="20"/>
          <w:szCs w:val="20"/>
          <w:lang w:val="en-GB"/>
        </w:rPr>
        <w:t>canSERV</w:t>
      </w:r>
      <w:r w:rsidR="1D81A9DC" w:rsidRPr="4B621D8D">
        <w:rPr>
          <w:rFonts w:ascii="Arial" w:hAnsi="Arial" w:cs="Arial"/>
          <w:sz w:val="20"/>
          <w:szCs w:val="20"/>
          <w:lang w:val="en-GB"/>
        </w:rPr>
        <w:t xml:space="preserve"> Coordination Team</w:t>
      </w:r>
      <w:r w:rsidR="781819DA" w:rsidRPr="4B621D8D">
        <w:rPr>
          <w:rFonts w:ascii="Arial" w:hAnsi="Arial" w:cs="Arial"/>
          <w:sz w:val="20"/>
          <w:szCs w:val="20"/>
          <w:lang w:val="en-GB"/>
        </w:rPr>
        <w:t>, who will inform the Project Officer</w:t>
      </w:r>
      <w:r w:rsidR="1D81A9DC" w:rsidRPr="4B621D8D">
        <w:rPr>
          <w:rFonts w:ascii="Arial" w:hAnsi="Arial" w:cs="Arial"/>
          <w:sz w:val="20"/>
          <w:szCs w:val="20"/>
          <w:lang w:val="en-GB"/>
        </w:rPr>
        <w:t xml:space="preserve"> </w:t>
      </w:r>
      <w:r w:rsidR="0336BD7D" w:rsidRPr="4B621D8D">
        <w:rPr>
          <w:rFonts w:ascii="Arial" w:hAnsi="Arial" w:cs="Arial"/>
          <w:sz w:val="20"/>
          <w:szCs w:val="20"/>
          <w:lang w:val="en-GB"/>
        </w:rPr>
        <w:t xml:space="preserve">and get her/his </w:t>
      </w:r>
      <w:r w:rsidR="1D81A9DC" w:rsidRPr="4B621D8D">
        <w:rPr>
          <w:rFonts w:ascii="Arial" w:hAnsi="Arial" w:cs="Arial"/>
          <w:sz w:val="20"/>
          <w:szCs w:val="20"/>
          <w:lang w:val="en-GB"/>
        </w:rPr>
        <w:t>approval or rejection</w:t>
      </w:r>
      <w:r w:rsidR="781819DA" w:rsidRPr="4B621D8D">
        <w:rPr>
          <w:rFonts w:ascii="Arial" w:hAnsi="Arial" w:cs="Arial"/>
          <w:sz w:val="20"/>
          <w:szCs w:val="20"/>
          <w:lang w:val="en-GB"/>
        </w:rPr>
        <w:t>.</w:t>
      </w:r>
    </w:p>
    <w:p w14:paraId="4B5D2D6A" w14:textId="77777777" w:rsidR="00D01B7B" w:rsidRDefault="00D01B7B" w:rsidP="00D01B7B">
      <w:pPr>
        <w:pStyle w:val="Odstavecseseznamem"/>
        <w:ind w:left="0"/>
        <w:jc w:val="both"/>
        <w:rPr>
          <w:rFonts w:ascii="Arial" w:hAnsi="Arial" w:cs="Arial"/>
          <w:sz w:val="20"/>
          <w:szCs w:val="20"/>
          <w:lang w:val="en-GB"/>
        </w:rPr>
      </w:pPr>
    </w:p>
    <w:p w14:paraId="57AA772A" w14:textId="1CE1E243" w:rsidR="00D01B7B" w:rsidRPr="008B61A7" w:rsidRDefault="781819DA" w:rsidP="00CA1F5B">
      <w:pPr>
        <w:pStyle w:val="Odstavecseseznamem"/>
        <w:numPr>
          <w:ilvl w:val="0"/>
          <w:numId w:val="28"/>
        </w:numPr>
        <w:jc w:val="both"/>
        <w:rPr>
          <w:rFonts w:ascii="Arial" w:hAnsi="Arial"/>
          <w:sz w:val="20"/>
          <w:szCs w:val="20"/>
          <w:lang w:val="en-GB"/>
        </w:rPr>
      </w:pPr>
      <w:r w:rsidRPr="4B621D8D">
        <w:rPr>
          <w:rFonts w:ascii="Arial" w:hAnsi="Arial" w:cs="Arial"/>
          <w:sz w:val="20"/>
          <w:szCs w:val="20"/>
          <w:lang w:val="en-GB"/>
        </w:rPr>
        <w:t xml:space="preserve">Deviation from estimated cost (above 15%) shall also be indicated by the </w:t>
      </w:r>
      <w:r w:rsidR="70FC43E1" w:rsidRPr="4B621D8D">
        <w:rPr>
          <w:rFonts w:ascii="Arial" w:hAnsi="Arial" w:cs="Arial"/>
          <w:sz w:val="20"/>
          <w:szCs w:val="20"/>
          <w:lang w:val="en-GB"/>
        </w:rPr>
        <w:t xml:space="preserve">service provider to the </w:t>
      </w:r>
      <w:r w:rsidRPr="4B621D8D">
        <w:rPr>
          <w:rFonts w:ascii="Arial" w:hAnsi="Arial" w:cs="Arial"/>
          <w:sz w:val="20"/>
          <w:szCs w:val="20"/>
          <w:lang w:val="en-GB"/>
        </w:rPr>
        <w:t>TNA Budget Holder</w:t>
      </w:r>
      <w:r w:rsidR="4405BBD4" w:rsidRPr="4B621D8D">
        <w:rPr>
          <w:rFonts w:ascii="Arial" w:hAnsi="Arial" w:cs="Arial"/>
          <w:sz w:val="20"/>
          <w:szCs w:val="20"/>
          <w:lang w:val="en-GB"/>
        </w:rPr>
        <w:t>/</w:t>
      </w:r>
      <w:r w:rsidRPr="4B621D8D">
        <w:rPr>
          <w:rFonts w:ascii="Arial" w:hAnsi="Arial" w:cs="Arial"/>
          <w:sz w:val="20"/>
          <w:szCs w:val="20"/>
          <w:lang w:val="en-GB"/>
        </w:rPr>
        <w:t xml:space="preserve">the </w:t>
      </w:r>
      <w:r w:rsidR="0336BD7D" w:rsidRPr="4B621D8D">
        <w:rPr>
          <w:rFonts w:ascii="Arial" w:hAnsi="Arial" w:cs="Arial"/>
          <w:sz w:val="20"/>
          <w:szCs w:val="20"/>
          <w:lang w:val="en-GB"/>
        </w:rPr>
        <w:t xml:space="preserve">canSERV </w:t>
      </w:r>
      <w:r w:rsidRPr="4B621D8D">
        <w:rPr>
          <w:rFonts w:ascii="Arial" w:hAnsi="Arial" w:cs="Arial"/>
          <w:sz w:val="20"/>
          <w:szCs w:val="20"/>
          <w:lang w:val="en-GB"/>
        </w:rPr>
        <w:t>Coordination Team</w:t>
      </w:r>
      <w:r w:rsidR="65377B5D" w:rsidRPr="4B621D8D">
        <w:rPr>
          <w:rFonts w:ascii="Arial" w:hAnsi="Arial" w:cs="Arial"/>
          <w:sz w:val="20"/>
          <w:szCs w:val="20"/>
          <w:lang w:val="en-GB"/>
        </w:rPr>
        <w:t>.</w:t>
      </w:r>
      <w:r w:rsidR="00CA1F5B">
        <w:rPr>
          <w:rFonts w:ascii="Arial" w:hAnsi="Arial" w:cs="Arial"/>
          <w:sz w:val="20"/>
          <w:szCs w:val="20"/>
          <w:lang w:val="en-GB"/>
        </w:rPr>
        <w:t xml:space="preserve"> </w:t>
      </w:r>
      <w:r w:rsidRPr="4B621D8D">
        <w:rPr>
          <w:rFonts w:ascii="Arial" w:hAnsi="Arial" w:cs="Arial"/>
          <w:sz w:val="20"/>
          <w:szCs w:val="20"/>
          <w:lang w:val="en-GB"/>
        </w:rPr>
        <w:t xml:space="preserve">Deviation from estimated cost (below 15%) shall be approved by the TNA Budget Holder. </w:t>
      </w:r>
    </w:p>
    <w:p w14:paraId="7CF3FA44" w14:textId="4677A3ED" w:rsidR="00804C1C" w:rsidRPr="00BB2F71" w:rsidRDefault="00660505" w:rsidP="00660505">
      <w:pPr>
        <w:jc w:val="both"/>
        <w:rPr>
          <w:rFonts w:ascii="Arial" w:hAnsi="Arial" w:cs="Arial"/>
          <w:b/>
          <w:bCs/>
          <w:sz w:val="20"/>
          <w:szCs w:val="20"/>
          <w:lang w:val="en-GB"/>
        </w:rPr>
      </w:pPr>
      <w:r w:rsidRPr="34B4BEC1">
        <w:rPr>
          <w:rFonts w:ascii="Arial" w:hAnsi="Arial" w:cs="Arial"/>
          <w:b/>
          <w:bCs/>
          <w:sz w:val="20"/>
          <w:szCs w:val="20"/>
          <w:lang w:val="en-GB"/>
        </w:rPr>
        <w:t xml:space="preserve">4.2 </w:t>
      </w:r>
      <w:r w:rsidR="4325E1B6" w:rsidRPr="34B4BEC1">
        <w:rPr>
          <w:rFonts w:ascii="Arial" w:hAnsi="Arial" w:cs="Arial"/>
          <w:b/>
          <w:bCs/>
          <w:sz w:val="20"/>
          <w:szCs w:val="20"/>
          <w:lang w:val="en-GB"/>
        </w:rPr>
        <w:t>Eligible costs</w:t>
      </w:r>
    </w:p>
    <w:p w14:paraId="1E56F7B1" w14:textId="11D11DAC" w:rsidR="1309C930" w:rsidRDefault="5338C981" w:rsidP="00660505">
      <w:pPr>
        <w:jc w:val="both"/>
        <w:rPr>
          <w:rFonts w:ascii="Arial" w:hAnsi="Arial" w:cs="Arial"/>
          <w:sz w:val="20"/>
          <w:szCs w:val="20"/>
          <w:lang w:val="en-GB"/>
        </w:rPr>
      </w:pPr>
      <w:r w:rsidRPr="34B4BEC1">
        <w:rPr>
          <w:rFonts w:ascii="Arial" w:hAnsi="Arial" w:cs="Arial"/>
          <w:sz w:val="20"/>
          <w:szCs w:val="20"/>
          <w:lang w:val="en-GB"/>
        </w:rPr>
        <w:t xml:space="preserve">The access costs may be declared as unit costs, actual costs or — under certain conditions — as a combination of the two. </w:t>
      </w:r>
      <w:r w:rsidR="58FD91A8" w:rsidRPr="34B4BEC1">
        <w:rPr>
          <w:rFonts w:ascii="Arial" w:hAnsi="Arial" w:cs="Arial"/>
          <w:sz w:val="20"/>
          <w:szCs w:val="20"/>
          <w:lang w:val="en-GB"/>
        </w:rPr>
        <w:t xml:space="preserve">The service reimbursed can include the following types of </w:t>
      </w:r>
      <w:r w:rsidR="07F4C515" w:rsidRPr="34B4BEC1">
        <w:rPr>
          <w:rFonts w:ascii="Arial" w:hAnsi="Arial" w:cs="Arial"/>
          <w:sz w:val="20"/>
          <w:szCs w:val="20"/>
          <w:lang w:val="en-GB"/>
        </w:rPr>
        <w:t>eligible costs as listed in 4.2.1. and 4.2.2.</w:t>
      </w:r>
    </w:p>
    <w:p w14:paraId="2C993ED7" w14:textId="5B3DBDA8" w:rsidR="7EA7D9D4" w:rsidRPr="00BB2F71" w:rsidRDefault="6A780398" w:rsidP="5A09658B">
      <w:pPr>
        <w:jc w:val="both"/>
        <w:rPr>
          <w:rFonts w:ascii="Arial" w:hAnsi="Arial" w:cs="Arial"/>
          <w:b/>
          <w:bCs/>
          <w:sz w:val="20"/>
          <w:szCs w:val="20"/>
          <w:lang w:val="en-GB"/>
        </w:rPr>
      </w:pPr>
      <w:r w:rsidRPr="34B4BEC1">
        <w:rPr>
          <w:rFonts w:ascii="Arial" w:hAnsi="Arial" w:cs="Arial"/>
          <w:b/>
          <w:bCs/>
          <w:sz w:val="20"/>
          <w:szCs w:val="20"/>
          <w:lang w:val="en-GB"/>
        </w:rPr>
        <w:t>4.2.1. Eligible costs in case of unit cost calculation methodology</w:t>
      </w:r>
    </w:p>
    <w:p w14:paraId="2527D4E3" w14:textId="4909B4EE" w:rsidR="5338C981" w:rsidRPr="00BB2F71" w:rsidRDefault="5338C981" w:rsidP="5A09658B">
      <w:pPr>
        <w:jc w:val="both"/>
        <w:rPr>
          <w:rFonts w:ascii="Arial" w:hAnsi="Arial" w:cs="Arial"/>
          <w:sz w:val="20"/>
          <w:szCs w:val="20"/>
          <w:lang w:val="en-GB"/>
        </w:rPr>
      </w:pPr>
      <w:r w:rsidRPr="00BB2F71">
        <w:rPr>
          <w:rFonts w:ascii="Arial" w:hAnsi="Arial" w:cs="Arial"/>
          <w:sz w:val="20"/>
          <w:szCs w:val="20"/>
          <w:lang w:val="en-GB"/>
        </w:rPr>
        <w:t xml:space="preserve">If the access costs are calculated as unit cost, they must </w:t>
      </w:r>
      <w:r w:rsidR="18444517" w:rsidRPr="00BB2F71">
        <w:rPr>
          <w:rFonts w:ascii="Arial" w:hAnsi="Arial" w:cs="Arial"/>
          <w:sz w:val="20"/>
          <w:szCs w:val="20"/>
          <w:lang w:val="en-GB"/>
        </w:rPr>
        <w:t>fulfil</w:t>
      </w:r>
      <w:r w:rsidRPr="00BB2F71">
        <w:rPr>
          <w:rFonts w:ascii="Arial" w:hAnsi="Arial" w:cs="Arial"/>
          <w:sz w:val="20"/>
          <w:szCs w:val="20"/>
          <w:lang w:val="en-GB"/>
        </w:rPr>
        <w:t xml:space="preserve"> the </w:t>
      </w:r>
      <w:r w:rsidR="6005F649" w:rsidRPr="00BB2F71">
        <w:rPr>
          <w:rFonts w:ascii="Arial" w:hAnsi="Arial" w:cs="Arial"/>
          <w:sz w:val="20"/>
          <w:szCs w:val="20"/>
          <w:lang w:val="en-GB"/>
        </w:rPr>
        <w:t>following</w:t>
      </w:r>
      <w:r w:rsidRPr="00BB2F71">
        <w:rPr>
          <w:rFonts w:ascii="Arial" w:hAnsi="Arial" w:cs="Arial"/>
          <w:sz w:val="20"/>
          <w:szCs w:val="20"/>
          <w:lang w:val="en-GB"/>
        </w:rPr>
        <w:t xml:space="preserve"> general eligibility conditions and the specific conditions</w:t>
      </w:r>
      <w:r w:rsidR="301D4AAE" w:rsidRPr="00BB2F71">
        <w:rPr>
          <w:rFonts w:ascii="Arial" w:hAnsi="Arial" w:cs="Arial"/>
          <w:sz w:val="20"/>
          <w:szCs w:val="20"/>
          <w:lang w:val="en-GB"/>
        </w:rPr>
        <w:t xml:space="preserve"> as follows</w:t>
      </w:r>
      <w:r w:rsidRPr="00BB2F71">
        <w:rPr>
          <w:rStyle w:val="Znakapoznpodarou"/>
          <w:rFonts w:ascii="Arial" w:hAnsi="Arial" w:cs="Arial"/>
          <w:sz w:val="20"/>
          <w:szCs w:val="20"/>
          <w:lang w:val="en-GB"/>
        </w:rPr>
        <w:footnoteReference w:id="3"/>
      </w:r>
      <w:r w:rsidR="301D4AAE" w:rsidRPr="00BB2F71">
        <w:rPr>
          <w:rFonts w:ascii="Arial" w:hAnsi="Arial" w:cs="Arial"/>
          <w:sz w:val="20"/>
          <w:szCs w:val="20"/>
          <w:lang w:val="en-GB"/>
        </w:rPr>
        <w:t>:</w:t>
      </w:r>
      <w:r w:rsidRPr="00BB2F71">
        <w:rPr>
          <w:rFonts w:ascii="Arial" w:hAnsi="Arial" w:cs="Arial"/>
          <w:sz w:val="20"/>
          <w:szCs w:val="20"/>
          <w:lang w:val="en-GB"/>
        </w:rPr>
        <w:t xml:space="preserve"> </w:t>
      </w:r>
    </w:p>
    <w:p w14:paraId="0B6D7B08" w14:textId="0548845E" w:rsidR="008667E3" w:rsidRPr="00BB2F71" w:rsidRDefault="008667E3" w:rsidP="008667E3">
      <w:pPr>
        <w:jc w:val="both"/>
        <w:rPr>
          <w:rFonts w:ascii="Arial" w:hAnsi="Arial" w:cs="Arial"/>
          <w:b/>
          <w:bCs/>
          <w:sz w:val="20"/>
          <w:szCs w:val="20"/>
          <w:lang w:val="en-GB"/>
        </w:rPr>
      </w:pPr>
      <w:r w:rsidRPr="34B4BEC1">
        <w:rPr>
          <w:rFonts w:ascii="Arial" w:hAnsi="Arial" w:cs="Arial"/>
          <w:b/>
          <w:bCs/>
          <w:sz w:val="20"/>
          <w:szCs w:val="20"/>
          <w:lang w:val="en-GB"/>
        </w:rPr>
        <w:t xml:space="preserve">Direct costs for providing access can only include: </w:t>
      </w:r>
    </w:p>
    <w:p w14:paraId="35A3DB7B" w14:textId="54798D58" w:rsidR="008667E3" w:rsidRPr="00BB2F71" w:rsidRDefault="008667E3" w:rsidP="008667E3">
      <w:pPr>
        <w:pStyle w:val="Odstavecseseznamem"/>
        <w:numPr>
          <w:ilvl w:val="0"/>
          <w:numId w:val="9"/>
        </w:numPr>
        <w:jc w:val="both"/>
        <w:rPr>
          <w:rFonts w:ascii="Arial" w:hAnsi="Arial" w:cs="Arial"/>
          <w:sz w:val="20"/>
          <w:szCs w:val="20"/>
          <w:lang w:val="en-GB"/>
        </w:rPr>
      </w:pPr>
      <w:r w:rsidRPr="34B4BEC1">
        <w:rPr>
          <w:rFonts w:ascii="Arial" w:hAnsi="Arial" w:cs="Arial"/>
          <w:sz w:val="20"/>
          <w:szCs w:val="20"/>
          <w:lang w:val="en-GB"/>
        </w:rPr>
        <w:t xml:space="preserve">Costs of contracts for maintenance and repair </w:t>
      </w:r>
      <w:r w:rsidR="2595760A" w:rsidRPr="34B4BEC1">
        <w:rPr>
          <w:rFonts w:ascii="Arial" w:hAnsi="Arial" w:cs="Arial"/>
          <w:sz w:val="20"/>
          <w:szCs w:val="20"/>
          <w:lang w:val="en-GB"/>
        </w:rPr>
        <w:t xml:space="preserve">(including specific cleaning, calibrating and testing) specifically awarded </w:t>
      </w:r>
      <w:r w:rsidRPr="34B4BEC1">
        <w:rPr>
          <w:rFonts w:ascii="Arial" w:hAnsi="Arial" w:cs="Arial"/>
          <w:sz w:val="20"/>
          <w:szCs w:val="20"/>
          <w:lang w:val="en-GB"/>
        </w:rPr>
        <w:t xml:space="preserve">for the functioning of the installation (if not capitalised). </w:t>
      </w:r>
    </w:p>
    <w:p w14:paraId="14693BBD" w14:textId="5203EA37" w:rsidR="008667E3" w:rsidRPr="00BB2F71" w:rsidRDefault="008667E3" w:rsidP="008667E3">
      <w:pPr>
        <w:pStyle w:val="Odstavecseseznamem"/>
        <w:numPr>
          <w:ilvl w:val="0"/>
          <w:numId w:val="9"/>
        </w:numPr>
        <w:jc w:val="both"/>
        <w:rPr>
          <w:rFonts w:ascii="Arial" w:hAnsi="Arial" w:cs="Arial"/>
          <w:sz w:val="20"/>
          <w:szCs w:val="20"/>
          <w:lang w:val="en-GB"/>
        </w:rPr>
      </w:pPr>
      <w:r w:rsidRPr="34B4BEC1">
        <w:rPr>
          <w:rFonts w:ascii="Arial" w:hAnsi="Arial" w:cs="Arial"/>
          <w:sz w:val="20"/>
          <w:szCs w:val="20"/>
          <w:lang w:val="en-GB"/>
        </w:rPr>
        <w:t xml:space="preserve">Costs of consumables specifically used for the installation and the research work of the users. </w:t>
      </w:r>
    </w:p>
    <w:p w14:paraId="4BE929F1" w14:textId="0F4EB764" w:rsidR="008667E3" w:rsidRPr="00BB2F71" w:rsidRDefault="008667E3" w:rsidP="008667E3">
      <w:pPr>
        <w:pStyle w:val="Odstavecseseznamem"/>
        <w:numPr>
          <w:ilvl w:val="0"/>
          <w:numId w:val="9"/>
        </w:numPr>
        <w:jc w:val="both"/>
        <w:rPr>
          <w:rFonts w:ascii="Arial" w:hAnsi="Arial" w:cs="Arial"/>
          <w:sz w:val="20"/>
          <w:szCs w:val="20"/>
          <w:lang w:val="en-GB"/>
        </w:rPr>
      </w:pPr>
      <w:r w:rsidRPr="34B4BEC1">
        <w:rPr>
          <w:rFonts w:ascii="Arial" w:hAnsi="Arial" w:cs="Arial"/>
          <w:sz w:val="20"/>
          <w:szCs w:val="20"/>
          <w:lang w:val="en-GB"/>
        </w:rPr>
        <w:t xml:space="preserve">Costs of contracts for installation management, including security fees, insurance costs, quality control and certification, </w:t>
      </w:r>
      <w:r w:rsidR="1130E349" w:rsidRPr="34B4BEC1">
        <w:rPr>
          <w:rFonts w:ascii="Arial" w:hAnsi="Arial" w:cs="Arial"/>
          <w:sz w:val="20"/>
          <w:szCs w:val="20"/>
          <w:lang w:val="en-GB"/>
        </w:rPr>
        <w:t xml:space="preserve">upgrading to national and/or EU quality, safety and security standards (if not capitalised) </w:t>
      </w:r>
      <w:r w:rsidRPr="34B4BEC1">
        <w:rPr>
          <w:rFonts w:ascii="Arial" w:hAnsi="Arial" w:cs="Arial"/>
          <w:sz w:val="20"/>
          <w:szCs w:val="20"/>
          <w:lang w:val="en-GB"/>
        </w:rPr>
        <w:t xml:space="preserve">specifically incurred for the functioning of the installation. </w:t>
      </w:r>
    </w:p>
    <w:p w14:paraId="41415CBE" w14:textId="77777777" w:rsidR="005A0A9A" w:rsidRPr="00BB2F71" w:rsidRDefault="008667E3" w:rsidP="008667E3">
      <w:pPr>
        <w:pStyle w:val="Odstavecseseznamem"/>
        <w:numPr>
          <w:ilvl w:val="0"/>
          <w:numId w:val="9"/>
        </w:numPr>
        <w:jc w:val="both"/>
        <w:rPr>
          <w:rFonts w:ascii="Arial" w:hAnsi="Arial" w:cs="Arial"/>
          <w:sz w:val="20"/>
          <w:szCs w:val="20"/>
          <w:lang w:val="en-GB"/>
        </w:rPr>
      </w:pPr>
      <w:r w:rsidRPr="34B4BEC1">
        <w:rPr>
          <w:rFonts w:ascii="Arial" w:hAnsi="Arial" w:cs="Arial"/>
          <w:sz w:val="20"/>
          <w:szCs w:val="20"/>
          <w:lang w:val="en-GB"/>
        </w:rPr>
        <w:t xml:space="preserve">Costs of energy power and water supplied for the installation. </w:t>
      </w:r>
    </w:p>
    <w:p w14:paraId="15221749" w14:textId="000045F8" w:rsidR="008667E3" w:rsidRPr="00BB2F71" w:rsidRDefault="1BC478A2" w:rsidP="008667E3">
      <w:pPr>
        <w:pStyle w:val="Odstavecseseznamem"/>
        <w:numPr>
          <w:ilvl w:val="0"/>
          <w:numId w:val="9"/>
        </w:numPr>
        <w:jc w:val="both"/>
        <w:rPr>
          <w:rFonts w:ascii="Arial" w:hAnsi="Arial" w:cs="Arial"/>
          <w:sz w:val="20"/>
          <w:szCs w:val="20"/>
          <w:lang w:val="en-GB"/>
        </w:rPr>
      </w:pPr>
      <w:r w:rsidRPr="34B4BEC1">
        <w:rPr>
          <w:rFonts w:ascii="Arial" w:hAnsi="Arial" w:cs="Arial"/>
          <w:sz w:val="20"/>
          <w:szCs w:val="20"/>
          <w:lang w:val="en-GB"/>
        </w:rPr>
        <w:t xml:space="preserve">Costs of general services when included in the provided access services (library costs, shipping costs). </w:t>
      </w:r>
    </w:p>
    <w:p w14:paraId="64F03DCF" w14:textId="77777777" w:rsidR="008667E3" w:rsidRPr="00BB2F71" w:rsidRDefault="008667E3" w:rsidP="008667E3">
      <w:pPr>
        <w:pStyle w:val="Odstavecseseznamem"/>
        <w:numPr>
          <w:ilvl w:val="0"/>
          <w:numId w:val="9"/>
        </w:numPr>
        <w:jc w:val="both"/>
        <w:rPr>
          <w:rFonts w:ascii="Arial" w:hAnsi="Arial" w:cs="Arial"/>
          <w:sz w:val="20"/>
          <w:szCs w:val="20"/>
          <w:lang w:val="en-GB"/>
        </w:rPr>
      </w:pPr>
      <w:r w:rsidRPr="34B4BEC1">
        <w:rPr>
          <w:rFonts w:ascii="Arial" w:hAnsi="Arial" w:cs="Arial"/>
          <w:sz w:val="20"/>
          <w:szCs w:val="20"/>
          <w:lang w:val="en-GB"/>
        </w:rPr>
        <w:t xml:space="preserve">Costs of software licence, internet connection or other electronic services for data management and computing when they are needed to provide access services, </w:t>
      </w:r>
    </w:p>
    <w:p w14:paraId="41F0A327" w14:textId="57E41B18" w:rsidR="008667E3" w:rsidRPr="00BB2F71" w:rsidRDefault="008667E3" w:rsidP="008667E3">
      <w:pPr>
        <w:pStyle w:val="Odstavecseseznamem"/>
        <w:numPr>
          <w:ilvl w:val="0"/>
          <w:numId w:val="9"/>
        </w:numPr>
        <w:jc w:val="both"/>
        <w:rPr>
          <w:rFonts w:ascii="Arial" w:hAnsi="Arial" w:cs="Arial"/>
          <w:sz w:val="20"/>
          <w:szCs w:val="20"/>
          <w:lang w:val="en-GB"/>
        </w:rPr>
      </w:pPr>
      <w:r w:rsidRPr="34B4BEC1">
        <w:rPr>
          <w:rFonts w:ascii="Arial" w:hAnsi="Arial" w:cs="Arial"/>
          <w:sz w:val="20"/>
          <w:szCs w:val="20"/>
          <w:lang w:val="en-GB"/>
        </w:rPr>
        <w:t>Costs of specific scientific services included in the access provided or needed for the provision of access.</w:t>
      </w:r>
    </w:p>
    <w:p w14:paraId="3EF38848" w14:textId="157C1C08" w:rsidR="2AFAD888" w:rsidRPr="00BB2F71" w:rsidRDefault="2AFAD888" w:rsidP="34B4BEC1">
      <w:pPr>
        <w:jc w:val="both"/>
        <w:rPr>
          <w:rFonts w:ascii="Arial" w:hAnsi="Arial" w:cs="Arial"/>
          <w:i/>
          <w:iCs/>
          <w:sz w:val="20"/>
          <w:szCs w:val="20"/>
          <w:lang w:val="en-GB"/>
        </w:rPr>
      </w:pPr>
      <w:r w:rsidRPr="00E57BB3">
        <w:rPr>
          <w:rFonts w:ascii="Arial" w:hAnsi="Arial" w:cs="Arial"/>
          <w:sz w:val="20"/>
          <w:szCs w:val="20"/>
          <w:lang w:val="en-GB"/>
        </w:rPr>
        <w:t xml:space="preserve">Indirect cost for providing access to </w:t>
      </w:r>
      <w:r w:rsidRPr="003A46A1">
        <w:rPr>
          <w:rFonts w:ascii="Arial" w:hAnsi="Arial" w:cs="Arial"/>
          <w:sz w:val="20"/>
          <w:szCs w:val="20"/>
          <w:lang w:val="en-GB"/>
        </w:rPr>
        <w:t xml:space="preserve">the </w:t>
      </w:r>
      <w:r w:rsidRPr="006D7FF8">
        <w:rPr>
          <w:rFonts w:ascii="Arial" w:hAnsi="Arial" w:cs="Arial"/>
          <w:sz w:val="20"/>
          <w:szCs w:val="20"/>
          <w:lang w:val="en-GB"/>
        </w:rPr>
        <w:t>installation</w:t>
      </w:r>
      <w:r w:rsidR="6F39D793" w:rsidRPr="006D7FF8">
        <w:rPr>
          <w:rFonts w:ascii="Arial" w:hAnsi="Arial" w:cs="Arial"/>
          <w:sz w:val="20"/>
          <w:szCs w:val="20"/>
          <w:lang w:val="en-GB"/>
        </w:rPr>
        <w:t xml:space="preserve"> equal to 25% of the direct costs referred to above</w:t>
      </w:r>
      <w:r w:rsidR="13909EB8" w:rsidRPr="00E57BB3">
        <w:rPr>
          <w:rFonts w:ascii="Arial" w:hAnsi="Arial" w:cs="Arial"/>
          <w:i/>
          <w:iCs/>
          <w:sz w:val="20"/>
          <w:szCs w:val="20"/>
          <w:lang w:val="en-GB"/>
        </w:rPr>
        <w:t>.</w:t>
      </w:r>
      <w:r w:rsidR="6F39D793" w:rsidRPr="34B4BEC1">
        <w:rPr>
          <w:rFonts w:ascii="Arial" w:hAnsi="Arial" w:cs="Arial"/>
          <w:i/>
          <w:iCs/>
          <w:sz w:val="20"/>
          <w:szCs w:val="20"/>
          <w:lang w:val="en-GB"/>
        </w:rPr>
        <w:t xml:space="preserve"> </w:t>
      </w:r>
    </w:p>
    <w:p w14:paraId="6033E2FF" w14:textId="10C774B9" w:rsidR="2AFAD888" w:rsidRPr="00BB2F71" w:rsidRDefault="2AFAD888" w:rsidP="5A09658B">
      <w:pPr>
        <w:jc w:val="both"/>
        <w:rPr>
          <w:rFonts w:ascii="Arial" w:hAnsi="Arial" w:cs="Arial"/>
          <w:sz w:val="20"/>
          <w:szCs w:val="20"/>
          <w:u w:val="single"/>
          <w:lang w:val="en-GB"/>
        </w:rPr>
      </w:pPr>
      <w:r w:rsidRPr="34B4BEC1">
        <w:rPr>
          <w:rFonts w:ascii="Arial" w:hAnsi="Arial" w:cs="Arial"/>
          <w:sz w:val="20"/>
          <w:szCs w:val="20"/>
          <w:u w:val="single"/>
          <w:lang w:val="en-GB"/>
        </w:rPr>
        <w:t>But excluding:</w:t>
      </w:r>
    </w:p>
    <w:p w14:paraId="4F1173E2" w14:textId="11FC3553" w:rsidR="2AFAD888" w:rsidRPr="00BB2F71" w:rsidRDefault="2AFAD888" w:rsidP="5A09658B">
      <w:pPr>
        <w:pStyle w:val="Odstavecseseznamem"/>
        <w:numPr>
          <w:ilvl w:val="0"/>
          <w:numId w:val="4"/>
        </w:numPr>
        <w:jc w:val="both"/>
        <w:rPr>
          <w:rFonts w:ascii="Arial" w:hAnsi="Arial" w:cs="Arial"/>
          <w:sz w:val="20"/>
          <w:szCs w:val="20"/>
          <w:lang w:val="en-GB"/>
        </w:rPr>
      </w:pPr>
      <w:r w:rsidRPr="34B4BEC1">
        <w:rPr>
          <w:rFonts w:ascii="Arial" w:hAnsi="Arial" w:cs="Arial"/>
          <w:sz w:val="20"/>
          <w:szCs w:val="20"/>
          <w:lang w:val="en-GB"/>
        </w:rPr>
        <w:lastRenderedPageBreak/>
        <w:t xml:space="preserve">All contributions to the capital investment of the infrastructure (including rental, lease or </w:t>
      </w:r>
      <w:r w:rsidR="7914E704" w:rsidRPr="34B4BEC1">
        <w:rPr>
          <w:rFonts w:ascii="Arial" w:hAnsi="Arial" w:cs="Arial"/>
          <w:sz w:val="20"/>
          <w:szCs w:val="20"/>
          <w:lang w:val="en-GB"/>
        </w:rPr>
        <w:t>depreciation</w:t>
      </w:r>
      <w:r w:rsidRPr="34B4BEC1">
        <w:rPr>
          <w:rFonts w:ascii="Arial" w:hAnsi="Arial" w:cs="Arial"/>
          <w:sz w:val="20"/>
          <w:szCs w:val="20"/>
          <w:lang w:val="en-GB"/>
        </w:rPr>
        <w:t xml:space="preserve"> costs of buildings as well as depreciation and lease of instrumentation.) Those cost are not eligible</w:t>
      </w:r>
      <w:r w:rsidR="531B2D66" w:rsidRPr="34B4BEC1">
        <w:rPr>
          <w:rFonts w:ascii="Arial" w:hAnsi="Arial" w:cs="Arial"/>
          <w:sz w:val="20"/>
          <w:szCs w:val="20"/>
          <w:lang w:val="en-GB"/>
        </w:rPr>
        <w:t xml:space="preserve">, unless otherwise specified in the Work programme, in which case only the portion used to provide access under the action can be eligible. </w:t>
      </w:r>
    </w:p>
    <w:p w14:paraId="0EB8C994" w14:textId="1B135E0A" w:rsidR="4E8B4413" w:rsidRPr="00BB2F71" w:rsidRDefault="4E8B4413" w:rsidP="5A09658B">
      <w:pPr>
        <w:pStyle w:val="Odstavecseseznamem"/>
        <w:numPr>
          <w:ilvl w:val="0"/>
          <w:numId w:val="4"/>
        </w:numPr>
        <w:jc w:val="both"/>
        <w:rPr>
          <w:rFonts w:ascii="Arial" w:hAnsi="Arial" w:cs="Arial"/>
          <w:sz w:val="20"/>
          <w:szCs w:val="20"/>
          <w:lang w:val="en-GB"/>
        </w:rPr>
      </w:pPr>
      <w:bookmarkStart w:id="0" w:name="_Hlk132521358"/>
      <w:r w:rsidRPr="34B4BEC1">
        <w:rPr>
          <w:rFonts w:ascii="Arial" w:hAnsi="Arial" w:cs="Arial"/>
          <w:sz w:val="20"/>
          <w:szCs w:val="20"/>
          <w:lang w:val="en-GB"/>
        </w:rPr>
        <w:t>Ineligible costs as listed in Article 6.3 of the Grant Agreement</w:t>
      </w:r>
      <w:bookmarkEnd w:id="0"/>
      <w:r w:rsidRPr="34B4BEC1">
        <w:rPr>
          <w:rFonts w:ascii="Arial" w:hAnsi="Arial" w:cs="Arial"/>
          <w:sz w:val="20"/>
          <w:szCs w:val="20"/>
          <w:lang w:val="en-GB"/>
        </w:rPr>
        <w:t xml:space="preserve"> (Annex </w:t>
      </w:r>
      <w:r w:rsidR="00994927">
        <w:rPr>
          <w:rFonts w:ascii="Arial" w:hAnsi="Arial" w:cs="Arial"/>
          <w:sz w:val="20"/>
          <w:szCs w:val="20"/>
          <w:lang w:val="en-GB"/>
        </w:rPr>
        <w:t>3</w:t>
      </w:r>
      <w:r w:rsidR="00994927" w:rsidRPr="34B4BEC1">
        <w:rPr>
          <w:rFonts w:ascii="Arial" w:hAnsi="Arial" w:cs="Arial"/>
          <w:sz w:val="20"/>
          <w:szCs w:val="20"/>
          <w:lang w:val="en-GB"/>
        </w:rPr>
        <w:t xml:space="preserve"> </w:t>
      </w:r>
      <w:r w:rsidRPr="34B4BEC1">
        <w:rPr>
          <w:rFonts w:ascii="Arial" w:hAnsi="Arial" w:cs="Arial"/>
          <w:sz w:val="20"/>
          <w:szCs w:val="20"/>
          <w:lang w:val="en-GB"/>
        </w:rPr>
        <w:t xml:space="preserve">to this </w:t>
      </w:r>
      <w:r w:rsidR="001B0D24">
        <w:rPr>
          <w:rFonts w:ascii="Arial" w:hAnsi="Arial" w:cs="Arial"/>
          <w:sz w:val="20"/>
          <w:szCs w:val="20"/>
          <w:lang w:val="en-GB"/>
        </w:rPr>
        <w:t>Purchase Agreement</w:t>
      </w:r>
      <w:r w:rsidRPr="34B4BEC1">
        <w:rPr>
          <w:rFonts w:ascii="Arial" w:hAnsi="Arial" w:cs="Arial"/>
          <w:sz w:val="20"/>
          <w:szCs w:val="20"/>
          <w:lang w:val="en-GB"/>
        </w:rPr>
        <w:t xml:space="preserve">). </w:t>
      </w:r>
    </w:p>
    <w:p w14:paraId="05F1151B" w14:textId="12BCCAA3" w:rsidR="057717F2" w:rsidRPr="00BB2F71" w:rsidRDefault="4EAF8A65" w:rsidP="5A09658B">
      <w:pPr>
        <w:jc w:val="both"/>
        <w:rPr>
          <w:rFonts w:ascii="Arial" w:hAnsi="Arial" w:cs="Arial"/>
          <w:sz w:val="20"/>
          <w:szCs w:val="20"/>
          <w:lang w:val="en-GB"/>
        </w:rPr>
      </w:pPr>
      <w:r w:rsidRPr="34B4BEC1">
        <w:rPr>
          <w:rFonts w:ascii="Arial" w:hAnsi="Arial" w:cs="Arial"/>
          <w:sz w:val="20"/>
          <w:szCs w:val="20"/>
          <w:lang w:val="en-GB"/>
        </w:rPr>
        <w:t xml:space="preserve">Other categories of eligible costs, including the travel and subsistence costs to support the visit of users, shall be reimbursed on the basis of eligible cost actually incurred. </w:t>
      </w:r>
    </w:p>
    <w:p w14:paraId="420F28F6" w14:textId="3D9DEF33" w:rsidR="008667E3" w:rsidRPr="00BB2F71" w:rsidRDefault="008667E3" w:rsidP="00962CDE">
      <w:pPr>
        <w:jc w:val="both"/>
        <w:rPr>
          <w:rFonts w:ascii="Arial" w:hAnsi="Arial" w:cs="Arial"/>
          <w:sz w:val="20"/>
          <w:szCs w:val="20"/>
          <w:lang w:val="en-GB"/>
        </w:rPr>
      </w:pPr>
      <w:r w:rsidRPr="34B4BEC1">
        <w:rPr>
          <w:rFonts w:ascii="Arial" w:hAnsi="Arial" w:cs="Arial"/>
          <w:sz w:val="20"/>
          <w:szCs w:val="20"/>
          <w:lang w:val="en-GB"/>
        </w:rPr>
        <w:t>Personnel cost for the provisions of access can only include costs of administrative, technical and scientific staff directly assigned to the functioning of the installation and to the support of the Users.</w:t>
      </w:r>
    </w:p>
    <w:p w14:paraId="48122E7E" w14:textId="7AC5983D" w:rsidR="4A7CA3B7" w:rsidRPr="00BB2F71" w:rsidRDefault="4E12D77D" w:rsidP="5A09658B">
      <w:pPr>
        <w:jc w:val="both"/>
        <w:rPr>
          <w:rFonts w:ascii="Arial" w:eastAsia="Arial" w:hAnsi="Arial" w:cs="Arial"/>
          <w:b/>
          <w:bCs/>
          <w:sz w:val="20"/>
          <w:szCs w:val="20"/>
          <w:lang w:val="en-GB"/>
        </w:rPr>
      </w:pPr>
      <w:r w:rsidRPr="34B4BEC1">
        <w:rPr>
          <w:rFonts w:ascii="Arial" w:eastAsia="Arial" w:hAnsi="Arial" w:cs="Arial"/>
          <w:b/>
          <w:bCs/>
          <w:sz w:val="20"/>
          <w:szCs w:val="20"/>
          <w:lang w:val="en-GB"/>
        </w:rPr>
        <w:t>4.2.2. Eligible costs in case of actual cost calculation methodology</w:t>
      </w:r>
    </w:p>
    <w:p w14:paraId="04075D76" w14:textId="0F8569DF" w:rsidR="0056025C" w:rsidRPr="00BB2F71" w:rsidRDefault="4A7CA3B7" w:rsidP="34B4BEC1">
      <w:pPr>
        <w:jc w:val="both"/>
        <w:rPr>
          <w:rFonts w:ascii="Arial" w:eastAsia="Arial" w:hAnsi="Arial" w:cs="Arial"/>
          <w:i/>
          <w:iCs/>
          <w:sz w:val="20"/>
          <w:szCs w:val="20"/>
          <w:lang w:val="en-GB"/>
        </w:rPr>
      </w:pPr>
      <w:r w:rsidRPr="34B4BEC1">
        <w:rPr>
          <w:rFonts w:ascii="Arial" w:eastAsia="Arial" w:hAnsi="Arial" w:cs="Arial"/>
          <w:sz w:val="20"/>
          <w:szCs w:val="20"/>
          <w:lang w:val="en-GB"/>
        </w:rPr>
        <w:t xml:space="preserve">If the access costs are calculated as actual costs, they must </w:t>
      </w:r>
      <w:r w:rsidR="0056025C" w:rsidRPr="34B4BEC1">
        <w:rPr>
          <w:rFonts w:ascii="Arial" w:eastAsia="Arial" w:hAnsi="Arial" w:cs="Arial"/>
          <w:sz w:val="20"/>
          <w:szCs w:val="20"/>
          <w:lang w:val="en-GB"/>
        </w:rPr>
        <w:t>fulfil</w:t>
      </w:r>
      <w:r w:rsidRPr="34B4BEC1">
        <w:rPr>
          <w:rFonts w:ascii="Arial" w:eastAsia="Arial" w:hAnsi="Arial" w:cs="Arial"/>
          <w:sz w:val="20"/>
          <w:szCs w:val="20"/>
          <w:lang w:val="en-GB"/>
        </w:rPr>
        <w:t xml:space="preserve"> the g</w:t>
      </w:r>
      <w:r w:rsidRPr="34B4BEC1">
        <w:rPr>
          <w:rFonts w:ascii="Arial" w:eastAsia="Arial" w:hAnsi="Arial" w:cs="Arial"/>
          <w:i/>
          <w:iCs/>
          <w:sz w:val="20"/>
          <w:szCs w:val="20"/>
          <w:lang w:val="en-GB"/>
        </w:rPr>
        <w:t xml:space="preserve">eneral eligibility conditions and the specific conditions for the type of cost in question (e.g. costs for other goods and services must also fulfil the specific eligibility conditions for the cost category </w:t>
      </w:r>
      <w:r w:rsidR="00836829" w:rsidRPr="34B4BEC1">
        <w:rPr>
          <w:rFonts w:ascii="Arial" w:eastAsia="Arial" w:hAnsi="Arial" w:cs="Arial"/>
          <w:i/>
          <w:iCs/>
          <w:sz w:val="20"/>
          <w:szCs w:val="20"/>
          <w:lang w:val="en-GB"/>
        </w:rPr>
        <w:t>C.3 Other</w:t>
      </w:r>
      <w:r w:rsidRPr="34B4BEC1">
        <w:rPr>
          <w:rFonts w:ascii="Arial" w:eastAsia="Arial" w:hAnsi="Arial" w:cs="Arial"/>
          <w:i/>
          <w:iCs/>
          <w:sz w:val="20"/>
          <w:szCs w:val="20"/>
          <w:lang w:val="en-GB"/>
        </w:rPr>
        <w:t xml:space="preserve"> goods, works and services).</w:t>
      </w:r>
    </w:p>
    <w:p w14:paraId="74A628E0" w14:textId="57BB8E0A" w:rsidR="4A7CA3B7" w:rsidRPr="00BB2F71" w:rsidRDefault="4A7CA3B7" w:rsidP="5A09658B">
      <w:pPr>
        <w:jc w:val="both"/>
        <w:rPr>
          <w:rFonts w:ascii="Arial" w:eastAsia="Arial" w:hAnsi="Arial" w:cs="Arial"/>
          <w:sz w:val="20"/>
          <w:szCs w:val="20"/>
          <w:lang w:val="en-GB"/>
        </w:rPr>
      </w:pPr>
      <w:r w:rsidRPr="34B4BEC1">
        <w:rPr>
          <w:rFonts w:ascii="Arial" w:eastAsia="Arial" w:hAnsi="Arial" w:cs="Arial"/>
          <w:sz w:val="20"/>
          <w:szCs w:val="20"/>
          <w:lang w:val="en-GB"/>
        </w:rPr>
        <w:t>Capital investments (</w:t>
      </w:r>
      <w:r w:rsidR="00836829" w:rsidRPr="34B4BEC1">
        <w:rPr>
          <w:rFonts w:ascii="Arial" w:eastAsia="Arial" w:hAnsi="Arial" w:cs="Arial"/>
          <w:sz w:val="20"/>
          <w:szCs w:val="20"/>
          <w:lang w:val="en-GB"/>
        </w:rPr>
        <w:t>i.e.,</w:t>
      </w:r>
      <w:r w:rsidRPr="34B4BEC1">
        <w:rPr>
          <w:rFonts w:ascii="Arial" w:eastAsia="Arial" w:hAnsi="Arial" w:cs="Arial"/>
          <w:sz w:val="20"/>
          <w:szCs w:val="20"/>
          <w:lang w:val="en-GB"/>
        </w:rPr>
        <w:t xml:space="preserve"> equipment costs for renting, leasing, purchasing </w:t>
      </w:r>
      <w:r w:rsidR="00836829" w:rsidRPr="34B4BEC1">
        <w:rPr>
          <w:rFonts w:ascii="Arial" w:eastAsia="Arial" w:hAnsi="Arial" w:cs="Arial"/>
          <w:sz w:val="20"/>
          <w:szCs w:val="20"/>
          <w:lang w:val="en-GB"/>
        </w:rPr>
        <w:t>depreciable equipment</w:t>
      </w:r>
      <w:r w:rsidRPr="34B4BEC1">
        <w:rPr>
          <w:rFonts w:ascii="Arial" w:eastAsia="Arial" w:hAnsi="Arial" w:cs="Arial"/>
          <w:sz w:val="20"/>
          <w:szCs w:val="20"/>
          <w:lang w:val="en-GB"/>
        </w:rPr>
        <w:t>, infrastructure or other assets) will NOT be reimbursed</w:t>
      </w:r>
      <w:r w:rsidR="0056025C" w:rsidRPr="34B4BEC1">
        <w:rPr>
          <w:rFonts w:ascii="Arial" w:eastAsia="Arial" w:hAnsi="Arial" w:cs="Arial"/>
          <w:sz w:val="20"/>
          <w:szCs w:val="20"/>
          <w:lang w:val="en-GB"/>
        </w:rPr>
        <w:t>.</w:t>
      </w:r>
    </w:p>
    <w:p w14:paraId="49090A3D" w14:textId="6E84AF3D" w:rsidR="5A09658B" w:rsidRPr="00BB2F71" w:rsidRDefault="548D77D4" w:rsidP="5A09658B">
      <w:pPr>
        <w:jc w:val="both"/>
        <w:rPr>
          <w:rFonts w:ascii="Arial" w:hAnsi="Arial" w:cs="Arial"/>
          <w:sz w:val="20"/>
          <w:szCs w:val="20"/>
          <w:lang w:val="en-GB"/>
        </w:rPr>
      </w:pPr>
      <w:r w:rsidRPr="34B4BEC1">
        <w:rPr>
          <w:rFonts w:ascii="Arial" w:hAnsi="Arial" w:cs="Arial"/>
          <w:sz w:val="20"/>
          <w:szCs w:val="20"/>
          <w:lang w:val="en-GB"/>
        </w:rPr>
        <w:t>No indirect cost shall apply for services provided u</w:t>
      </w:r>
      <w:r w:rsidR="20562A1B" w:rsidRPr="34B4BEC1">
        <w:rPr>
          <w:rFonts w:ascii="Arial" w:hAnsi="Arial" w:cs="Arial"/>
          <w:sz w:val="20"/>
          <w:szCs w:val="20"/>
          <w:lang w:val="en-GB"/>
        </w:rPr>
        <w:t xml:space="preserve">nder </w:t>
      </w:r>
      <w:r w:rsidRPr="34B4BEC1">
        <w:rPr>
          <w:rFonts w:ascii="Arial" w:hAnsi="Arial" w:cs="Arial"/>
          <w:sz w:val="20"/>
          <w:szCs w:val="20"/>
          <w:lang w:val="en-GB"/>
        </w:rPr>
        <w:t>the actual cost calculation methodology.</w:t>
      </w:r>
    </w:p>
    <w:p w14:paraId="39AED207" w14:textId="18D14492" w:rsidR="71E642C0" w:rsidRPr="00BB2F71" w:rsidRDefault="71E642C0" w:rsidP="5A09658B">
      <w:pPr>
        <w:jc w:val="both"/>
        <w:rPr>
          <w:rFonts w:ascii="Arial" w:eastAsia="Arial" w:hAnsi="Arial" w:cs="Arial"/>
          <w:b/>
          <w:bCs/>
          <w:sz w:val="20"/>
          <w:szCs w:val="20"/>
          <w:lang w:val="en-GB"/>
        </w:rPr>
      </w:pPr>
      <w:r w:rsidRPr="34B4BEC1">
        <w:rPr>
          <w:rFonts w:ascii="Arial" w:eastAsia="Arial" w:hAnsi="Arial" w:cs="Arial"/>
          <w:b/>
          <w:bCs/>
          <w:sz w:val="20"/>
          <w:szCs w:val="20"/>
          <w:lang w:val="en-GB"/>
        </w:rPr>
        <w:t xml:space="preserve">4.3. </w:t>
      </w:r>
      <w:r w:rsidR="433AB8FC" w:rsidRPr="34B4BEC1">
        <w:rPr>
          <w:rFonts w:ascii="Arial" w:eastAsia="Arial" w:hAnsi="Arial" w:cs="Arial"/>
          <w:b/>
          <w:bCs/>
          <w:sz w:val="20"/>
          <w:szCs w:val="20"/>
          <w:lang w:val="en-GB"/>
        </w:rPr>
        <w:t>Providing data about the servic</w:t>
      </w:r>
      <w:r w:rsidR="006C1A17">
        <w:rPr>
          <w:rFonts w:ascii="Arial" w:eastAsia="Arial" w:hAnsi="Arial" w:cs="Arial"/>
          <w:b/>
          <w:bCs/>
          <w:sz w:val="20"/>
          <w:szCs w:val="20"/>
          <w:lang w:val="en-GB"/>
        </w:rPr>
        <w:t>es</w:t>
      </w:r>
      <w:r w:rsidR="433AB8FC" w:rsidRPr="34B4BEC1">
        <w:rPr>
          <w:rFonts w:ascii="Arial" w:eastAsia="Arial" w:hAnsi="Arial" w:cs="Arial"/>
          <w:b/>
          <w:bCs/>
          <w:sz w:val="20"/>
          <w:szCs w:val="20"/>
          <w:lang w:val="en-GB"/>
        </w:rPr>
        <w:t xml:space="preserve"> </w:t>
      </w:r>
    </w:p>
    <w:p w14:paraId="2FEF46C0" w14:textId="1A3529D7" w:rsidR="00432C51" w:rsidRPr="00BB2F71" w:rsidRDefault="433AB8FC" w:rsidP="5A09658B">
      <w:pPr>
        <w:jc w:val="both"/>
        <w:rPr>
          <w:rFonts w:ascii="Arial" w:eastAsia="Arial" w:hAnsi="Arial" w:cs="Arial"/>
          <w:sz w:val="20"/>
          <w:szCs w:val="20"/>
          <w:lang w:val="en-GB"/>
        </w:rPr>
      </w:pPr>
      <w:r w:rsidRPr="34B4BEC1">
        <w:rPr>
          <w:rFonts w:ascii="Arial" w:eastAsia="Arial" w:hAnsi="Arial" w:cs="Arial"/>
          <w:sz w:val="20"/>
          <w:szCs w:val="20"/>
          <w:lang w:val="en-GB"/>
        </w:rPr>
        <w:t xml:space="preserve">The </w:t>
      </w:r>
      <w:r w:rsidR="00502086">
        <w:rPr>
          <w:rFonts w:ascii="Arial" w:eastAsia="Arial" w:hAnsi="Arial" w:cs="Arial"/>
          <w:sz w:val="20"/>
          <w:szCs w:val="20"/>
          <w:lang w:val="en-GB"/>
        </w:rPr>
        <w:t>S</w:t>
      </w:r>
      <w:r w:rsidRPr="34B4BEC1">
        <w:rPr>
          <w:rFonts w:ascii="Arial" w:eastAsia="Arial" w:hAnsi="Arial" w:cs="Arial"/>
          <w:sz w:val="20"/>
          <w:szCs w:val="20"/>
          <w:lang w:val="en-GB"/>
        </w:rPr>
        <w:t xml:space="preserve">ervice </w:t>
      </w:r>
      <w:r w:rsidR="00502086">
        <w:rPr>
          <w:rFonts w:ascii="Arial" w:eastAsia="Arial" w:hAnsi="Arial" w:cs="Arial"/>
          <w:sz w:val="20"/>
          <w:szCs w:val="20"/>
          <w:lang w:val="en-GB"/>
        </w:rPr>
        <w:t>P</w:t>
      </w:r>
      <w:r w:rsidRPr="34B4BEC1">
        <w:rPr>
          <w:rFonts w:ascii="Arial" w:eastAsia="Arial" w:hAnsi="Arial" w:cs="Arial"/>
          <w:sz w:val="20"/>
          <w:szCs w:val="20"/>
          <w:lang w:val="en-GB"/>
        </w:rPr>
        <w:t xml:space="preserve">rovider provides regular information to </w:t>
      </w:r>
      <w:r w:rsidR="008629B0">
        <w:rPr>
          <w:rFonts w:ascii="Arial" w:eastAsia="Arial" w:hAnsi="Arial" w:cs="Arial"/>
          <w:sz w:val="20"/>
          <w:szCs w:val="20"/>
          <w:lang w:val="en-GB"/>
        </w:rPr>
        <w:t>TNA Budget Holder</w:t>
      </w:r>
      <w:r w:rsidRPr="34B4BEC1">
        <w:rPr>
          <w:rFonts w:ascii="Arial" w:eastAsia="Arial" w:hAnsi="Arial" w:cs="Arial"/>
          <w:sz w:val="20"/>
          <w:szCs w:val="20"/>
          <w:lang w:val="en-GB"/>
        </w:rPr>
        <w:t xml:space="preserve"> about the services provided through</w:t>
      </w:r>
      <w:r w:rsidR="00432C51" w:rsidRPr="34B4BEC1">
        <w:rPr>
          <w:rFonts w:ascii="Arial" w:eastAsia="Arial" w:hAnsi="Arial" w:cs="Arial"/>
          <w:sz w:val="20"/>
          <w:szCs w:val="20"/>
          <w:lang w:val="en-GB"/>
        </w:rPr>
        <w:t xml:space="preserve"> the </w:t>
      </w:r>
      <w:r w:rsidRPr="34B4BEC1">
        <w:rPr>
          <w:rFonts w:ascii="Arial" w:eastAsia="Arial" w:hAnsi="Arial" w:cs="Arial"/>
          <w:sz w:val="20"/>
          <w:szCs w:val="20"/>
          <w:lang w:val="en-GB"/>
        </w:rPr>
        <w:t>CAMS</w:t>
      </w:r>
      <w:r w:rsidR="00345110">
        <w:rPr>
          <w:rFonts w:ascii="Arial" w:eastAsia="Arial" w:hAnsi="Arial" w:cs="Arial"/>
          <w:sz w:val="20"/>
          <w:szCs w:val="20"/>
          <w:lang w:val="en-GB"/>
        </w:rPr>
        <w:t xml:space="preserve">, </w:t>
      </w:r>
      <w:r w:rsidR="00F15EA7">
        <w:rPr>
          <w:rFonts w:ascii="Arial" w:eastAsia="Arial" w:hAnsi="Arial" w:cs="Arial"/>
          <w:sz w:val="20"/>
          <w:szCs w:val="20"/>
          <w:lang w:val="en-GB"/>
        </w:rPr>
        <w:t>as soon as the</w:t>
      </w:r>
      <w:r w:rsidR="00345110">
        <w:rPr>
          <w:rFonts w:ascii="Arial" w:eastAsia="Arial" w:hAnsi="Arial" w:cs="Arial"/>
          <w:sz w:val="20"/>
          <w:szCs w:val="20"/>
          <w:lang w:val="en-GB"/>
        </w:rPr>
        <w:t xml:space="preserve"> </w:t>
      </w:r>
      <w:r w:rsidR="00F15EA7">
        <w:rPr>
          <w:rFonts w:ascii="Arial" w:eastAsia="Arial" w:hAnsi="Arial" w:cs="Arial"/>
          <w:sz w:val="20"/>
          <w:szCs w:val="20"/>
          <w:lang w:val="en-GB"/>
        </w:rPr>
        <w:t xml:space="preserve">platform </w:t>
      </w:r>
      <w:r w:rsidR="00AA413C">
        <w:rPr>
          <w:rFonts w:ascii="Arial" w:eastAsia="Arial" w:hAnsi="Arial" w:cs="Arial"/>
          <w:sz w:val="20"/>
          <w:szCs w:val="20"/>
          <w:lang w:val="en-GB"/>
        </w:rPr>
        <w:t>is accessible</w:t>
      </w:r>
      <w:r w:rsidR="00176EAF">
        <w:rPr>
          <w:rFonts w:ascii="Arial" w:eastAsia="Arial" w:hAnsi="Arial" w:cs="Arial"/>
          <w:sz w:val="20"/>
          <w:szCs w:val="20"/>
          <w:lang w:val="en-GB"/>
        </w:rPr>
        <w:t xml:space="preserve"> for the Service Provider</w:t>
      </w:r>
      <w:r w:rsidRPr="34B4BEC1">
        <w:rPr>
          <w:rFonts w:ascii="Arial" w:eastAsia="Arial" w:hAnsi="Arial" w:cs="Arial"/>
          <w:sz w:val="20"/>
          <w:szCs w:val="20"/>
          <w:lang w:val="en-GB"/>
        </w:rPr>
        <w:t>.</w:t>
      </w:r>
    </w:p>
    <w:p w14:paraId="4866017F" w14:textId="78749FF7" w:rsidR="71E642C0" w:rsidRPr="00BB2F71" w:rsidRDefault="71E642C0" w:rsidP="5A09658B">
      <w:pPr>
        <w:jc w:val="both"/>
        <w:rPr>
          <w:rFonts w:ascii="Arial" w:eastAsia="Arial" w:hAnsi="Arial" w:cs="Arial"/>
          <w:sz w:val="20"/>
          <w:szCs w:val="20"/>
          <w:lang w:val="en-GB"/>
        </w:rPr>
      </w:pPr>
      <w:r w:rsidRPr="34B4BEC1">
        <w:rPr>
          <w:rFonts w:ascii="Arial" w:eastAsia="Arial" w:hAnsi="Arial" w:cs="Arial"/>
          <w:sz w:val="20"/>
          <w:szCs w:val="20"/>
          <w:lang w:val="en-GB"/>
        </w:rPr>
        <w:t xml:space="preserve">The units of access for the various installations </w:t>
      </w:r>
      <w:r w:rsidR="00A87D17" w:rsidRPr="34B4BEC1">
        <w:rPr>
          <w:rFonts w:ascii="Arial" w:eastAsia="Arial" w:hAnsi="Arial" w:cs="Arial"/>
          <w:sz w:val="20"/>
          <w:szCs w:val="20"/>
          <w:lang w:val="en-GB"/>
        </w:rPr>
        <w:t>are</w:t>
      </w:r>
      <w:r w:rsidRPr="34B4BEC1">
        <w:rPr>
          <w:rFonts w:ascii="Arial" w:eastAsia="Arial" w:hAnsi="Arial" w:cs="Arial"/>
          <w:sz w:val="20"/>
          <w:szCs w:val="20"/>
          <w:lang w:val="en-GB"/>
        </w:rPr>
        <w:t xml:space="preserve"> specified </w:t>
      </w:r>
      <w:r w:rsidR="0056025C" w:rsidRPr="34B4BEC1">
        <w:rPr>
          <w:rFonts w:ascii="Arial" w:eastAsia="Arial" w:hAnsi="Arial" w:cs="Arial"/>
          <w:sz w:val="20"/>
          <w:szCs w:val="20"/>
          <w:lang w:val="en-GB"/>
        </w:rPr>
        <w:t xml:space="preserve">in Annex </w:t>
      </w:r>
      <w:r w:rsidR="00994927">
        <w:rPr>
          <w:rFonts w:ascii="Arial" w:eastAsia="Arial" w:hAnsi="Arial" w:cs="Arial"/>
          <w:sz w:val="20"/>
          <w:szCs w:val="20"/>
          <w:lang w:val="en-GB"/>
        </w:rPr>
        <w:t>2</w:t>
      </w:r>
      <w:r w:rsidR="00994927" w:rsidRPr="34B4BEC1">
        <w:rPr>
          <w:rFonts w:ascii="Arial" w:eastAsia="Arial" w:hAnsi="Arial" w:cs="Arial"/>
          <w:sz w:val="20"/>
          <w:szCs w:val="20"/>
          <w:lang w:val="en-GB"/>
        </w:rPr>
        <w:t xml:space="preserve"> </w:t>
      </w:r>
      <w:r w:rsidR="0056025C" w:rsidRPr="34B4BEC1">
        <w:rPr>
          <w:rFonts w:ascii="Arial" w:eastAsia="Arial" w:hAnsi="Arial" w:cs="Arial"/>
          <w:sz w:val="20"/>
          <w:szCs w:val="20"/>
          <w:lang w:val="en-GB"/>
        </w:rPr>
        <w:t xml:space="preserve">of these </w:t>
      </w:r>
      <w:r w:rsidR="001B0D24">
        <w:rPr>
          <w:rFonts w:ascii="Arial" w:eastAsia="Arial" w:hAnsi="Arial" w:cs="Arial"/>
          <w:sz w:val="20"/>
          <w:szCs w:val="20"/>
          <w:lang w:val="en-GB"/>
        </w:rPr>
        <w:t>Purchase Agreement</w:t>
      </w:r>
      <w:r w:rsidR="0056025C" w:rsidRPr="34B4BEC1">
        <w:rPr>
          <w:rFonts w:ascii="Arial" w:eastAsia="Arial" w:hAnsi="Arial" w:cs="Arial"/>
          <w:sz w:val="20"/>
          <w:szCs w:val="20"/>
          <w:lang w:val="en-GB"/>
        </w:rPr>
        <w:t xml:space="preserve">. </w:t>
      </w:r>
      <w:r w:rsidRPr="34B4BEC1">
        <w:rPr>
          <w:rFonts w:ascii="Arial" w:eastAsia="Arial" w:hAnsi="Arial" w:cs="Arial"/>
          <w:sz w:val="20"/>
          <w:szCs w:val="20"/>
          <w:lang w:val="en-GB"/>
        </w:rPr>
        <w:t xml:space="preserve">A unit of access is specified between the parties </w:t>
      </w:r>
      <w:r w:rsidR="00A87D17" w:rsidRPr="34B4BEC1">
        <w:rPr>
          <w:rFonts w:ascii="Arial" w:eastAsia="Arial" w:hAnsi="Arial" w:cs="Arial"/>
          <w:sz w:val="20"/>
          <w:szCs w:val="20"/>
          <w:lang w:val="en-GB"/>
        </w:rPr>
        <w:t>regardless of</w:t>
      </w:r>
      <w:r w:rsidRPr="34B4BEC1">
        <w:rPr>
          <w:rFonts w:ascii="Arial" w:eastAsia="Arial" w:hAnsi="Arial" w:cs="Arial"/>
          <w:sz w:val="20"/>
          <w:szCs w:val="20"/>
          <w:lang w:val="en-GB"/>
        </w:rPr>
        <w:t xml:space="preserve"> whether the access costs are declared as unit cost or actual costs.</w:t>
      </w:r>
    </w:p>
    <w:p w14:paraId="00B3BCC3" w14:textId="2E3CC5E4" w:rsidR="00962CDE" w:rsidRPr="00BB2F71" w:rsidRDefault="00804C1C" w:rsidP="00962CDE">
      <w:pPr>
        <w:jc w:val="both"/>
        <w:rPr>
          <w:rFonts w:ascii="Arial" w:hAnsi="Arial" w:cs="Arial"/>
          <w:b/>
          <w:bCs/>
          <w:sz w:val="20"/>
          <w:szCs w:val="20"/>
          <w:lang w:val="en-GB"/>
        </w:rPr>
      </w:pPr>
      <w:r w:rsidRPr="34B4BEC1">
        <w:rPr>
          <w:rFonts w:ascii="Arial" w:hAnsi="Arial" w:cs="Arial"/>
          <w:b/>
          <w:bCs/>
          <w:sz w:val="20"/>
          <w:szCs w:val="20"/>
          <w:lang w:val="en-GB"/>
        </w:rPr>
        <w:t>4.</w:t>
      </w:r>
      <w:r w:rsidR="1DA9F65B" w:rsidRPr="34B4BEC1">
        <w:rPr>
          <w:rFonts w:ascii="Arial" w:hAnsi="Arial" w:cs="Arial"/>
          <w:b/>
          <w:bCs/>
          <w:sz w:val="20"/>
          <w:szCs w:val="20"/>
          <w:lang w:val="en-GB"/>
        </w:rPr>
        <w:t>4.</w:t>
      </w:r>
      <w:r w:rsidRPr="34B4BEC1">
        <w:rPr>
          <w:rFonts w:ascii="Arial" w:hAnsi="Arial" w:cs="Arial"/>
          <w:b/>
          <w:bCs/>
          <w:sz w:val="20"/>
          <w:szCs w:val="20"/>
          <w:lang w:val="en-GB"/>
        </w:rPr>
        <w:t xml:space="preserve"> </w:t>
      </w:r>
      <w:r w:rsidR="00962CDE" w:rsidRPr="34B4BEC1">
        <w:rPr>
          <w:rFonts w:ascii="Arial" w:hAnsi="Arial" w:cs="Arial"/>
          <w:b/>
          <w:bCs/>
          <w:sz w:val="20"/>
          <w:szCs w:val="20"/>
          <w:lang w:val="en-GB"/>
        </w:rPr>
        <w:t>Invoice and payment</w:t>
      </w:r>
    </w:p>
    <w:p w14:paraId="0E38831F" w14:textId="1097C773" w:rsidR="00FA4866" w:rsidRPr="00C62C19" w:rsidRDefault="5C736260" w:rsidP="1BFF96B2">
      <w:pPr>
        <w:jc w:val="both"/>
        <w:rPr>
          <w:rFonts w:ascii="Arial" w:hAnsi="Arial" w:cs="Arial"/>
          <w:sz w:val="20"/>
          <w:szCs w:val="20"/>
          <w:lang w:val="en-GB"/>
        </w:rPr>
      </w:pPr>
      <w:r w:rsidRPr="4B621D8D">
        <w:rPr>
          <w:rFonts w:ascii="Arial" w:hAnsi="Arial" w:cs="Arial"/>
          <w:sz w:val="20"/>
          <w:szCs w:val="20"/>
          <w:lang w:val="en-GB"/>
        </w:rPr>
        <w:t>The invoice must describe each type of service rendered</w:t>
      </w:r>
      <w:r w:rsidR="01599930" w:rsidRPr="4B621D8D">
        <w:rPr>
          <w:rFonts w:ascii="Arial" w:hAnsi="Arial" w:cs="Arial"/>
          <w:sz w:val="20"/>
          <w:szCs w:val="20"/>
          <w:lang w:val="en-GB"/>
        </w:rPr>
        <w:t xml:space="preserve">, the proposal </w:t>
      </w:r>
      <w:r w:rsidR="1399AA54" w:rsidRPr="4B621D8D">
        <w:rPr>
          <w:rFonts w:ascii="Arial" w:hAnsi="Arial" w:cs="Arial"/>
          <w:sz w:val="20"/>
          <w:szCs w:val="20"/>
          <w:lang w:val="en-GB"/>
        </w:rPr>
        <w:t xml:space="preserve">identifier </w:t>
      </w:r>
      <w:r w:rsidR="01599930" w:rsidRPr="4B621D8D">
        <w:rPr>
          <w:rFonts w:ascii="Arial" w:hAnsi="Arial" w:cs="Arial"/>
          <w:sz w:val="20"/>
          <w:szCs w:val="20"/>
          <w:lang w:val="en-GB"/>
        </w:rPr>
        <w:t xml:space="preserve">(PID) </w:t>
      </w:r>
      <w:r w:rsidR="1399AA54" w:rsidRPr="4B621D8D">
        <w:rPr>
          <w:rFonts w:ascii="Arial" w:hAnsi="Arial" w:cs="Arial"/>
          <w:sz w:val="20"/>
          <w:szCs w:val="20"/>
          <w:lang w:val="en-GB"/>
        </w:rPr>
        <w:t>and</w:t>
      </w:r>
      <w:r w:rsidR="01599930" w:rsidRPr="4B621D8D">
        <w:rPr>
          <w:rFonts w:ascii="Arial" w:hAnsi="Arial" w:cs="Arial"/>
          <w:sz w:val="20"/>
          <w:szCs w:val="20"/>
          <w:lang w:val="en-GB"/>
        </w:rPr>
        <w:t xml:space="preserve"> access identifier (VID) </w:t>
      </w:r>
      <w:r w:rsidR="1399AA54" w:rsidRPr="4B621D8D">
        <w:rPr>
          <w:rFonts w:ascii="Arial" w:hAnsi="Arial" w:cs="Arial"/>
          <w:sz w:val="20"/>
          <w:szCs w:val="20"/>
          <w:lang w:val="en-GB"/>
        </w:rPr>
        <w:t>and</w:t>
      </w:r>
      <w:r w:rsidRPr="4B621D8D">
        <w:rPr>
          <w:rFonts w:ascii="Arial" w:hAnsi="Arial" w:cs="Arial"/>
          <w:sz w:val="20"/>
          <w:szCs w:val="20"/>
          <w:lang w:val="en-GB"/>
        </w:rPr>
        <w:t xml:space="preserve"> can only contain reimbursable expenses in accordance with Paragraph 4.2. The total amount due for payment must be clearly included </w:t>
      </w:r>
      <w:r w:rsidR="5A02E4F7" w:rsidRPr="4B621D8D">
        <w:rPr>
          <w:rFonts w:ascii="Arial" w:hAnsi="Arial" w:cs="Arial"/>
          <w:sz w:val="20"/>
          <w:szCs w:val="20"/>
          <w:lang w:val="en-GB"/>
        </w:rPr>
        <w:t xml:space="preserve">on </w:t>
      </w:r>
      <w:r w:rsidRPr="4B621D8D">
        <w:rPr>
          <w:rFonts w:ascii="Arial" w:hAnsi="Arial" w:cs="Arial"/>
          <w:sz w:val="20"/>
          <w:szCs w:val="20"/>
          <w:lang w:val="en-GB"/>
        </w:rPr>
        <w:t>the invoice.</w:t>
      </w:r>
      <w:r w:rsidR="1A4CF258" w:rsidRPr="4B621D8D">
        <w:rPr>
          <w:rFonts w:ascii="Arial" w:hAnsi="Arial" w:cs="Arial"/>
          <w:sz w:val="20"/>
          <w:szCs w:val="20"/>
          <w:lang w:val="en-GB"/>
        </w:rPr>
        <w:t xml:space="preserve"> The invoiced quantity of access (no. Units) must match the amount of access </w:t>
      </w:r>
      <w:r w:rsidR="6A3B0E40" w:rsidRPr="4B621D8D">
        <w:rPr>
          <w:rFonts w:ascii="Arial" w:hAnsi="Arial" w:cs="Arial"/>
          <w:sz w:val="20"/>
          <w:szCs w:val="20"/>
          <w:lang w:val="en-GB"/>
        </w:rPr>
        <w:t xml:space="preserve">recorded </w:t>
      </w:r>
      <w:r w:rsidR="1A4CF258" w:rsidRPr="4B621D8D">
        <w:rPr>
          <w:rFonts w:ascii="Arial" w:hAnsi="Arial" w:cs="Arial"/>
          <w:sz w:val="20"/>
          <w:szCs w:val="20"/>
          <w:lang w:val="en-GB"/>
        </w:rPr>
        <w:t>in the CAMS</w:t>
      </w:r>
      <w:r w:rsidR="6A3B0E40" w:rsidRPr="4B621D8D">
        <w:rPr>
          <w:rFonts w:ascii="Arial" w:hAnsi="Arial" w:cs="Arial"/>
          <w:sz w:val="20"/>
          <w:szCs w:val="20"/>
          <w:lang w:val="en-GB"/>
        </w:rPr>
        <w:t>.</w:t>
      </w:r>
      <w:r w:rsidR="50888742" w:rsidRPr="4B621D8D">
        <w:rPr>
          <w:rFonts w:ascii="Arial" w:hAnsi="Arial" w:cs="Arial"/>
          <w:sz w:val="20"/>
          <w:szCs w:val="20"/>
          <w:lang w:val="en-GB"/>
        </w:rPr>
        <w:t xml:space="preserve"> </w:t>
      </w:r>
      <w:r w:rsidR="1BB84BC0" w:rsidRPr="4B621D8D">
        <w:rPr>
          <w:rFonts w:ascii="Arial" w:hAnsi="Arial" w:cs="Arial"/>
          <w:sz w:val="20"/>
          <w:szCs w:val="20"/>
          <w:lang w:val="en-GB"/>
        </w:rPr>
        <w:t>The invoice must show evidence that there is no profit included in the invoiced services. The </w:t>
      </w:r>
      <w:r w:rsidR="1BB84BC0" w:rsidRPr="4B621D8D">
        <w:rPr>
          <w:rFonts w:ascii="Arial" w:hAnsi="Arial" w:cs="Arial"/>
          <w:sz w:val="20"/>
          <w:szCs w:val="20"/>
          <w:lang w:val="en-IE"/>
        </w:rPr>
        <w:t>respective documentation and supporting calculation and documents </w:t>
      </w:r>
      <w:r w:rsidR="1BB84BC0" w:rsidRPr="4B621D8D">
        <w:rPr>
          <w:rFonts w:ascii="Arial" w:hAnsi="Arial" w:cs="Arial"/>
          <w:sz w:val="20"/>
          <w:szCs w:val="20"/>
          <w:lang w:val="en-GB"/>
        </w:rPr>
        <w:t xml:space="preserve">(timesheets, etc) must be provided </w:t>
      </w:r>
      <w:r w:rsidR="3899A654" w:rsidRPr="4B621D8D">
        <w:rPr>
          <w:rFonts w:ascii="Arial" w:hAnsi="Arial" w:cs="Arial"/>
          <w:sz w:val="20"/>
          <w:szCs w:val="20"/>
          <w:lang w:val="en-GB"/>
        </w:rPr>
        <w:t xml:space="preserve">by the Service Provider </w:t>
      </w:r>
      <w:r w:rsidR="74CC4B3A" w:rsidRPr="4B621D8D">
        <w:rPr>
          <w:rFonts w:ascii="Arial" w:hAnsi="Arial" w:cs="Arial"/>
          <w:sz w:val="20"/>
          <w:szCs w:val="20"/>
          <w:lang w:val="en-GB"/>
        </w:rPr>
        <w:t xml:space="preserve">to the TNA budget holder (beneficiary) </w:t>
      </w:r>
      <w:r w:rsidR="3899A654" w:rsidRPr="4B621D8D">
        <w:rPr>
          <w:rFonts w:ascii="Arial" w:hAnsi="Arial" w:cs="Arial"/>
          <w:sz w:val="20"/>
          <w:szCs w:val="20"/>
          <w:lang w:val="en-GB"/>
        </w:rPr>
        <w:t xml:space="preserve">in case of </w:t>
      </w:r>
      <w:r w:rsidR="20614D42" w:rsidRPr="4B621D8D">
        <w:rPr>
          <w:rFonts w:ascii="Arial" w:hAnsi="Arial" w:cs="Arial"/>
          <w:sz w:val="20"/>
          <w:szCs w:val="20"/>
          <w:lang w:val="en-GB"/>
        </w:rPr>
        <w:t xml:space="preserve">an </w:t>
      </w:r>
      <w:r w:rsidR="3899A654" w:rsidRPr="4B621D8D">
        <w:rPr>
          <w:rFonts w:ascii="Arial" w:hAnsi="Arial" w:cs="Arial"/>
          <w:sz w:val="20"/>
          <w:szCs w:val="20"/>
          <w:lang w:val="en-GB"/>
        </w:rPr>
        <w:t xml:space="preserve">audit </w:t>
      </w:r>
      <w:r w:rsidR="1BB84BC0" w:rsidRPr="4B621D8D">
        <w:rPr>
          <w:rFonts w:ascii="Arial" w:hAnsi="Arial" w:cs="Arial"/>
          <w:sz w:val="20"/>
          <w:szCs w:val="20"/>
          <w:lang w:val="en-GB"/>
        </w:rPr>
        <w:t>to prove eligibility and non-profit rule.</w:t>
      </w:r>
    </w:p>
    <w:p w14:paraId="1EDABB96" w14:textId="32D56953" w:rsidR="0056025C" w:rsidRPr="00C62C19" w:rsidRDefault="2B7F606A" w:rsidP="1F9D3238">
      <w:pPr>
        <w:jc w:val="both"/>
        <w:rPr>
          <w:rFonts w:ascii="Arial" w:hAnsi="Arial" w:cs="Arial"/>
          <w:sz w:val="20"/>
          <w:szCs w:val="20"/>
          <w:lang w:val="en-GB"/>
        </w:rPr>
      </w:pPr>
      <w:r w:rsidRPr="1902C6B7">
        <w:rPr>
          <w:rFonts w:ascii="Arial" w:hAnsi="Arial" w:cs="Arial"/>
          <w:sz w:val="20"/>
          <w:szCs w:val="20"/>
          <w:lang w:val="en-GB"/>
        </w:rPr>
        <w:t xml:space="preserve">Invoices </w:t>
      </w:r>
      <w:r w:rsidR="00F226AD" w:rsidRPr="1902C6B7">
        <w:rPr>
          <w:rFonts w:ascii="Arial" w:hAnsi="Arial" w:cs="Arial"/>
          <w:sz w:val="20"/>
          <w:szCs w:val="20"/>
          <w:lang w:val="en-GB"/>
        </w:rPr>
        <w:t xml:space="preserve">together with </w:t>
      </w:r>
      <w:r w:rsidR="001B3B76" w:rsidRPr="1902C6B7">
        <w:rPr>
          <w:rFonts w:ascii="Arial" w:hAnsi="Arial" w:cs="Arial"/>
          <w:sz w:val="20"/>
          <w:szCs w:val="20"/>
          <w:lang w:val="en-GB"/>
        </w:rPr>
        <w:t xml:space="preserve">a </w:t>
      </w:r>
      <w:r w:rsidR="6BF13D84" w:rsidRPr="1902C6B7">
        <w:rPr>
          <w:rFonts w:ascii="Arial" w:hAnsi="Arial" w:cs="Arial"/>
          <w:sz w:val="20"/>
          <w:szCs w:val="20"/>
          <w:lang w:val="en-GB"/>
        </w:rPr>
        <w:t>delivery</w:t>
      </w:r>
      <w:r w:rsidR="00A41856">
        <w:rPr>
          <w:rFonts w:ascii="Arial" w:hAnsi="Arial" w:cs="Arial"/>
          <w:sz w:val="20"/>
          <w:szCs w:val="20"/>
          <w:lang w:val="en-GB"/>
        </w:rPr>
        <w:t xml:space="preserve"> </w:t>
      </w:r>
      <w:r w:rsidR="797842EC" w:rsidRPr="1902C6B7">
        <w:rPr>
          <w:rFonts w:ascii="Arial" w:hAnsi="Arial" w:cs="Arial"/>
          <w:sz w:val="20"/>
          <w:szCs w:val="20"/>
          <w:lang w:val="en-GB"/>
        </w:rPr>
        <w:t>c</w:t>
      </w:r>
      <w:r w:rsidR="006771F6" w:rsidRPr="1902C6B7">
        <w:rPr>
          <w:rFonts w:ascii="Arial" w:hAnsi="Arial" w:cs="Arial"/>
          <w:sz w:val="20"/>
          <w:szCs w:val="20"/>
          <w:lang w:val="en-GB"/>
        </w:rPr>
        <w:t xml:space="preserve">onfirmation of the </w:t>
      </w:r>
      <w:r w:rsidR="10938B20" w:rsidRPr="1902C6B7">
        <w:rPr>
          <w:rFonts w:ascii="Arial" w:hAnsi="Arial" w:cs="Arial"/>
          <w:sz w:val="20"/>
          <w:szCs w:val="20"/>
          <w:lang w:val="en-GB"/>
        </w:rPr>
        <w:t>service/s</w:t>
      </w:r>
      <w:r w:rsidR="006771F6" w:rsidRPr="1902C6B7">
        <w:rPr>
          <w:rFonts w:ascii="Arial" w:hAnsi="Arial" w:cs="Arial"/>
          <w:sz w:val="20"/>
          <w:szCs w:val="20"/>
          <w:lang w:val="en-GB"/>
        </w:rPr>
        <w:t xml:space="preserve"> </w:t>
      </w:r>
      <w:r w:rsidRPr="1902C6B7">
        <w:rPr>
          <w:rFonts w:ascii="Arial" w:hAnsi="Arial" w:cs="Arial"/>
          <w:sz w:val="20"/>
          <w:szCs w:val="20"/>
          <w:lang w:val="en-GB"/>
        </w:rPr>
        <w:t xml:space="preserve">are to be submitted </w:t>
      </w:r>
      <w:r w:rsidR="31A578C8" w:rsidRPr="1902C6B7">
        <w:rPr>
          <w:rFonts w:ascii="Arial" w:eastAsia="Arial" w:hAnsi="Arial" w:cs="Arial"/>
          <w:sz w:val="19"/>
          <w:szCs w:val="19"/>
          <w:lang w:val="en-GB"/>
        </w:rPr>
        <w:t xml:space="preserve">to the address specified by the TNA Budget Holder </w:t>
      </w:r>
      <w:r w:rsidRPr="1902C6B7">
        <w:rPr>
          <w:rFonts w:ascii="Arial" w:hAnsi="Arial" w:cs="Arial"/>
          <w:sz w:val="20"/>
          <w:szCs w:val="20"/>
          <w:lang w:val="en-GB"/>
        </w:rPr>
        <w:t xml:space="preserve">after </w:t>
      </w:r>
      <w:r w:rsidR="0B91C83C" w:rsidRPr="1902C6B7">
        <w:rPr>
          <w:rFonts w:ascii="Arial" w:hAnsi="Arial" w:cs="Arial"/>
          <w:sz w:val="20"/>
          <w:szCs w:val="20"/>
          <w:lang w:val="en-GB"/>
        </w:rPr>
        <w:t xml:space="preserve">approved </w:t>
      </w:r>
      <w:r w:rsidRPr="1902C6B7">
        <w:rPr>
          <w:rFonts w:ascii="Arial" w:hAnsi="Arial" w:cs="Arial"/>
          <w:sz w:val="20"/>
          <w:szCs w:val="20"/>
          <w:lang w:val="en-GB"/>
        </w:rPr>
        <w:t xml:space="preserve">services have been </w:t>
      </w:r>
      <w:r w:rsidR="380C0F2C" w:rsidRPr="1902C6B7">
        <w:rPr>
          <w:rFonts w:ascii="Arial" w:hAnsi="Arial" w:cs="Arial"/>
          <w:sz w:val="20"/>
          <w:szCs w:val="20"/>
          <w:lang w:val="en-GB"/>
        </w:rPr>
        <w:t xml:space="preserve">properly </w:t>
      </w:r>
      <w:r w:rsidRPr="1902C6B7">
        <w:rPr>
          <w:rFonts w:ascii="Arial" w:hAnsi="Arial" w:cs="Arial"/>
          <w:sz w:val="20"/>
          <w:szCs w:val="20"/>
          <w:lang w:val="en-GB"/>
        </w:rPr>
        <w:t>completed</w:t>
      </w:r>
      <w:r w:rsidR="55158060" w:rsidRPr="1902C6B7">
        <w:rPr>
          <w:rFonts w:ascii="Arial" w:hAnsi="Arial" w:cs="Arial"/>
          <w:sz w:val="20"/>
          <w:szCs w:val="20"/>
          <w:lang w:val="en-GB"/>
        </w:rPr>
        <w:t xml:space="preserve"> </w:t>
      </w:r>
      <w:r w:rsidR="55158060" w:rsidRPr="1902C6B7">
        <w:rPr>
          <w:rFonts w:ascii="Arial" w:eastAsia="Arial" w:hAnsi="Arial" w:cs="Arial"/>
          <w:sz w:val="19"/>
          <w:szCs w:val="19"/>
          <w:lang w:val="en-GB"/>
        </w:rPr>
        <w:t>in line with the relevant service description</w:t>
      </w:r>
      <w:r w:rsidRPr="1902C6B7">
        <w:rPr>
          <w:rFonts w:ascii="Arial" w:hAnsi="Arial" w:cs="Arial"/>
          <w:sz w:val="20"/>
          <w:szCs w:val="20"/>
          <w:lang w:val="en-GB"/>
        </w:rPr>
        <w:t xml:space="preserve">. </w:t>
      </w:r>
      <w:r w:rsidR="6742B19B" w:rsidRPr="1902C6B7">
        <w:rPr>
          <w:rFonts w:ascii="Arial" w:hAnsi="Arial" w:cs="Arial"/>
          <w:sz w:val="20"/>
          <w:szCs w:val="20"/>
          <w:lang w:val="en-GB"/>
        </w:rPr>
        <w:t>Invoices must be sent within sixty (60) days of completion of the access.</w:t>
      </w:r>
    </w:p>
    <w:p w14:paraId="76E8D59E" w14:textId="00E41FFE" w:rsidR="5A09658B" w:rsidRPr="00BB2F71" w:rsidRDefault="2B7F606A" w:rsidP="5A09658B">
      <w:pPr>
        <w:jc w:val="both"/>
        <w:rPr>
          <w:rFonts w:ascii="Arial" w:hAnsi="Arial" w:cs="Arial"/>
          <w:sz w:val="20"/>
          <w:szCs w:val="20"/>
        </w:rPr>
      </w:pPr>
      <w:r w:rsidRPr="34B4BEC1">
        <w:rPr>
          <w:rFonts w:ascii="Arial" w:hAnsi="Arial"/>
          <w:sz w:val="20"/>
          <w:szCs w:val="20"/>
          <w:lang w:val="en-GB"/>
        </w:rPr>
        <w:t xml:space="preserve">Invoices shall be verified and approved by the </w:t>
      </w:r>
      <w:r w:rsidR="008629B0">
        <w:rPr>
          <w:rFonts w:ascii="Arial" w:hAnsi="Arial" w:cs="Arial"/>
          <w:sz w:val="20"/>
          <w:szCs w:val="20"/>
          <w:lang w:val="en-GB"/>
        </w:rPr>
        <w:t>TNA Budget Holder</w:t>
      </w:r>
      <w:r w:rsidRPr="34B4BEC1">
        <w:rPr>
          <w:rFonts w:ascii="Arial" w:hAnsi="Arial"/>
          <w:sz w:val="20"/>
          <w:szCs w:val="20"/>
          <w:lang w:val="en-GB"/>
        </w:rPr>
        <w:t xml:space="preserve"> </w:t>
      </w:r>
      <w:hyperlink r:id="rId12">
        <w:r w:rsidRPr="34B4BEC1">
          <w:rPr>
            <w:rStyle w:val="Hypertextovodkaz"/>
            <w:rFonts w:ascii="Arial" w:hAnsi="Arial"/>
            <w:color w:val="auto"/>
            <w:sz w:val="20"/>
            <w:szCs w:val="20"/>
            <w:u w:val="none"/>
            <w:lang w:val="en-GB"/>
          </w:rPr>
          <w:t>and</w:t>
        </w:r>
      </w:hyperlink>
      <w:r w:rsidRPr="34B4BEC1">
        <w:rPr>
          <w:rFonts w:ascii="Arial" w:hAnsi="Arial"/>
          <w:sz w:val="20"/>
          <w:szCs w:val="20"/>
          <w:lang w:val="en-GB"/>
        </w:rPr>
        <w:t xml:space="preserve"> subject to routine processing requirements. Incomplete or incorrect invoices are not acceptable and will be returned to the </w:t>
      </w:r>
      <w:r w:rsidR="00502086">
        <w:rPr>
          <w:rFonts w:ascii="Arial" w:hAnsi="Arial"/>
          <w:sz w:val="20"/>
          <w:szCs w:val="20"/>
          <w:lang w:val="en-GB"/>
        </w:rPr>
        <w:t>S</w:t>
      </w:r>
      <w:r w:rsidR="79E36B17" w:rsidRPr="34B4BEC1">
        <w:rPr>
          <w:rFonts w:ascii="Arial" w:hAnsi="Arial"/>
          <w:sz w:val="20"/>
          <w:szCs w:val="20"/>
          <w:lang w:val="en-GB"/>
        </w:rPr>
        <w:t xml:space="preserve">ervice </w:t>
      </w:r>
      <w:r w:rsidR="00502086">
        <w:rPr>
          <w:rFonts w:ascii="Arial" w:hAnsi="Arial"/>
          <w:sz w:val="20"/>
          <w:szCs w:val="20"/>
          <w:lang w:val="en-GB"/>
        </w:rPr>
        <w:t>P</w:t>
      </w:r>
      <w:r w:rsidR="79E36B17" w:rsidRPr="34B4BEC1">
        <w:rPr>
          <w:rFonts w:ascii="Arial" w:hAnsi="Arial"/>
          <w:sz w:val="20"/>
          <w:szCs w:val="20"/>
          <w:lang w:val="en-GB"/>
        </w:rPr>
        <w:t>rovider</w:t>
      </w:r>
      <w:r w:rsidRPr="34B4BEC1">
        <w:rPr>
          <w:rFonts w:ascii="Arial" w:hAnsi="Arial"/>
          <w:sz w:val="20"/>
          <w:szCs w:val="20"/>
          <w:lang w:val="en-GB"/>
        </w:rPr>
        <w:t xml:space="preserve"> for correction.</w:t>
      </w:r>
      <w:r w:rsidRPr="34B4BEC1">
        <w:rPr>
          <w:rFonts w:ascii="Arial" w:hAnsi="Arial"/>
          <w:sz w:val="20"/>
          <w:szCs w:val="20"/>
        </w:rPr>
        <w:t xml:space="preserve"> </w:t>
      </w:r>
      <w:r w:rsidR="79E36B17" w:rsidRPr="34B4BEC1">
        <w:rPr>
          <w:rFonts w:ascii="Arial" w:hAnsi="Arial"/>
          <w:sz w:val="20"/>
          <w:szCs w:val="20"/>
        </w:rPr>
        <w:t xml:space="preserve"> </w:t>
      </w:r>
    </w:p>
    <w:p w14:paraId="0ACE4086" w14:textId="1BA18080" w:rsidR="00441BF0" w:rsidRPr="00B6336F" w:rsidRDefault="00441BF0" w:rsidP="006976EB">
      <w:pPr>
        <w:pStyle w:val="Odstavecseseznamem"/>
        <w:numPr>
          <w:ilvl w:val="0"/>
          <w:numId w:val="5"/>
        </w:numPr>
        <w:rPr>
          <w:rFonts w:cs="Arial"/>
          <w:lang w:val="en-GB"/>
        </w:rPr>
      </w:pPr>
      <w:r w:rsidRPr="001F4D8F">
        <w:rPr>
          <w:rFonts w:ascii="Arial" w:hAnsi="Arial"/>
          <w:b/>
          <w:bCs/>
          <w:sz w:val="20"/>
          <w:szCs w:val="20"/>
          <w:lang w:val="en-GB"/>
        </w:rPr>
        <w:t xml:space="preserve">Horizon Europe rules governing TNA </w:t>
      </w:r>
    </w:p>
    <w:p w14:paraId="38B5E574" w14:textId="06014E5E" w:rsidR="00A14567" w:rsidRDefault="3899A654" w:rsidP="34B4BEC1">
      <w:pPr>
        <w:jc w:val="both"/>
        <w:rPr>
          <w:rFonts w:ascii="Arial" w:hAnsi="Arial"/>
          <w:sz w:val="20"/>
          <w:szCs w:val="20"/>
          <w:lang w:val="en-GB"/>
        </w:rPr>
      </w:pPr>
      <w:r w:rsidRPr="4B621D8D">
        <w:rPr>
          <w:rFonts w:ascii="Arial" w:hAnsi="Arial"/>
          <w:sz w:val="20"/>
          <w:szCs w:val="20"/>
          <w:lang w:val="en-GB"/>
        </w:rPr>
        <w:t>Although Service Provider is not third party to the Grant Agreement, the Service provider shall prove that the Service provider</w:t>
      </w:r>
      <w:r w:rsidR="0F373B89" w:rsidRPr="4B621D8D">
        <w:rPr>
          <w:rFonts w:ascii="Arial" w:hAnsi="Arial"/>
          <w:sz w:val="20"/>
          <w:szCs w:val="20"/>
          <w:lang w:val="en-GB"/>
        </w:rPr>
        <w:t xml:space="preserve"> acts</w:t>
      </w:r>
      <w:r w:rsidRPr="4B621D8D">
        <w:rPr>
          <w:rFonts w:ascii="Arial" w:hAnsi="Arial"/>
          <w:sz w:val="20"/>
          <w:szCs w:val="20"/>
          <w:lang w:val="en-GB"/>
        </w:rPr>
        <w:t xml:space="preserve"> in line with i) providing correct cost methodology, ii) applying non-profit rules and iii) declaring </w:t>
      </w:r>
      <w:r w:rsidR="1B184792" w:rsidRPr="4B621D8D">
        <w:rPr>
          <w:rFonts w:ascii="Arial" w:hAnsi="Arial"/>
          <w:sz w:val="20"/>
          <w:szCs w:val="20"/>
          <w:lang w:val="en-GB"/>
        </w:rPr>
        <w:t xml:space="preserve">only </w:t>
      </w:r>
      <w:r w:rsidRPr="4B621D8D">
        <w:rPr>
          <w:rFonts w:ascii="Arial" w:hAnsi="Arial"/>
          <w:sz w:val="20"/>
          <w:szCs w:val="20"/>
          <w:lang w:val="en-GB"/>
        </w:rPr>
        <w:t>eligible cost</w:t>
      </w:r>
      <w:r w:rsidR="065F5B19" w:rsidRPr="4B621D8D">
        <w:rPr>
          <w:rFonts w:ascii="Arial" w:hAnsi="Arial"/>
          <w:sz w:val="20"/>
          <w:szCs w:val="20"/>
          <w:lang w:val="en-GB"/>
        </w:rPr>
        <w:t xml:space="preserve"> upon request of the beneficiary.</w:t>
      </w:r>
      <w:r w:rsidRPr="4B621D8D">
        <w:rPr>
          <w:rFonts w:ascii="Arial" w:hAnsi="Arial"/>
          <w:sz w:val="20"/>
          <w:szCs w:val="20"/>
          <w:lang w:val="en-GB"/>
        </w:rPr>
        <w:t xml:space="preserve"> </w:t>
      </w:r>
    </w:p>
    <w:p w14:paraId="1D0103BE" w14:textId="1B37A990" w:rsidR="00563113" w:rsidRPr="00B6336F" w:rsidRDefault="00A14567" w:rsidP="34B4BEC1">
      <w:pPr>
        <w:jc w:val="both"/>
        <w:rPr>
          <w:rFonts w:ascii="Arial" w:hAnsi="Arial"/>
          <w:sz w:val="20"/>
          <w:szCs w:val="20"/>
          <w:lang w:val="en-GB"/>
        </w:rPr>
      </w:pPr>
      <w:r>
        <w:rPr>
          <w:rFonts w:ascii="Arial" w:hAnsi="Arial"/>
          <w:sz w:val="20"/>
          <w:szCs w:val="20"/>
          <w:lang w:val="en-GB"/>
        </w:rPr>
        <w:t xml:space="preserve">Therefore, </w:t>
      </w:r>
      <w:r w:rsidR="007A1F36" w:rsidRPr="00B6336F">
        <w:rPr>
          <w:rFonts w:ascii="Arial" w:hAnsi="Arial"/>
          <w:sz w:val="20"/>
          <w:szCs w:val="20"/>
          <w:lang w:val="en-GB"/>
        </w:rPr>
        <w:t xml:space="preserve">Parties must comply with the </w:t>
      </w:r>
      <w:r w:rsidR="00441BF0" w:rsidRPr="00B6336F">
        <w:rPr>
          <w:rFonts w:ascii="Arial" w:hAnsi="Arial"/>
          <w:sz w:val="20"/>
          <w:szCs w:val="20"/>
          <w:lang w:val="en-GB"/>
        </w:rPr>
        <w:t>Horizon Europe rules governing TNA</w:t>
      </w:r>
      <w:r w:rsidR="00B6336F">
        <w:rPr>
          <w:rFonts w:ascii="Arial" w:hAnsi="Arial"/>
          <w:sz w:val="20"/>
          <w:szCs w:val="20"/>
          <w:lang w:val="en-GB"/>
        </w:rPr>
        <w:t xml:space="preserve"> annexed to th</w:t>
      </w:r>
      <w:r w:rsidR="001B0D24">
        <w:rPr>
          <w:rFonts w:ascii="Arial" w:hAnsi="Arial"/>
          <w:sz w:val="20"/>
          <w:szCs w:val="20"/>
          <w:lang w:val="en-GB"/>
        </w:rPr>
        <w:t xml:space="preserve">is Purchase Agreement </w:t>
      </w:r>
      <w:r w:rsidR="00B6336F">
        <w:rPr>
          <w:rFonts w:ascii="Arial" w:hAnsi="Arial"/>
          <w:sz w:val="20"/>
          <w:szCs w:val="20"/>
          <w:lang w:val="en-GB"/>
        </w:rPr>
        <w:t xml:space="preserve">(Annex </w:t>
      </w:r>
      <w:r w:rsidR="00994927">
        <w:rPr>
          <w:rFonts w:ascii="Arial" w:hAnsi="Arial"/>
          <w:sz w:val="20"/>
          <w:szCs w:val="20"/>
          <w:lang w:val="en-GB"/>
        </w:rPr>
        <w:t>4</w:t>
      </w:r>
      <w:r w:rsidR="00B6336F">
        <w:rPr>
          <w:rFonts w:ascii="Arial" w:hAnsi="Arial"/>
          <w:sz w:val="20"/>
          <w:szCs w:val="20"/>
          <w:lang w:val="en-GB"/>
        </w:rPr>
        <w:t>)</w:t>
      </w:r>
      <w:r w:rsidR="00441BF0" w:rsidRPr="00B6336F">
        <w:rPr>
          <w:rFonts w:ascii="Arial" w:hAnsi="Arial"/>
          <w:sz w:val="20"/>
          <w:szCs w:val="20"/>
          <w:lang w:val="en-GB"/>
        </w:rPr>
        <w:t xml:space="preserve">, especially: </w:t>
      </w:r>
    </w:p>
    <w:p w14:paraId="4357F830" w14:textId="4BD2FF3F" w:rsidR="00441BF0" w:rsidRPr="00793BCE" w:rsidRDefault="00441BF0" w:rsidP="007951FB">
      <w:pPr>
        <w:pStyle w:val="Odstavecseseznamem"/>
        <w:numPr>
          <w:ilvl w:val="0"/>
          <w:numId w:val="19"/>
        </w:numPr>
        <w:jc w:val="both"/>
        <w:rPr>
          <w:rFonts w:ascii="Arial" w:hAnsi="Arial"/>
          <w:sz w:val="20"/>
          <w:szCs w:val="20"/>
          <w:lang w:val="en-GB"/>
        </w:rPr>
      </w:pPr>
      <w:r w:rsidRPr="00793BCE">
        <w:rPr>
          <w:rFonts w:ascii="Arial" w:hAnsi="Arial"/>
          <w:sz w:val="20"/>
          <w:szCs w:val="20"/>
          <w:lang w:val="en-GB"/>
        </w:rPr>
        <w:t>proper implementation of the action</w:t>
      </w:r>
    </w:p>
    <w:p w14:paraId="274ED609" w14:textId="268BC1C3" w:rsidR="00441BF0" w:rsidRPr="00793BCE" w:rsidRDefault="00441BF0" w:rsidP="007951FB">
      <w:pPr>
        <w:pStyle w:val="Odstavecseseznamem"/>
        <w:numPr>
          <w:ilvl w:val="0"/>
          <w:numId w:val="19"/>
        </w:numPr>
        <w:jc w:val="both"/>
        <w:rPr>
          <w:rFonts w:ascii="Arial" w:hAnsi="Arial"/>
          <w:sz w:val="20"/>
          <w:szCs w:val="20"/>
          <w:lang w:val="en-GB"/>
        </w:rPr>
      </w:pPr>
      <w:r w:rsidRPr="00793BCE">
        <w:rPr>
          <w:rFonts w:ascii="Arial" w:hAnsi="Arial"/>
          <w:sz w:val="20"/>
          <w:szCs w:val="20"/>
          <w:lang w:val="en-GB"/>
        </w:rPr>
        <w:t>conflict of interest</w:t>
      </w:r>
    </w:p>
    <w:p w14:paraId="1C113AB9" w14:textId="1F892D53" w:rsidR="00441BF0" w:rsidRPr="00793BCE" w:rsidRDefault="00441BF0" w:rsidP="007951FB">
      <w:pPr>
        <w:pStyle w:val="Odstavecseseznamem"/>
        <w:numPr>
          <w:ilvl w:val="0"/>
          <w:numId w:val="19"/>
        </w:numPr>
        <w:jc w:val="both"/>
        <w:rPr>
          <w:rFonts w:ascii="Arial" w:hAnsi="Arial"/>
          <w:sz w:val="20"/>
          <w:szCs w:val="20"/>
          <w:lang w:val="en-GB"/>
        </w:rPr>
      </w:pPr>
      <w:r w:rsidRPr="00793BCE">
        <w:rPr>
          <w:rFonts w:ascii="Arial" w:hAnsi="Arial"/>
          <w:sz w:val="20"/>
          <w:szCs w:val="20"/>
          <w:lang w:val="en-GB"/>
        </w:rPr>
        <w:lastRenderedPageBreak/>
        <w:t>confidentiality and security</w:t>
      </w:r>
      <w:r w:rsidR="004F0032" w:rsidRPr="00793BCE">
        <w:rPr>
          <w:rFonts w:ascii="Arial" w:hAnsi="Arial"/>
          <w:sz w:val="20"/>
          <w:szCs w:val="20"/>
          <w:lang w:val="en-GB"/>
        </w:rPr>
        <w:t xml:space="preserve"> </w:t>
      </w:r>
    </w:p>
    <w:p w14:paraId="098BBFD1" w14:textId="2AEC7257" w:rsidR="004F0032" w:rsidRPr="00793BCE" w:rsidRDefault="00563113" w:rsidP="007951FB">
      <w:pPr>
        <w:pStyle w:val="Odstavecseseznamem"/>
        <w:numPr>
          <w:ilvl w:val="0"/>
          <w:numId w:val="19"/>
        </w:numPr>
        <w:rPr>
          <w:rFonts w:ascii="Arial" w:hAnsi="Arial"/>
          <w:sz w:val="20"/>
          <w:szCs w:val="20"/>
          <w:lang w:val="en-GB"/>
        </w:rPr>
      </w:pPr>
      <w:r w:rsidRPr="00793BCE">
        <w:rPr>
          <w:rFonts w:ascii="Arial" w:hAnsi="Arial"/>
          <w:sz w:val="20"/>
          <w:szCs w:val="20"/>
          <w:lang w:val="en-GB"/>
        </w:rPr>
        <w:t>intellectual property rights</w:t>
      </w:r>
      <w:r w:rsidR="00441BF0" w:rsidRPr="00793BCE">
        <w:rPr>
          <w:rFonts w:ascii="Arial" w:hAnsi="Arial"/>
          <w:sz w:val="20"/>
          <w:szCs w:val="20"/>
          <w:lang w:val="en-GB"/>
        </w:rPr>
        <w:t xml:space="preserve"> (IPR)</w:t>
      </w:r>
      <w:r w:rsidR="004F0032" w:rsidRPr="00793BCE">
        <w:rPr>
          <w:rFonts w:ascii="Arial" w:hAnsi="Arial"/>
          <w:sz w:val="20"/>
          <w:szCs w:val="20"/>
          <w:lang w:val="en-GB"/>
        </w:rPr>
        <w:t xml:space="preserve"> – background and results – access rights and rights of use</w:t>
      </w:r>
    </w:p>
    <w:p w14:paraId="1AB58C3A" w14:textId="4B516DE5" w:rsidR="003309F1" w:rsidRPr="000420C4" w:rsidRDefault="00563113" w:rsidP="000420C4">
      <w:pPr>
        <w:pStyle w:val="Odstavecseseznamem"/>
        <w:numPr>
          <w:ilvl w:val="0"/>
          <w:numId w:val="19"/>
        </w:numPr>
        <w:rPr>
          <w:lang w:val="en-GB"/>
        </w:rPr>
      </w:pPr>
      <w:r w:rsidRPr="000420C4">
        <w:rPr>
          <w:rFonts w:ascii="Arial" w:hAnsi="Arial"/>
          <w:sz w:val="20"/>
          <w:lang w:val="en-GB"/>
        </w:rPr>
        <w:t>communication, dissemination and visibility</w:t>
      </w:r>
    </w:p>
    <w:p w14:paraId="47EB0319" w14:textId="08F9D93F" w:rsidR="00B6336F" w:rsidRPr="00EA42DB" w:rsidRDefault="00B6336F" w:rsidP="00FA3C9D">
      <w:pPr>
        <w:pStyle w:val="Odstavecseseznamem"/>
        <w:numPr>
          <w:ilvl w:val="0"/>
          <w:numId w:val="19"/>
        </w:numPr>
        <w:rPr>
          <w:rFonts w:ascii="Arial" w:hAnsi="Arial" w:cs="Arial"/>
          <w:sz w:val="20"/>
          <w:szCs w:val="20"/>
          <w:lang w:val="en-GB"/>
        </w:rPr>
      </w:pPr>
      <w:r w:rsidRPr="00EA42DB">
        <w:rPr>
          <w:rFonts w:ascii="Arial" w:hAnsi="Arial" w:cs="Arial"/>
          <w:sz w:val="20"/>
          <w:szCs w:val="20"/>
          <w:lang w:val="en-GB"/>
        </w:rPr>
        <w:t>ethics</w:t>
      </w:r>
    </w:p>
    <w:p w14:paraId="1673B395" w14:textId="76029001" w:rsidR="00441BF0" w:rsidRPr="00EA42DB" w:rsidRDefault="00B010B2" w:rsidP="00B6336F">
      <w:pPr>
        <w:pStyle w:val="Odstavecseseznamem"/>
        <w:numPr>
          <w:ilvl w:val="0"/>
          <w:numId w:val="19"/>
        </w:numPr>
        <w:jc w:val="both"/>
        <w:rPr>
          <w:rFonts w:ascii="Arial" w:hAnsi="Arial"/>
          <w:sz w:val="20"/>
          <w:szCs w:val="20"/>
          <w:lang w:val="en-GB"/>
        </w:rPr>
      </w:pPr>
      <w:r w:rsidRPr="00EA42DB">
        <w:rPr>
          <w:rFonts w:ascii="Arial" w:hAnsi="Arial"/>
          <w:sz w:val="20"/>
          <w:szCs w:val="20"/>
          <w:lang w:val="en-GB"/>
        </w:rPr>
        <w:t>s</w:t>
      </w:r>
      <w:r w:rsidR="00441BF0" w:rsidRPr="00EA42DB">
        <w:rPr>
          <w:rFonts w:ascii="Arial" w:hAnsi="Arial"/>
          <w:sz w:val="20"/>
          <w:szCs w:val="20"/>
          <w:lang w:val="en-GB"/>
        </w:rPr>
        <w:t>pecific rules for access R</w:t>
      </w:r>
      <w:r w:rsidR="003309F1" w:rsidRPr="00EA42DB">
        <w:rPr>
          <w:rFonts w:ascii="Arial" w:hAnsi="Arial"/>
          <w:sz w:val="20"/>
          <w:szCs w:val="20"/>
          <w:lang w:val="en-GB"/>
        </w:rPr>
        <w:t>esearch Infrastructures</w:t>
      </w:r>
    </w:p>
    <w:p w14:paraId="05DB67F9" w14:textId="77777777" w:rsidR="00A14567" w:rsidRPr="007951FB" w:rsidRDefault="00A14567" w:rsidP="007951FB">
      <w:pPr>
        <w:pStyle w:val="Odstavecseseznamem"/>
        <w:jc w:val="both"/>
        <w:rPr>
          <w:rFonts w:ascii="Arial" w:hAnsi="Arial"/>
          <w:b/>
          <w:bCs/>
          <w:sz w:val="20"/>
          <w:szCs w:val="20"/>
          <w:lang w:val="en-GB"/>
        </w:rPr>
      </w:pPr>
    </w:p>
    <w:p w14:paraId="6ADA9A4A" w14:textId="0885E7D1" w:rsidR="00CA0589" w:rsidRPr="000420C4" w:rsidRDefault="00CA0589" w:rsidP="006976EB">
      <w:pPr>
        <w:pStyle w:val="Odstavecseseznamem"/>
        <w:numPr>
          <w:ilvl w:val="0"/>
          <w:numId w:val="5"/>
        </w:numPr>
        <w:jc w:val="both"/>
        <w:rPr>
          <w:rFonts w:ascii="Arial" w:hAnsi="Arial"/>
          <w:b/>
          <w:sz w:val="20"/>
          <w:lang w:val="en-GB"/>
        </w:rPr>
      </w:pPr>
      <w:r w:rsidRPr="000420C4">
        <w:rPr>
          <w:rFonts w:ascii="Arial" w:hAnsi="Arial"/>
          <w:b/>
          <w:sz w:val="20"/>
          <w:lang w:val="en-GB"/>
        </w:rPr>
        <w:t xml:space="preserve">Term </w:t>
      </w:r>
    </w:p>
    <w:p w14:paraId="30C1F036" w14:textId="15F6758B" w:rsidR="003C460B" w:rsidRPr="00C62C19" w:rsidRDefault="003C460B" w:rsidP="34B4BEC1">
      <w:pPr>
        <w:jc w:val="both"/>
        <w:rPr>
          <w:rFonts w:ascii="Arial" w:hAnsi="Arial"/>
          <w:sz w:val="20"/>
          <w:szCs w:val="20"/>
          <w:lang w:val="en-GB"/>
        </w:rPr>
      </w:pPr>
      <w:r w:rsidRPr="34B4BEC1">
        <w:rPr>
          <w:rFonts w:ascii="Arial" w:hAnsi="Arial"/>
          <w:sz w:val="20"/>
          <w:szCs w:val="20"/>
          <w:lang w:val="en-GB"/>
        </w:rPr>
        <w:t>Th</w:t>
      </w:r>
      <w:r w:rsidR="001B0D24">
        <w:rPr>
          <w:rFonts w:ascii="Arial" w:hAnsi="Arial"/>
          <w:sz w:val="20"/>
          <w:szCs w:val="20"/>
          <w:lang w:val="en-GB"/>
        </w:rPr>
        <w:t xml:space="preserve">is Purchase Agreement </w:t>
      </w:r>
      <w:r w:rsidRPr="34B4BEC1">
        <w:rPr>
          <w:rFonts w:ascii="Arial" w:hAnsi="Arial"/>
          <w:sz w:val="20"/>
          <w:szCs w:val="20"/>
          <w:lang w:val="en-GB"/>
        </w:rPr>
        <w:t xml:space="preserve">shall be effective </w:t>
      </w:r>
      <w:r w:rsidR="005D5221" w:rsidRPr="34B4BEC1">
        <w:rPr>
          <w:rFonts w:ascii="Arial" w:hAnsi="Arial" w:cs="Arial"/>
          <w:sz w:val="20"/>
          <w:szCs w:val="20"/>
          <w:lang w:val="en-GB"/>
        </w:rPr>
        <w:t>upon</w:t>
      </w:r>
      <w:r w:rsidR="005D5221" w:rsidRPr="34B4BEC1">
        <w:rPr>
          <w:rFonts w:ascii="Arial" w:hAnsi="Arial"/>
          <w:sz w:val="20"/>
          <w:szCs w:val="20"/>
          <w:lang w:val="en-GB"/>
        </w:rPr>
        <w:t xml:space="preserve"> signature</w:t>
      </w:r>
      <w:r w:rsidRPr="34B4BEC1">
        <w:rPr>
          <w:rFonts w:ascii="Arial" w:hAnsi="Arial"/>
          <w:sz w:val="20"/>
          <w:szCs w:val="20"/>
          <w:lang w:val="en-GB"/>
        </w:rPr>
        <w:t xml:space="preserve"> and shall remain valid for a period of the canSERV</w:t>
      </w:r>
      <w:r w:rsidR="00DD16EE" w:rsidRPr="34B4BEC1">
        <w:rPr>
          <w:rFonts w:ascii="Arial" w:hAnsi="Arial"/>
          <w:sz w:val="20"/>
          <w:szCs w:val="20"/>
          <w:lang w:val="en-GB"/>
        </w:rPr>
        <w:t xml:space="preserve"> </w:t>
      </w:r>
      <w:r w:rsidRPr="34B4BEC1">
        <w:rPr>
          <w:rFonts w:ascii="Arial" w:hAnsi="Arial"/>
          <w:sz w:val="20"/>
          <w:szCs w:val="20"/>
          <w:lang w:val="en-GB"/>
        </w:rPr>
        <w:t>project.</w:t>
      </w:r>
    </w:p>
    <w:p w14:paraId="7BD4932D" w14:textId="77777777" w:rsidR="00081AA1" w:rsidRPr="00BB2F71" w:rsidRDefault="00081AA1" w:rsidP="00C74149">
      <w:pPr>
        <w:pStyle w:val="Odstavecseseznamem"/>
        <w:jc w:val="both"/>
        <w:rPr>
          <w:rFonts w:ascii="Arial" w:hAnsi="Arial" w:cs="Arial"/>
          <w:sz w:val="20"/>
          <w:szCs w:val="20"/>
          <w:lang w:val="en-GB"/>
        </w:rPr>
      </w:pPr>
    </w:p>
    <w:p w14:paraId="046A871B" w14:textId="051804B6" w:rsidR="00CA0589" w:rsidRPr="008B61A7" w:rsidRDefault="00391D58" w:rsidP="006976EB">
      <w:pPr>
        <w:pStyle w:val="Odstavecseseznamem"/>
        <w:numPr>
          <w:ilvl w:val="0"/>
          <w:numId w:val="5"/>
        </w:numPr>
        <w:jc w:val="both"/>
        <w:rPr>
          <w:rFonts w:ascii="Arial" w:hAnsi="Arial"/>
          <w:b/>
          <w:bCs/>
          <w:sz w:val="20"/>
          <w:szCs w:val="20"/>
          <w:lang w:val="en-GB"/>
        </w:rPr>
      </w:pPr>
      <w:r w:rsidRPr="000420C4">
        <w:rPr>
          <w:rFonts w:ascii="Arial" w:hAnsi="Arial"/>
          <w:b/>
          <w:sz w:val="20"/>
          <w:lang w:val="en-GB"/>
        </w:rPr>
        <w:t>Force majeure</w:t>
      </w:r>
    </w:p>
    <w:p w14:paraId="65F99529" w14:textId="2B08248C" w:rsidR="00AB2DA8" w:rsidRPr="00AB2DA8" w:rsidRDefault="00AB2DA8" w:rsidP="34B4BEC1">
      <w:pPr>
        <w:jc w:val="both"/>
        <w:rPr>
          <w:rFonts w:ascii="Arial" w:hAnsi="Arial"/>
          <w:sz w:val="20"/>
          <w:szCs w:val="20"/>
          <w:lang w:val="en-GB"/>
        </w:rPr>
      </w:pPr>
      <w:r w:rsidRPr="00AB2DA8">
        <w:rPr>
          <w:rFonts w:ascii="Arial" w:hAnsi="Arial"/>
          <w:sz w:val="20"/>
          <w:szCs w:val="20"/>
          <w:lang w:val="en-GB"/>
        </w:rPr>
        <w:t>A party prevented by force majeure from fulfilling its obligations under th</w:t>
      </w:r>
      <w:r w:rsidR="001B0D24">
        <w:rPr>
          <w:rFonts w:ascii="Arial" w:hAnsi="Arial"/>
          <w:sz w:val="20"/>
          <w:szCs w:val="20"/>
          <w:lang w:val="en-GB"/>
        </w:rPr>
        <w:t xml:space="preserve">is Purchase Agreement </w:t>
      </w:r>
      <w:r w:rsidRPr="00AB2DA8">
        <w:rPr>
          <w:rFonts w:ascii="Arial" w:hAnsi="Arial"/>
          <w:sz w:val="20"/>
          <w:szCs w:val="20"/>
          <w:lang w:val="en-GB"/>
        </w:rPr>
        <w:t>cannot be considered</w:t>
      </w:r>
      <w:r>
        <w:rPr>
          <w:rFonts w:ascii="Arial" w:hAnsi="Arial"/>
          <w:sz w:val="20"/>
          <w:szCs w:val="20"/>
          <w:lang w:val="en-GB"/>
        </w:rPr>
        <w:t xml:space="preserve"> </w:t>
      </w:r>
      <w:r w:rsidRPr="00AB2DA8">
        <w:rPr>
          <w:rFonts w:ascii="Arial" w:hAnsi="Arial"/>
          <w:sz w:val="20"/>
          <w:szCs w:val="20"/>
          <w:lang w:val="en-GB"/>
        </w:rPr>
        <w:t xml:space="preserve">in breach of them. ‘Force majeure’ means any situation or event that: </w:t>
      </w:r>
    </w:p>
    <w:p w14:paraId="127598BE" w14:textId="726EDA89" w:rsidR="00AB2DA8" w:rsidRPr="00AB2DA8" w:rsidRDefault="00AB2DA8" w:rsidP="00AB2DA8">
      <w:pPr>
        <w:pStyle w:val="Odstavecseseznamem"/>
        <w:numPr>
          <w:ilvl w:val="0"/>
          <w:numId w:val="18"/>
        </w:numPr>
        <w:jc w:val="both"/>
        <w:rPr>
          <w:rFonts w:ascii="Arial" w:hAnsi="Arial"/>
          <w:sz w:val="20"/>
          <w:szCs w:val="20"/>
          <w:lang w:val="en-GB"/>
        </w:rPr>
      </w:pPr>
      <w:r w:rsidRPr="00AB2DA8">
        <w:rPr>
          <w:rFonts w:ascii="Arial" w:hAnsi="Arial"/>
          <w:sz w:val="20"/>
          <w:szCs w:val="20"/>
          <w:lang w:val="en-GB"/>
        </w:rPr>
        <w:t>prevents either party from fulfilling their obligations under th</w:t>
      </w:r>
      <w:r w:rsidR="001B0D24">
        <w:rPr>
          <w:rFonts w:ascii="Arial" w:hAnsi="Arial"/>
          <w:sz w:val="20"/>
          <w:szCs w:val="20"/>
          <w:lang w:val="en-GB"/>
        </w:rPr>
        <w:t>is Purchase Agreement</w:t>
      </w:r>
      <w:r w:rsidRPr="00AB2DA8">
        <w:rPr>
          <w:rFonts w:ascii="Arial" w:hAnsi="Arial"/>
          <w:sz w:val="20"/>
          <w:szCs w:val="20"/>
          <w:lang w:val="en-GB"/>
        </w:rPr>
        <w:t xml:space="preserve">, </w:t>
      </w:r>
    </w:p>
    <w:p w14:paraId="279AF533" w14:textId="378B7535" w:rsidR="00AB2DA8" w:rsidRPr="00AB2DA8" w:rsidRDefault="00AB2DA8" w:rsidP="00AB2DA8">
      <w:pPr>
        <w:pStyle w:val="Odstavecseseznamem"/>
        <w:numPr>
          <w:ilvl w:val="0"/>
          <w:numId w:val="18"/>
        </w:numPr>
        <w:jc w:val="both"/>
        <w:rPr>
          <w:rFonts w:ascii="Arial" w:hAnsi="Arial"/>
          <w:sz w:val="20"/>
          <w:szCs w:val="20"/>
          <w:lang w:val="en-GB"/>
        </w:rPr>
      </w:pPr>
      <w:r w:rsidRPr="00AB2DA8">
        <w:rPr>
          <w:rFonts w:ascii="Arial" w:hAnsi="Arial"/>
          <w:sz w:val="20"/>
          <w:szCs w:val="20"/>
          <w:lang w:val="en-GB"/>
        </w:rPr>
        <w:t xml:space="preserve">was unforeseeable, exceptional situation and beyond the parties’ control, - </w:t>
      </w:r>
    </w:p>
    <w:p w14:paraId="2F529478" w14:textId="48B71983" w:rsidR="00AB2DA8" w:rsidRPr="00AB2DA8" w:rsidRDefault="00AB2DA8" w:rsidP="00AB2DA8">
      <w:pPr>
        <w:pStyle w:val="Odstavecseseznamem"/>
        <w:numPr>
          <w:ilvl w:val="0"/>
          <w:numId w:val="18"/>
        </w:numPr>
        <w:jc w:val="both"/>
        <w:rPr>
          <w:rFonts w:ascii="Arial" w:hAnsi="Arial"/>
          <w:sz w:val="20"/>
          <w:szCs w:val="20"/>
          <w:lang w:val="en-GB"/>
        </w:rPr>
      </w:pPr>
      <w:r w:rsidRPr="00AB2DA8">
        <w:rPr>
          <w:rFonts w:ascii="Arial" w:hAnsi="Arial"/>
          <w:sz w:val="20"/>
          <w:szCs w:val="20"/>
          <w:lang w:val="en-GB"/>
        </w:rPr>
        <w:t>was not due to error or negligence on their part</w:t>
      </w:r>
      <w:r>
        <w:rPr>
          <w:rFonts w:ascii="Arial" w:hAnsi="Arial"/>
          <w:sz w:val="20"/>
          <w:szCs w:val="20"/>
          <w:lang w:val="en-GB"/>
        </w:rPr>
        <w:t xml:space="preserve">, </w:t>
      </w:r>
      <w:r w:rsidRPr="00AB2DA8">
        <w:rPr>
          <w:rFonts w:ascii="Arial" w:hAnsi="Arial"/>
          <w:sz w:val="20"/>
          <w:szCs w:val="20"/>
          <w:lang w:val="en-GB"/>
        </w:rPr>
        <w:t>and</w:t>
      </w:r>
    </w:p>
    <w:p w14:paraId="642B24F0" w14:textId="188C0530" w:rsidR="004A5B69" w:rsidRPr="00AB2DA8" w:rsidRDefault="00AB2DA8" w:rsidP="00AB2DA8">
      <w:pPr>
        <w:pStyle w:val="Odstavecseseznamem"/>
        <w:numPr>
          <w:ilvl w:val="0"/>
          <w:numId w:val="18"/>
        </w:numPr>
        <w:jc w:val="both"/>
        <w:rPr>
          <w:rFonts w:ascii="Arial" w:hAnsi="Arial"/>
          <w:sz w:val="20"/>
          <w:szCs w:val="20"/>
          <w:lang w:val="en-GB"/>
        </w:rPr>
      </w:pPr>
      <w:proofErr w:type="gramStart"/>
      <w:r w:rsidRPr="00AB2DA8">
        <w:rPr>
          <w:rFonts w:ascii="Arial" w:hAnsi="Arial"/>
          <w:sz w:val="20"/>
          <w:szCs w:val="20"/>
          <w:lang w:val="en-GB"/>
        </w:rPr>
        <w:t>proves</w:t>
      </w:r>
      <w:proofErr w:type="gramEnd"/>
      <w:r w:rsidRPr="00AB2DA8">
        <w:rPr>
          <w:rFonts w:ascii="Arial" w:hAnsi="Arial"/>
          <w:sz w:val="20"/>
          <w:szCs w:val="20"/>
          <w:lang w:val="en-GB"/>
        </w:rPr>
        <w:t xml:space="preserve"> to be inevitable in spite of exercising all due diligence.</w:t>
      </w:r>
    </w:p>
    <w:p w14:paraId="4089CE1B" w14:textId="1747E295" w:rsidR="000277DD" w:rsidRPr="006C1A17" w:rsidRDefault="006C1A17" w:rsidP="000277DD">
      <w:pPr>
        <w:jc w:val="both"/>
        <w:rPr>
          <w:rFonts w:ascii="Arial" w:hAnsi="Arial" w:cs="Arial"/>
          <w:sz w:val="20"/>
          <w:szCs w:val="20"/>
          <w:lang w:val="en-GB"/>
        </w:rPr>
      </w:pPr>
      <w:r w:rsidRPr="006C1A17">
        <w:rPr>
          <w:rFonts w:ascii="Arial" w:hAnsi="Arial" w:cs="Arial"/>
          <w:sz w:val="20"/>
          <w:szCs w:val="20"/>
          <w:lang w:val="en-GB"/>
        </w:rPr>
        <w:t xml:space="preserve">If the </w:t>
      </w:r>
      <w:r w:rsidR="00A43735">
        <w:rPr>
          <w:rFonts w:ascii="Arial" w:hAnsi="Arial" w:cs="Arial"/>
          <w:sz w:val="20"/>
          <w:szCs w:val="20"/>
          <w:lang w:val="en-GB"/>
        </w:rPr>
        <w:t>S</w:t>
      </w:r>
      <w:r w:rsidRPr="006C1A17">
        <w:rPr>
          <w:rFonts w:ascii="Arial" w:hAnsi="Arial" w:cs="Arial"/>
          <w:sz w:val="20"/>
          <w:szCs w:val="20"/>
          <w:lang w:val="en-GB"/>
        </w:rPr>
        <w:t xml:space="preserve">ervice </w:t>
      </w:r>
      <w:r w:rsidR="00A43735">
        <w:rPr>
          <w:rFonts w:ascii="Arial" w:hAnsi="Arial" w:cs="Arial"/>
          <w:sz w:val="20"/>
          <w:szCs w:val="20"/>
          <w:lang w:val="en-GB"/>
        </w:rPr>
        <w:t>P</w:t>
      </w:r>
      <w:r w:rsidRPr="006C1A17">
        <w:rPr>
          <w:rFonts w:ascii="Arial" w:hAnsi="Arial" w:cs="Arial"/>
          <w:sz w:val="20"/>
          <w:szCs w:val="20"/>
          <w:lang w:val="en-GB"/>
        </w:rPr>
        <w:t>rovider is prevented from providing the services for more than three (3) months, contractual obligations and timelines may be affected, leading to potential delays or disruptions in service delivery. In this case, the TNA Budget holder shall notify the Coordination Team</w:t>
      </w:r>
      <w:r w:rsidR="00A43735">
        <w:rPr>
          <w:rFonts w:ascii="Arial" w:hAnsi="Arial" w:cs="Arial"/>
          <w:sz w:val="20"/>
          <w:szCs w:val="20"/>
          <w:lang w:val="en-GB"/>
        </w:rPr>
        <w:t xml:space="preserve"> as soon as possible. </w:t>
      </w:r>
    </w:p>
    <w:p w14:paraId="6610F9D3" w14:textId="7A1F6FA0" w:rsidR="0066182B" w:rsidRPr="0066182B" w:rsidRDefault="0066182B" w:rsidP="006976EB">
      <w:pPr>
        <w:pStyle w:val="Odstavecseseznamem"/>
        <w:numPr>
          <w:ilvl w:val="0"/>
          <w:numId w:val="5"/>
        </w:numPr>
        <w:jc w:val="both"/>
        <w:rPr>
          <w:rFonts w:ascii="Arial" w:hAnsi="Arial" w:cs="Arial"/>
          <w:b/>
          <w:bCs/>
          <w:sz w:val="20"/>
          <w:szCs w:val="20"/>
          <w:lang w:val="en-GB"/>
        </w:rPr>
      </w:pPr>
      <w:r w:rsidRPr="0066182B">
        <w:rPr>
          <w:rFonts w:ascii="Arial" w:hAnsi="Arial" w:cs="Arial"/>
          <w:b/>
          <w:bCs/>
          <w:sz w:val="20"/>
          <w:szCs w:val="20"/>
          <w:lang w:val="en-GB"/>
        </w:rPr>
        <w:t>Non-Compliance Provision - Horizon Europe Funding</w:t>
      </w:r>
    </w:p>
    <w:p w14:paraId="7350AC1D" w14:textId="21C2A525" w:rsidR="00970676" w:rsidRDefault="0066182B" w:rsidP="0066182B">
      <w:pPr>
        <w:jc w:val="both"/>
        <w:rPr>
          <w:rFonts w:ascii="Arial" w:hAnsi="Arial" w:cs="Arial"/>
          <w:sz w:val="20"/>
          <w:szCs w:val="20"/>
          <w:lang w:val="en-GB"/>
        </w:rPr>
      </w:pPr>
      <w:r w:rsidRPr="0066182B">
        <w:rPr>
          <w:rFonts w:ascii="Arial" w:hAnsi="Arial" w:cs="Arial"/>
          <w:sz w:val="20"/>
          <w:szCs w:val="20"/>
          <w:lang w:val="en-GB"/>
        </w:rPr>
        <w:t xml:space="preserve">In the event that the Service Provider is found to be in breach of the </w:t>
      </w:r>
      <w:r w:rsidR="00C3554F">
        <w:rPr>
          <w:rFonts w:ascii="Arial" w:hAnsi="Arial" w:cs="Arial"/>
          <w:sz w:val="20"/>
          <w:szCs w:val="20"/>
          <w:lang w:val="en-GB"/>
        </w:rPr>
        <w:t xml:space="preserve">Horizon Europa rules or the Financial Regulations </w:t>
      </w:r>
      <w:r w:rsidR="00A01DC0">
        <w:rPr>
          <w:rFonts w:ascii="Arial" w:hAnsi="Arial" w:cs="Arial"/>
          <w:sz w:val="20"/>
          <w:szCs w:val="20"/>
          <w:lang w:val="en-GB"/>
        </w:rPr>
        <w:t>(</w:t>
      </w:r>
      <w:proofErr w:type="spellStart"/>
      <w:r w:rsidR="00A01DC0" w:rsidRPr="00A01DC0">
        <w:rPr>
          <w:rFonts w:ascii="Arial" w:hAnsi="Arial" w:cs="Arial"/>
          <w:i/>
          <w:iCs/>
          <w:sz w:val="20"/>
          <w:szCs w:val="20"/>
          <w:lang w:val="en-GB"/>
        </w:rPr>
        <w:t>e.g</w:t>
      </w:r>
      <w:proofErr w:type="spellEnd"/>
      <w:r w:rsidR="00A01DC0">
        <w:rPr>
          <w:rFonts w:ascii="Arial" w:hAnsi="Arial" w:cs="Arial"/>
          <w:sz w:val="20"/>
          <w:szCs w:val="20"/>
          <w:lang w:val="en-GB"/>
        </w:rPr>
        <w:t xml:space="preserve">: not keeping adequate records and other supporting documentation) and </w:t>
      </w:r>
      <w:r w:rsidRPr="0066182B">
        <w:rPr>
          <w:rFonts w:ascii="Arial" w:hAnsi="Arial" w:cs="Arial"/>
          <w:sz w:val="20"/>
          <w:szCs w:val="20"/>
          <w:lang w:val="en-GB"/>
        </w:rPr>
        <w:t>thereby</w:t>
      </w:r>
      <w:r w:rsidR="00970676">
        <w:rPr>
          <w:rFonts w:ascii="Arial" w:hAnsi="Arial" w:cs="Arial"/>
          <w:sz w:val="20"/>
          <w:szCs w:val="20"/>
          <w:lang w:val="en-GB"/>
        </w:rPr>
        <w:t>:</w:t>
      </w:r>
    </w:p>
    <w:p w14:paraId="40B8A902" w14:textId="6DE7B6FC" w:rsidR="00970676" w:rsidRPr="00970676" w:rsidRDefault="0066182B" w:rsidP="00970676">
      <w:pPr>
        <w:pStyle w:val="Odstavecseseznamem"/>
        <w:numPr>
          <w:ilvl w:val="0"/>
          <w:numId w:val="25"/>
        </w:numPr>
        <w:jc w:val="both"/>
        <w:rPr>
          <w:rFonts w:ascii="Arial" w:hAnsi="Arial" w:cs="Arial"/>
          <w:sz w:val="20"/>
          <w:szCs w:val="20"/>
          <w:lang w:val="en-GB"/>
        </w:rPr>
      </w:pPr>
      <w:r w:rsidRPr="00970676">
        <w:rPr>
          <w:rFonts w:ascii="Arial" w:hAnsi="Arial" w:cs="Arial"/>
          <w:sz w:val="20"/>
          <w:szCs w:val="20"/>
          <w:lang w:val="en-GB"/>
        </w:rPr>
        <w:t xml:space="preserve">the fund is not allocated to the TNA Budget Holder, </w:t>
      </w:r>
      <w:r w:rsidR="00970676">
        <w:rPr>
          <w:rFonts w:ascii="Arial" w:hAnsi="Arial" w:cs="Arial"/>
          <w:sz w:val="20"/>
          <w:szCs w:val="20"/>
          <w:lang w:val="en-GB"/>
        </w:rPr>
        <w:t xml:space="preserve">then </w:t>
      </w:r>
      <w:r w:rsidR="00970676" w:rsidRPr="00970676">
        <w:rPr>
          <w:rFonts w:ascii="Arial" w:hAnsi="Arial" w:cs="Arial"/>
          <w:sz w:val="20"/>
          <w:szCs w:val="20"/>
          <w:lang w:val="en-GB"/>
        </w:rPr>
        <w:t xml:space="preserve">the Service Provider </w:t>
      </w:r>
      <w:r w:rsidR="00970676">
        <w:rPr>
          <w:rFonts w:ascii="Arial" w:hAnsi="Arial" w:cs="Arial"/>
          <w:sz w:val="20"/>
          <w:szCs w:val="20"/>
          <w:lang w:val="en-GB"/>
        </w:rPr>
        <w:t>shall</w:t>
      </w:r>
      <w:r w:rsidR="00970676" w:rsidRPr="00970676">
        <w:rPr>
          <w:rFonts w:ascii="Arial" w:hAnsi="Arial" w:cs="Arial"/>
          <w:sz w:val="20"/>
          <w:szCs w:val="20"/>
          <w:lang w:val="en-GB"/>
        </w:rPr>
        <w:t xml:space="preserve"> not receive the fund; or</w:t>
      </w:r>
    </w:p>
    <w:p w14:paraId="64D72A71" w14:textId="270A0BDA" w:rsidR="0066182B" w:rsidRPr="00970676" w:rsidRDefault="00970676" w:rsidP="000420C4">
      <w:pPr>
        <w:pStyle w:val="Odstavecseseznamem"/>
        <w:numPr>
          <w:ilvl w:val="0"/>
          <w:numId w:val="25"/>
        </w:numPr>
        <w:jc w:val="both"/>
        <w:rPr>
          <w:rFonts w:ascii="Arial" w:hAnsi="Arial" w:cs="Arial"/>
          <w:sz w:val="20"/>
          <w:szCs w:val="20"/>
          <w:lang w:val="en-GB"/>
        </w:rPr>
      </w:pPr>
      <w:r w:rsidRPr="00970676">
        <w:rPr>
          <w:rFonts w:ascii="Arial" w:hAnsi="Arial" w:cs="Arial"/>
          <w:sz w:val="20"/>
          <w:szCs w:val="20"/>
          <w:lang w:val="en-GB"/>
        </w:rPr>
        <w:t xml:space="preserve">if </w:t>
      </w:r>
      <w:r w:rsidR="00A01DC0" w:rsidRPr="00970676">
        <w:rPr>
          <w:rFonts w:ascii="Arial" w:hAnsi="Arial" w:cs="Arial"/>
          <w:sz w:val="20"/>
          <w:szCs w:val="20"/>
          <w:lang w:val="en-GB"/>
        </w:rPr>
        <w:t xml:space="preserve">the fund is allocated to the TNA Budget Holder, however, the result of a possible EC audit is that the fund shall be repaid, then </w:t>
      </w:r>
      <w:r w:rsidR="0066182B" w:rsidRPr="00970676">
        <w:rPr>
          <w:rFonts w:ascii="Arial" w:hAnsi="Arial" w:cs="Arial"/>
          <w:sz w:val="20"/>
          <w:szCs w:val="20"/>
          <w:lang w:val="en-GB"/>
        </w:rPr>
        <w:t xml:space="preserve">the Service Provider shall be liable for repayment of the funds, in whole or in part, as determined by the </w:t>
      </w:r>
      <w:r w:rsidR="00A01DC0" w:rsidRPr="00970676">
        <w:rPr>
          <w:rFonts w:ascii="Arial" w:hAnsi="Arial" w:cs="Arial"/>
          <w:sz w:val="20"/>
          <w:szCs w:val="20"/>
          <w:lang w:val="en-GB"/>
        </w:rPr>
        <w:t>auditor</w:t>
      </w:r>
      <w:r w:rsidR="0066182B" w:rsidRPr="00970676">
        <w:rPr>
          <w:rFonts w:ascii="Arial" w:hAnsi="Arial" w:cs="Arial"/>
          <w:sz w:val="20"/>
          <w:szCs w:val="20"/>
          <w:lang w:val="en-GB"/>
        </w:rPr>
        <w:t>.</w:t>
      </w:r>
    </w:p>
    <w:p w14:paraId="0FC8C760" w14:textId="4775635E" w:rsidR="000277DD" w:rsidRDefault="000277DD" w:rsidP="000277DD">
      <w:pPr>
        <w:jc w:val="both"/>
        <w:rPr>
          <w:rFonts w:ascii="Arial" w:hAnsi="Arial" w:cs="Arial"/>
          <w:b/>
          <w:bCs/>
          <w:sz w:val="20"/>
          <w:szCs w:val="20"/>
          <w:lang w:val="en-GB"/>
        </w:rPr>
      </w:pPr>
      <w:r w:rsidRPr="34B4BEC1">
        <w:rPr>
          <w:rFonts w:ascii="Arial" w:hAnsi="Arial" w:cs="Arial"/>
          <w:b/>
          <w:bCs/>
          <w:sz w:val="20"/>
          <w:szCs w:val="20"/>
          <w:lang w:val="en-GB"/>
        </w:rPr>
        <w:t>In witness whereof, the Parties have caused th</w:t>
      </w:r>
      <w:r w:rsidR="001B0D24">
        <w:rPr>
          <w:rFonts w:ascii="Arial" w:hAnsi="Arial" w:cs="Arial"/>
          <w:b/>
          <w:bCs/>
          <w:sz w:val="20"/>
          <w:szCs w:val="20"/>
          <w:lang w:val="en-GB"/>
        </w:rPr>
        <w:t xml:space="preserve">is Purchase Agreement </w:t>
      </w:r>
      <w:r w:rsidRPr="34B4BEC1">
        <w:rPr>
          <w:rFonts w:ascii="Arial" w:hAnsi="Arial" w:cs="Arial"/>
          <w:b/>
          <w:bCs/>
          <w:sz w:val="20"/>
          <w:szCs w:val="20"/>
          <w:lang w:val="en-GB"/>
        </w:rPr>
        <w:t>to be executed by their duly authorised representatives as of the Effective Date.</w:t>
      </w:r>
    </w:p>
    <w:p w14:paraId="46F605B2" w14:textId="77777777" w:rsidR="001D7CA0" w:rsidRPr="00BB2F71" w:rsidRDefault="001D7CA0" w:rsidP="000277DD">
      <w:pPr>
        <w:jc w:val="both"/>
        <w:rPr>
          <w:rFonts w:ascii="Arial" w:hAnsi="Arial" w:cs="Arial"/>
          <w:b/>
          <w:bCs/>
          <w:sz w:val="20"/>
          <w:szCs w:val="20"/>
          <w:lang w:val="en-GB"/>
        </w:rPr>
      </w:pPr>
    </w:p>
    <w:p w14:paraId="1026B4FF" w14:textId="188540FC" w:rsidR="000277DD" w:rsidRPr="00BB2F71" w:rsidRDefault="006C62AC" w:rsidP="000277DD">
      <w:pPr>
        <w:jc w:val="both"/>
        <w:rPr>
          <w:rFonts w:ascii="Arial" w:hAnsi="Arial" w:cs="Arial"/>
          <w:sz w:val="20"/>
          <w:szCs w:val="20"/>
          <w:lang w:val="en-GB"/>
        </w:rPr>
      </w:pPr>
      <w:r>
        <w:rPr>
          <w:rFonts w:ascii="Arial" w:hAnsi="Arial" w:cs="Arial"/>
          <w:sz w:val="20"/>
          <w:szCs w:val="20"/>
          <w:lang w:val="en-GB"/>
        </w:rPr>
        <w:t>26.11.2024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77DD" w:rsidRPr="00BB2F71" w14:paraId="3B636EDC" w14:textId="77777777" w:rsidTr="1E4E1062">
        <w:tc>
          <w:tcPr>
            <w:tcW w:w="4531" w:type="dxa"/>
          </w:tcPr>
          <w:p w14:paraId="04ADDC21" w14:textId="7E4CEEFD" w:rsidR="000277DD" w:rsidRPr="00BB2F71" w:rsidRDefault="000277DD" w:rsidP="000277DD">
            <w:pPr>
              <w:jc w:val="both"/>
              <w:rPr>
                <w:rFonts w:ascii="Arial" w:hAnsi="Arial" w:cs="Arial"/>
                <w:sz w:val="20"/>
                <w:szCs w:val="20"/>
                <w:lang w:val="en-GB"/>
              </w:rPr>
            </w:pPr>
            <w:r w:rsidRPr="34B4BEC1">
              <w:rPr>
                <w:rFonts w:ascii="Arial" w:hAnsi="Arial" w:cs="Arial"/>
                <w:sz w:val="20"/>
                <w:szCs w:val="20"/>
                <w:lang w:val="en-GB"/>
              </w:rPr>
              <w:t>___________________________</w:t>
            </w:r>
          </w:p>
        </w:tc>
        <w:tc>
          <w:tcPr>
            <w:tcW w:w="4531" w:type="dxa"/>
          </w:tcPr>
          <w:p w14:paraId="1CE29464" w14:textId="72FEF697" w:rsidR="000277DD" w:rsidRPr="00BB2F71" w:rsidRDefault="000277DD" w:rsidP="000277DD">
            <w:pPr>
              <w:jc w:val="both"/>
              <w:rPr>
                <w:rFonts w:ascii="Arial" w:hAnsi="Arial" w:cs="Arial"/>
                <w:sz w:val="20"/>
                <w:szCs w:val="20"/>
                <w:lang w:val="en-GB"/>
              </w:rPr>
            </w:pPr>
            <w:r w:rsidRPr="34B4BEC1">
              <w:rPr>
                <w:rFonts w:ascii="Arial" w:hAnsi="Arial" w:cs="Arial"/>
                <w:sz w:val="20"/>
                <w:szCs w:val="20"/>
                <w:lang w:val="en-GB"/>
              </w:rPr>
              <w:t>______________________________</w:t>
            </w:r>
          </w:p>
        </w:tc>
      </w:tr>
      <w:tr w:rsidR="000277DD" w:rsidRPr="00BB2F71" w14:paraId="72B4C150" w14:textId="77777777" w:rsidTr="1E4E1062">
        <w:tc>
          <w:tcPr>
            <w:tcW w:w="4531" w:type="dxa"/>
          </w:tcPr>
          <w:p w14:paraId="70A0C00A" w14:textId="12423D6D" w:rsidR="000277DD" w:rsidRPr="00BB2F71" w:rsidRDefault="000277DD" w:rsidP="000277DD">
            <w:pPr>
              <w:jc w:val="both"/>
              <w:rPr>
                <w:rFonts w:ascii="Arial" w:hAnsi="Arial" w:cs="Arial"/>
                <w:sz w:val="20"/>
                <w:szCs w:val="20"/>
                <w:lang w:val="en-GB"/>
              </w:rPr>
            </w:pPr>
            <w:r w:rsidRPr="34B4BEC1">
              <w:rPr>
                <w:rFonts w:ascii="Arial" w:hAnsi="Arial" w:cs="Arial"/>
                <w:sz w:val="20"/>
                <w:szCs w:val="20"/>
                <w:lang w:val="en-GB"/>
              </w:rPr>
              <w:t>Place and date</w:t>
            </w:r>
          </w:p>
        </w:tc>
        <w:tc>
          <w:tcPr>
            <w:tcW w:w="4531" w:type="dxa"/>
          </w:tcPr>
          <w:p w14:paraId="61F442D5" w14:textId="64CE262C" w:rsidR="000277DD" w:rsidRPr="00BB2F71" w:rsidRDefault="4A5CC5CF" w:rsidP="000277DD">
            <w:pPr>
              <w:jc w:val="both"/>
              <w:rPr>
                <w:rFonts w:ascii="Arial" w:hAnsi="Arial" w:cs="Arial"/>
                <w:sz w:val="20"/>
                <w:szCs w:val="20"/>
                <w:lang w:val="en-GB"/>
              </w:rPr>
            </w:pPr>
            <w:r w:rsidRPr="34B4BEC1">
              <w:rPr>
                <w:rFonts w:ascii="Arial" w:hAnsi="Arial" w:cs="Arial"/>
                <w:sz w:val="20"/>
                <w:szCs w:val="20"/>
                <w:lang w:val="en-GB"/>
              </w:rPr>
              <w:t xml:space="preserve">Representative of the </w:t>
            </w:r>
            <w:r w:rsidR="003416C4">
              <w:rPr>
                <w:rFonts w:ascii="Arial" w:hAnsi="Arial" w:cs="Arial"/>
                <w:sz w:val="20"/>
                <w:szCs w:val="20"/>
                <w:lang w:val="en-GB"/>
              </w:rPr>
              <w:t>TNA Budget Holder</w:t>
            </w:r>
          </w:p>
        </w:tc>
      </w:tr>
      <w:tr w:rsidR="000277DD" w:rsidRPr="00BB2F71" w14:paraId="609F3D1C" w14:textId="77777777" w:rsidTr="1E4E1062">
        <w:tc>
          <w:tcPr>
            <w:tcW w:w="4531" w:type="dxa"/>
          </w:tcPr>
          <w:p w14:paraId="1B691566" w14:textId="77777777" w:rsidR="000277DD" w:rsidRPr="00BB2F71" w:rsidRDefault="000277DD" w:rsidP="000277DD">
            <w:pPr>
              <w:jc w:val="both"/>
              <w:rPr>
                <w:rFonts w:ascii="Arial" w:hAnsi="Arial" w:cs="Arial"/>
                <w:sz w:val="20"/>
                <w:szCs w:val="20"/>
                <w:lang w:val="en-GB"/>
              </w:rPr>
            </w:pPr>
          </w:p>
        </w:tc>
        <w:tc>
          <w:tcPr>
            <w:tcW w:w="4531" w:type="dxa"/>
          </w:tcPr>
          <w:p w14:paraId="29669CEF" w14:textId="77777777" w:rsidR="000277DD" w:rsidRPr="00BB2F71" w:rsidRDefault="000277DD" w:rsidP="000277DD">
            <w:pPr>
              <w:jc w:val="both"/>
              <w:rPr>
                <w:rFonts w:ascii="Arial" w:hAnsi="Arial" w:cs="Arial"/>
                <w:sz w:val="20"/>
                <w:szCs w:val="20"/>
                <w:lang w:val="en-GB"/>
              </w:rPr>
            </w:pPr>
          </w:p>
        </w:tc>
      </w:tr>
      <w:tr w:rsidR="000277DD" w:rsidRPr="00BB2F71" w14:paraId="15F672AF" w14:textId="77777777" w:rsidTr="1E4E1062">
        <w:tc>
          <w:tcPr>
            <w:tcW w:w="4531" w:type="dxa"/>
          </w:tcPr>
          <w:p w14:paraId="0511BF77" w14:textId="77777777" w:rsidR="000277DD" w:rsidRPr="00BB2F71" w:rsidRDefault="000277DD" w:rsidP="000277DD">
            <w:pPr>
              <w:jc w:val="both"/>
              <w:rPr>
                <w:rFonts w:ascii="Arial" w:hAnsi="Arial" w:cs="Arial"/>
                <w:sz w:val="20"/>
                <w:szCs w:val="20"/>
                <w:lang w:val="en-GB"/>
              </w:rPr>
            </w:pPr>
          </w:p>
        </w:tc>
        <w:tc>
          <w:tcPr>
            <w:tcW w:w="4531" w:type="dxa"/>
          </w:tcPr>
          <w:p w14:paraId="14EAFCF1" w14:textId="77777777" w:rsidR="000277DD" w:rsidRPr="00BB2F71" w:rsidRDefault="000277DD" w:rsidP="000277DD">
            <w:pPr>
              <w:jc w:val="both"/>
              <w:rPr>
                <w:rFonts w:ascii="Arial" w:hAnsi="Arial" w:cs="Arial"/>
                <w:sz w:val="20"/>
                <w:szCs w:val="20"/>
                <w:lang w:val="en-GB"/>
              </w:rPr>
            </w:pPr>
          </w:p>
        </w:tc>
      </w:tr>
      <w:tr w:rsidR="000277DD" w:rsidRPr="00BB2F71" w14:paraId="7224198F" w14:textId="77777777" w:rsidTr="1E4E1062">
        <w:tc>
          <w:tcPr>
            <w:tcW w:w="4531" w:type="dxa"/>
          </w:tcPr>
          <w:p w14:paraId="68FBAFE3" w14:textId="77777777" w:rsidR="000277DD" w:rsidRDefault="000277DD" w:rsidP="000277DD">
            <w:pPr>
              <w:jc w:val="both"/>
              <w:rPr>
                <w:rFonts w:ascii="Arial" w:hAnsi="Arial" w:cs="Arial"/>
                <w:sz w:val="20"/>
                <w:szCs w:val="20"/>
                <w:lang w:val="en-GB"/>
              </w:rPr>
            </w:pPr>
          </w:p>
          <w:p w14:paraId="4420F29D" w14:textId="77777777" w:rsidR="001D7CA0" w:rsidRDefault="001D7CA0" w:rsidP="000277DD">
            <w:pPr>
              <w:jc w:val="both"/>
              <w:rPr>
                <w:rFonts w:ascii="Arial" w:hAnsi="Arial" w:cs="Arial"/>
                <w:sz w:val="20"/>
                <w:szCs w:val="20"/>
                <w:lang w:val="en-GB"/>
              </w:rPr>
            </w:pPr>
          </w:p>
          <w:p w14:paraId="68E4E1DA" w14:textId="2B408CAD" w:rsidR="001D7CA0" w:rsidRPr="00BB2F71" w:rsidRDefault="006C62AC" w:rsidP="000277DD">
            <w:pPr>
              <w:jc w:val="both"/>
              <w:rPr>
                <w:rFonts w:ascii="Arial" w:hAnsi="Arial" w:cs="Arial"/>
                <w:sz w:val="20"/>
                <w:szCs w:val="20"/>
                <w:lang w:val="en-GB"/>
              </w:rPr>
            </w:pPr>
            <w:r>
              <w:rPr>
                <w:rFonts w:ascii="Arial" w:hAnsi="Arial" w:cs="Arial"/>
                <w:sz w:val="20"/>
                <w:szCs w:val="20"/>
                <w:lang w:val="en-GB"/>
              </w:rPr>
              <w:t>22.11.2024</w:t>
            </w:r>
          </w:p>
        </w:tc>
        <w:tc>
          <w:tcPr>
            <w:tcW w:w="4531" w:type="dxa"/>
          </w:tcPr>
          <w:p w14:paraId="2FB948A1" w14:textId="77777777" w:rsidR="000277DD" w:rsidRPr="00BB2F71" w:rsidRDefault="000277DD" w:rsidP="000277DD">
            <w:pPr>
              <w:jc w:val="both"/>
              <w:rPr>
                <w:rFonts w:ascii="Arial" w:hAnsi="Arial" w:cs="Arial"/>
                <w:sz w:val="20"/>
                <w:szCs w:val="20"/>
                <w:lang w:val="en-GB"/>
              </w:rPr>
            </w:pPr>
          </w:p>
        </w:tc>
      </w:tr>
      <w:tr w:rsidR="000277DD" w:rsidRPr="00BB2F71" w14:paraId="3675E7C7" w14:textId="77777777" w:rsidTr="1E4E1062">
        <w:trPr>
          <w:trHeight w:val="315"/>
        </w:trPr>
        <w:tc>
          <w:tcPr>
            <w:tcW w:w="4531" w:type="dxa"/>
          </w:tcPr>
          <w:p w14:paraId="57F85587" w14:textId="3748622A" w:rsidR="000277DD" w:rsidRPr="00BB2F71" w:rsidRDefault="000277DD" w:rsidP="000277DD">
            <w:pPr>
              <w:jc w:val="both"/>
              <w:rPr>
                <w:rFonts w:ascii="Arial" w:hAnsi="Arial" w:cs="Arial"/>
                <w:sz w:val="20"/>
                <w:szCs w:val="20"/>
                <w:lang w:val="en-GB"/>
              </w:rPr>
            </w:pPr>
            <w:r w:rsidRPr="34B4BEC1">
              <w:rPr>
                <w:rFonts w:ascii="Arial" w:hAnsi="Arial" w:cs="Arial"/>
                <w:sz w:val="20"/>
                <w:szCs w:val="20"/>
                <w:lang w:val="en-GB"/>
              </w:rPr>
              <w:t>___________________________</w:t>
            </w:r>
          </w:p>
        </w:tc>
        <w:tc>
          <w:tcPr>
            <w:tcW w:w="4531" w:type="dxa"/>
          </w:tcPr>
          <w:p w14:paraId="6CF60DA2" w14:textId="15667475" w:rsidR="000277DD" w:rsidRPr="00BB2F71" w:rsidRDefault="000277DD" w:rsidP="000277DD">
            <w:pPr>
              <w:jc w:val="both"/>
              <w:rPr>
                <w:rFonts w:ascii="Arial" w:hAnsi="Arial" w:cs="Arial"/>
                <w:sz w:val="20"/>
                <w:szCs w:val="20"/>
                <w:lang w:val="en-GB"/>
              </w:rPr>
            </w:pPr>
            <w:r w:rsidRPr="34B4BEC1">
              <w:rPr>
                <w:rFonts w:ascii="Arial" w:hAnsi="Arial" w:cs="Arial"/>
                <w:sz w:val="20"/>
                <w:szCs w:val="20"/>
                <w:lang w:val="en-GB"/>
              </w:rPr>
              <w:t>_______________________________</w:t>
            </w:r>
          </w:p>
        </w:tc>
      </w:tr>
      <w:tr w:rsidR="000277DD" w:rsidRPr="00BB2F71" w14:paraId="0BC11412" w14:textId="77777777" w:rsidTr="1E4E1062">
        <w:tc>
          <w:tcPr>
            <w:tcW w:w="4531" w:type="dxa"/>
          </w:tcPr>
          <w:p w14:paraId="644994BB" w14:textId="0A7F5231" w:rsidR="000277DD" w:rsidRPr="00BB2F71" w:rsidRDefault="000277DD" w:rsidP="000277DD">
            <w:pPr>
              <w:jc w:val="both"/>
              <w:rPr>
                <w:rFonts w:ascii="Arial" w:hAnsi="Arial" w:cs="Arial"/>
                <w:sz w:val="20"/>
                <w:szCs w:val="20"/>
                <w:lang w:val="en-GB"/>
              </w:rPr>
            </w:pPr>
            <w:r w:rsidRPr="34B4BEC1">
              <w:rPr>
                <w:rFonts w:ascii="Arial" w:hAnsi="Arial" w:cs="Arial"/>
                <w:sz w:val="20"/>
                <w:szCs w:val="20"/>
                <w:lang w:val="en-GB"/>
              </w:rPr>
              <w:t>Place and date</w:t>
            </w:r>
          </w:p>
        </w:tc>
        <w:tc>
          <w:tcPr>
            <w:tcW w:w="4531" w:type="dxa"/>
          </w:tcPr>
          <w:p w14:paraId="75DBC929" w14:textId="1BB610E7" w:rsidR="000277DD" w:rsidRPr="00BB2F71" w:rsidRDefault="000277DD" w:rsidP="000277DD">
            <w:pPr>
              <w:jc w:val="both"/>
              <w:rPr>
                <w:rFonts w:ascii="Arial" w:hAnsi="Arial" w:cs="Arial"/>
                <w:sz w:val="20"/>
                <w:szCs w:val="20"/>
                <w:lang w:val="en-GB"/>
              </w:rPr>
            </w:pPr>
            <w:r w:rsidRPr="34B4BEC1">
              <w:rPr>
                <w:rFonts w:ascii="Arial" w:hAnsi="Arial" w:cs="Arial"/>
                <w:sz w:val="20"/>
                <w:szCs w:val="20"/>
                <w:lang w:val="en-GB"/>
              </w:rPr>
              <w:t>Representative of the Service Provider</w:t>
            </w:r>
          </w:p>
        </w:tc>
      </w:tr>
    </w:tbl>
    <w:p w14:paraId="53BDC087" w14:textId="77777777" w:rsidR="001D7CA0" w:rsidRDefault="001D7CA0" w:rsidP="1E4E1062">
      <w:pPr>
        <w:jc w:val="both"/>
        <w:rPr>
          <w:rFonts w:ascii="Arial" w:hAnsi="Arial" w:cs="Arial"/>
          <w:b/>
          <w:bCs/>
          <w:sz w:val="20"/>
          <w:szCs w:val="20"/>
          <w:lang w:val="en-GB"/>
        </w:rPr>
      </w:pPr>
    </w:p>
    <w:p w14:paraId="0EF0017F" w14:textId="5B4DD3A8" w:rsidR="00994927" w:rsidRPr="00915DA3" w:rsidRDefault="00994927" w:rsidP="1E4E1062">
      <w:pPr>
        <w:jc w:val="both"/>
        <w:rPr>
          <w:rFonts w:ascii="Arial" w:hAnsi="Arial" w:cs="Arial"/>
          <w:b/>
          <w:bCs/>
          <w:sz w:val="20"/>
          <w:szCs w:val="20"/>
          <w:lang w:val="en-GB"/>
        </w:rPr>
      </w:pPr>
      <w:r w:rsidRPr="1E4E1062">
        <w:rPr>
          <w:rFonts w:ascii="Arial" w:hAnsi="Arial" w:cs="Arial"/>
          <w:b/>
          <w:bCs/>
          <w:sz w:val="20"/>
          <w:szCs w:val="20"/>
          <w:lang w:val="en-GB"/>
        </w:rPr>
        <w:t>Annex 1- List of services provided by the Service Provider</w:t>
      </w:r>
    </w:p>
    <w:p w14:paraId="255E9BD6" w14:textId="607613FD" w:rsidR="00393F77" w:rsidRPr="00915DA3" w:rsidRDefault="00393F77" w:rsidP="000420C4">
      <w:pPr>
        <w:rPr>
          <w:rFonts w:ascii="Arial" w:hAnsi="Arial" w:cs="Arial"/>
          <w:b/>
          <w:bCs/>
          <w:sz w:val="20"/>
          <w:szCs w:val="20"/>
          <w:lang w:val="en-GB"/>
        </w:rPr>
      </w:pPr>
      <w:r w:rsidRPr="00915DA3">
        <w:rPr>
          <w:rFonts w:ascii="Arial" w:hAnsi="Arial" w:cs="Arial"/>
          <w:b/>
          <w:bCs/>
          <w:sz w:val="20"/>
          <w:szCs w:val="20"/>
          <w:lang w:val="en-GB"/>
        </w:rPr>
        <w:t xml:space="preserve">Annex </w:t>
      </w:r>
      <w:r w:rsidR="00994927" w:rsidRPr="00915DA3">
        <w:rPr>
          <w:rFonts w:ascii="Arial" w:hAnsi="Arial" w:cs="Arial"/>
          <w:b/>
          <w:bCs/>
          <w:sz w:val="20"/>
          <w:szCs w:val="20"/>
          <w:lang w:val="en-GB"/>
        </w:rPr>
        <w:t xml:space="preserve">2 </w:t>
      </w:r>
      <w:r w:rsidR="00836829" w:rsidRPr="00915DA3">
        <w:rPr>
          <w:rFonts w:ascii="Arial" w:hAnsi="Arial" w:cs="Arial"/>
          <w:b/>
          <w:bCs/>
          <w:sz w:val="20"/>
          <w:szCs w:val="20"/>
          <w:lang w:val="en-GB"/>
        </w:rPr>
        <w:t>– Cost calculation of service in</w:t>
      </w:r>
      <w:r w:rsidR="008B61A7" w:rsidRPr="00915DA3">
        <w:rPr>
          <w:rFonts w:ascii="Arial" w:hAnsi="Arial" w:cs="Arial"/>
          <w:b/>
          <w:bCs/>
          <w:sz w:val="20"/>
          <w:szCs w:val="20"/>
          <w:lang w:val="en-GB"/>
        </w:rPr>
        <w:t xml:space="preserve"> accordance with the canSERV</w:t>
      </w:r>
      <w:r w:rsidR="00836829" w:rsidRPr="00915DA3">
        <w:rPr>
          <w:rFonts w:ascii="Arial" w:hAnsi="Arial" w:cs="Arial"/>
          <w:b/>
          <w:bCs/>
          <w:sz w:val="20"/>
          <w:szCs w:val="20"/>
          <w:lang w:val="en-GB"/>
        </w:rPr>
        <w:t xml:space="preserve"> Grant Agreement (if available)</w:t>
      </w:r>
    </w:p>
    <w:p w14:paraId="2B50B634" w14:textId="652B9761" w:rsidR="00D02C17" w:rsidRPr="00915DA3" w:rsidRDefault="00C62C19" w:rsidP="34B4BEC1">
      <w:pPr>
        <w:jc w:val="both"/>
        <w:rPr>
          <w:rStyle w:val="normaltextrun"/>
          <w:rFonts w:ascii="Arial" w:eastAsia="Times New Roman" w:hAnsi="Arial" w:cs="Arial"/>
          <w:kern w:val="0"/>
          <w:sz w:val="20"/>
          <w:szCs w:val="20"/>
          <w14:ligatures w14:val="none"/>
        </w:rPr>
      </w:pPr>
      <w:r w:rsidRPr="00915DA3">
        <w:rPr>
          <w:rStyle w:val="normaltextrun"/>
          <w:rFonts w:ascii="Arial" w:eastAsia="Times New Roman" w:hAnsi="Arial" w:cs="Arial"/>
          <w:kern w:val="0"/>
          <w:sz w:val="20"/>
          <w:szCs w:val="20"/>
          <w14:ligatures w14:val="none"/>
        </w:rPr>
        <w:t xml:space="preserve">TNA sheet or </w:t>
      </w:r>
      <w:r w:rsidR="00D02C17" w:rsidRPr="00915DA3">
        <w:rPr>
          <w:rStyle w:val="normaltextrun"/>
          <w:rFonts w:ascii="Arial" w:eastAsia="Times New Roman" w:hAnsi="Arial" w:cs="Arial"/>
          <w:kern w:val="0"/>
          <w:sz w:val="20"/>
          <w:szCs w:val="20"/>
          <w14:ligatures w14:val="none"/>
        </w:rPr>
        <w:t xml:space="preserve">Link to the cost calculation methodology defined </w:t>
      </w:r>
      <w:r w:rsidRPr="00915DA3">
        <w:rPr>
          <w:rStyle w:val="normaltextrun"/>
          <w:rFonts w:ascii="Arial" w:eastAsia="Times New Roman" w:hAnsi="Arial" w:cs="Arial"/>
          <w:kern w:val="0"/>
          <w:sz w:val="20"/>
          <w:szCs w:val="20"/>
          <w14:ligatures w14:val="none"/>
        </w:rPr>
        <w:t xml:space="preserve">for the project (e.g. WP10) </w:t>
      </w:r>
    </w:p>
    <w:p w14:paraId="1E114B05" w14:textId="7B281DD3" w:rsidR="005E29E4" w:rsidRPr="00915DA3" w:rsidRDefault="00C62C19" w:rsidP="34B4BEC1">
      <w:pPr>
        <w:jc w:val="both"/>
        <w:rPr>
          <w:rStyle w:val="eop"/>
          <w:rFonts w:ascii="Arial" w:hAnsi="Arial" w:cs="Arial"/>
          <w:color w:val="000000"/>
          <w:sz w:val="20"/>
          <w:szCs w:val="20"/>
          <w:shd w:val="clear" w:color="auto" w:fill="FFFFFF"/>
        </w:rPr>
      </w:pPr>
      <w:r w:rsidRPr="006976EB">
        <w:rPr>
          <w:rStyle w:val="normaltextrun"/>
          <w:rFonts w:ascii="Arial" w:hAnsi="Arial" w:cs="Arial"/>
          <w:b/>
          <w:bCs/>
          <w:color w:val="000000"/>
          <w:sz w:val="20"/>
          <w:szCs w:val="20"/>
          <w:shd w:val="clear" w:color="auto" w:fill="FFFFFF"/>
          <w:lang w:val="en-GB"/>
        </w:rPr>
        <w:lastRenderedPageBreak/>
        <w:t xml:space="preserve">Annex </w:t>
      </w:r>
      <w:r w:rsidR="00994927" w:rsidRPr="006976EB">
        <w:rPr>
          <w:rStyle w:val="normaltextrun"/>
          <w:rFonts w:ascii="Arial" w:hAnsi="Arial" w:cs="Arial"/>
          <w:b/>
          <w:bCs/>
          <w:color w:val="000000"/>
          <w:sz w:val="20"/>
          <w:szCs w:val="20"/>
          <w:shd w:val="clear" w:color="auto" w:fill="FFFFFF"/>
          <w:lang w:val="en-GB"/>
        </w:rPr>
        <w:t xml:space="preserve">3 </w:t>
      </w:r>
      <w:r w:rsidRPr="006976EB">
        <w:rPr>
          <w:rStyle w:val="normaltextrun"/>
          <w:rFonts w:ascii="Arial" w:hAnsi="Arial" w:cs="Arial"/>
          <w:b/>
          <w:bCs/>
          <w:color w:val="000000"/>
          <w:sz w:val="20"/>
          <w:szCs w:val="20"/>
          <w:shd w:val="clear" w:color="auto" w:fill="FFFFFF"/>
          <w:lang w:val="en-GB"/>
        </w:rPr>
        <w:t>- I</w:t>
      </w:r>
      <w:bookmarkStart w:id="1" w:name="_Hlk139361569"/>
      <w:r w:rsidRPr="006976EB">
        <w:rPr>
          <w:rStyle w:val="normaltextrun"/>
          <w:rFonts w:ascii="Arial" w:hAnsi="Arial" w:cs="Arial"/>
          <w:b/>
          <w:bCs/>
          <w:color w:val="000000"/>
          <w:sz w:val="20"/>
          <w:szCs w:val="20"/>
          <w:shd w:val="clear" w:color="auto" w:fill="FFFFFF"/>
          <w:lang w:val="en-GB"/>
        </w:rPr>
        <w:t>neligible costs as listed in Article 6.3 of the Grant Agreement</w:t>
      </w:r>
      <w:r w:rsidRPr="00915DA3">
        <w:rPr>
          <w:rStyle w:val="eop"/>
          <w:rFonts w:ascii="Arial" w:hAnsi="Arial" w:cs="Arial"/>
          <w:color w:val="000000"/>
          <w:sz w:val="20"/>
          <w:szCs w:val="20"/>
          <w:shd w:val="clear" w:color="auto" w:fill="FFFFFF"/>
        </w:rPr>
        <w:t> </w:t>
      </w:r>
      <w:bookmarkEnd w:id="1"/>
    </w:p>
    <w:p w14:paraId="3B70468E" w14:textId="0CA77003" w:rsidR="00117D76" w:rsidRDefault="00BB35F1" w:rsidP="34B4BEC1">
      <w:pPr>
        <w:jc w:val="both"/>
        <w:rPr>
          <w:rStyle w:val="eop"/>
          <w:rFonts w:ascii="Arial" w:hAnsi="Arial" w:cs="Arial"/>
          <w:b/>
          <w:bCs/>
          <w:color w:val="000000"/>
          <w:sz w:val="20"/>
          <w:szCs w:val="20"/>
          <w:shd w:val="clear" w:color="auto" w:fill="FFFFFF"/>
          <w:lang w:val="en-GB"/>
        </w:rPr>
      </w:pPr>
      <w:r w:rsidRPr="006976EB">
        <w:rPr>
          <w:rStyle w:val="eop"/>
          <w:rFonts w:ascii="Arial" w:hAnsi="Arial" w:cs="Arial"/>
          <w:b/>
          <w:bCs/>
          <w:color w:val="000000"/>
          <w:sz w:val="20"/>
          <w:szCs w:val="20"/>
          <w:shd w:val="clear" w:color="auto" w:fill="FFFFFF"/>
          <w:lang w:val="en-GB"/>
        </w:rPr>
        <w:t xml:space="preserve">Annex </w:t>
      </w:r>
      <w:r w:rsidR="00994927" w:rsidRPr="006976EB">
        <w:rPr>
          <w:rStyle w:val="eop"/>
          <w:rFonts w:ascii="Arial" w:hAnsi="Arial" w:cs="Arial"/>
          <w:b/>
          <w:bCs/>
          <w:color w:val="000000"/>
          <w:sz w:val="20"/>
          <w:szCs w:val="20"/>
          <w:shd w:val="clear" w:color="auto" w:fill="FFFFFF"/>
          <w:lang w:val="en-GB"/>
        </w:rPr>
        <w:t xml:space="preserve">4 </w:t>
      </w:r>
      <w:r w:rsidRPr="006976EB">
        <w:rPr>
          <w:rStyle w:val="eop"/>
          <w:rFonts w:ascii="Arial" w:hAnsi="Arial" w:cs="Arial"/>
          <w:b/>
          <w:bCs/>
          <w:color w:val="000000"/>
          <w:sz w:val="20"/>
          <w:szCs w:val="20"/>
          <w:shd w:val="clear" w:color="auto" w:fill="FFFFFF"/>
          <w:lang w:val="en-GB"/>
        </w:rPr>
        <w:t>– Horizon Europe rules governing TNA</w:t>
      </w:r>
    </w:p>
    <w:p w14:paraId="7C0488CF" w14:textId="480C6454" w:rsidR="006D7FF8" w:rsidRDefault="006D7FF8" w:rsidP="34B4BEC1">
      <w:pPr>
        <w:jc w:val="both"/>
        <w:rPr>
          <w:rStyle w:val="eop"/>
          <w:rFonts w:ascii="Arial" w:hAnsi="Arial" w:cs="Arial"/>
          <w:b/>
          <w:bCs/>
          <w:color w:val="000000"/>
          <w:sz w:val="20"/>
          <w:szCs w:val="20"/>
          <w:shd w:val="clear" w:color="auto" w:fill="FFFFFF"/>
          <w:lang w:val="en-GB"/>
        </w:rPr>
      </w:pPr>
      <w:r>
        <w:rPr>
          <w:rStyle w:val="eop"/>
          <w:rFonts w:ascii="Arial" w:hAnsi="Arial" w:cs="Arial"/>
          <w:b/>
          <w:bCs/>
          <w:color w:val="000000"/>
          <w:sz w:val="20"/>
          <w:szCs w:val="20"/>
          <w:shd w:val="clear" w:color="auto" w:fill="FFFFFF"/>
          <w:lang w:val="en-GB"/>
        </w:rPr>
        <w:t xml:space="preserve">Annex 5 - </w:t>
      </w:r>
      <w:r w:rsidR="00BA210A">
        <w:rPr>
          <w:rStyle w:val="normaltextrun"/>
          <w:rFonts w:ascii="Arial" w:hAnsi="Arial" w:cs="Arial"/>
          <w:b/>
          <w:bCs/>
          <w:color w:val="000000"/>
          <w:sz w:val="20"/>
          <w:szCs w:val="20"/>
        </w:rPr>
        <w:t>Delivery confirmation of the service/s</w:t>
      </w:r>
    </w:p>
    <w:p w14:paraId="6A96A9D4" w14:textId="28C00B5D" w:rsidR="6A2E54A7" w:rsidRDefault="6A2E54A7" w:rsidP="3CB641B6">
      <w:pPr>
        <w:rPr>
          <w:rStyle w:val="eop"/>
          <w:rFonts w:ascii="Arial" w:hAnsi="Arial" w:cs="Arial"/>
          <w:b/>
          <w:bCs/>
          <w:color w:val="000000" w:themeColor="text1"/>
          <w:sz w:val="20"/>
          <w:szCs w:val="20"/>
          <w:lang w:val="en-GB"/>
        </w:rPr>
      </w:pPr>
    </w:p>
    <w:p w14:paraId="2D079E17" w14:textId="2AF3433B" w:rsidR="3CB641B6" w:rsidRDefault="3CB641B6" w:rsidP="3CB641B6">
      <w:pPr>
        <w:rPr>
          <w:rStyle w:val="eop"/>
          <w:rFonts w:ascii="Arial" w:hAnsi="Arial" w:cs="Arial"/>
          <w:b/>
          <w:bCs/>
          <w:color w:val="000000" w:themeColor="text1"/>
          <w:sz w:val="20"/>
          <w:szCs w:val="20"/>
          <w:lang w:val="en-GB"/>
        </w:rPr>
      </w:pPr>
    </w:p>
    <w:p w14:paraId="4E822E48" w14:textId="0A4C8007" w:rsidR="3CB641B6" w:rsidRDefault="3CB641B6" w:rsidP="3CB641B6">
      <w:pPr>
        <w:rPr>
          <w:rStyle w:val="eop"/>
          <w:rFonts w:ascii="Arial" w:hAnsi="Arial" w:cs="Arial"/>
          <w:b/>
          <w:bCs/>
          <w:color w:val="000000" w:themeColor="text1"/>
          <w:sz w:val="20"/>
          <w:szCs w:val="20"/>
          <w:lang w:val="en-GB"/>
        </w:rPr>
      </w:pPr>
    </w:p>
    <w:p w14:paraId="75FDB2BC" w14:textId="77777777" w:rsidR="001D7CA0" w:rsidRDefault="001D7CA0" w:rsidP="3CB641B6">
      <w:pPr>
        <w:rPr>
          <w:rStyle w:val="eop"/>
          <w:rFonts w:ascii="Arial" w:hAnsi="Arial" w:cs="Arial"/>
          <w:b/>
          <w:bCs/>
          <w:color w:val="000000" w:themeColor="text1"/>
          <w:sz w:val="20"/>
          <w:szCs w:val="20"/>
          <w:lang w:val="en-GB"/>
        </w:rPr>
      </w:pPr>
    </w:p>
    <w:p w14:paraId="54F575B6" w14:textId="77777777" w:rsidR="001D7CA0" w:rsidRDefault="001D7CA0" w:rsidP="3CB641B6">
      <w:pPr>
        <w:rPr>
          <w:rStyle w:val="eop"/>
          <w:rFonts w:ascii="Arial" w:hAnsi="Arial" w:cs="Arial"/>
          <w:b/>
          <w:bCs/>
          <w:color w:val="000000" w:themeColor="text1"/>
          <w:sz w:val="20"/>
          <w:szCs w:val="20"/>
          <w:lang w:val="en-GB"/>
        </w:rPr>
      </w:pPr>
    </w:p>
    <w:p w14:paraId="24EE8360" w14:textId="77777777" w:rsidR="001D7CA0" w:rsidRDefault="001D7CA0" w:rsidP="3CB641B6">
      <w:pPr>
        <w:rPr>
          <w:rStyle w:val="eop"/>
          <w:rFonts w:ascii="Arial" w:hAnsi="Arial" w:cs="Arial"/>
          <w:b/>
          <w:bCs/>
          <w:color w:val="000000" w:themeColor="text1"/>
          <w:sz w:val="20"/>
          <w:szCs w:val="20"/>
          <w:lang w:val="en-GB"/>
        </w:rPr>
      </w:pPr>
    </w:p>
    <w:p w14:paraId="4F8CA0B3" w14:textId="77777777" w:rsidR="001D7CA0" w:rsidRDefault="001D7CA0" w:rsidP="3CB641B6">
      <w:pPr>
        <w:rPr>
          <w:rStyle w:val="eop"/>
          <w:rFonts w:ascii="Arial" w:hAnsi="Arial" w:cs="Arial"/>
          <w:b/>
          <w:bCs/>
          <w:color w:val="000000" w:themeColor="text1"/>
          <w:sz w:val="20"/>
          <w:szCs w:val="20"/>
          <w:lang w:val="en-GB"/>
        </w:rPr>
      </w:pPr>
    </w:p>
    <w:p w14:paraId="02EB7ADC" w14:textId="77777777" w:rsidR="001D7CA0" w:rsidRDefault="001D7CA0" w:rsidP="3CB641B6">
      <w:pPr>
        <w:rPr>
          <w:rStyle w:val="eop"/>
          <w:rFonts w:ascii="Arial" w:hAnsi="Arial" w:cs="Arial"/>
          <w:b/>
          <w:bCs/>
          <w:color w:val="000000" w:themeColor="text1"/>
          <w:sz w:val="20"/>
          <w:szCs w:val="20"/>
          <w:lang w:val="en-GB"/>
        </w:rPr>
      </w:pPr>
    </w:p>
    <w:p w14:paraId="6C7CFE8E" w14:textId="77777777" w:rsidR="001D7CA0" w:rsidRDefault="001D7CA0" w:rsidP="3CB641B6">
      <w:pPr>
        <w:rPr>
          <w:rStyle w:val="eop"/>
          <w:rFonts w:ascii="Arial" w:hAnsi="Arial" w:cs="Arial"/>
          <w:b/>
          <w:bCs/>
          <w:color w:val="000000" w:themeColor="text1"/>
          <w:sz w:val="20"/>
          <w:szCs w:val="20"/>
          <w:lang w:val="en-GB"/>
        </w:rPr>
      </w:pPr>
    </w:p>
    <w:p w14:paraId="00BEDF01" w14:textId="77777777" w:rsidR="001D7CA0" w:rsidRDefault="001D7CA0" w:rsidP="3CB641B6">
      <w:pPr>
        <w:rPr>
          <w:rStyle w:val="eop"/>
          <w:rFonts w:ascii="Arial" w:hAnsi="Arial" w:cs="Arial"/>
          <w:b/>
          <w:bCs/>
          <w:color w:val="000000" w:themeColor="text1"/>
          <w:sz w:val="20"/>
          <w:szCs w:val="20"/>
          <w:lang w:val="en-GB"/>
        </w:rPr>
      </w:pPr>
    </w:p>
    <w:p w14:paraId="387416F1" w14:textId="77777777" w:rsidR="001D7CA0" w:rsidRDefault="001D7CA0" w:rsidP="3CB641B6">
      <w:pPr>
        <w:rPr>
          <w:rStyle w:val="eop"/>
          <w:rFonts w:ascii="Arial" w:hAnsi="Arial" w:cs="Arial"/>
          <w:b/>
          <w:bCs/>
          <w:color w:val="000000" w:themeColor="text1"/>
          <w:sz w:val="20"/>
          <w:szCs w:val="20"/>
          <w:lang w:val="en-GB"/>
        </w:rPr>
      </w:pPr>
    </w:p>
    <w:p w14:paraId="1DAB24BA" w14:textId="2C692618" w:rsidR="001D7CA0" w:rsidRDefault="001D7CA0" w:rsidP="3CB641B6">
      <w:pPr>
        <w:rPr>
          <w:rStyle w:val="eop"/>
          <w:rFonts w:ascii="Arial" w:hAnsi="Arial" w:cs="Arial"/>
          <w:b/>
          <w:bCs/>
          <w:color w:val="000000" w:themeColor="text1"/>
          <w:sz w:val="20"/>
          <w:szCs w:val="20"/>
          <w:lang w:val="en-GB"/>
        </w:rPr>
      </w:pPr>
      <w:bookmarkStart w:id="2" w:name="_GoBack"/>
      <w:bookmarkEnd w:id="2"/>
    </w:p>
    <w:p w14:paraId="7FA5681F" w14:textId="77777777" w:rsidR="001D7CA0" w:rsidRDefault="001D7CA0" w:rsidP="3CB641B6">
      <w:pPr>
        <w:rPr>
          <w:rStyle w:val="eop"/>
          <w:rFonts w:ascii="Arial" w:hAnsi="Arial" w:cs="Arial"/>
          <w:b/>
          <w:bCs/>
          <w:color w:val="000000" w:themeColor="text1"/>
          <w:sz w:val="20"/>
          <w:szCs w:val="20"/>
          <w:lang w:val="en-GB"/>
        </w:rPr>
      </w:pPr>
    </w:p>
    <w:p w14:paraId="7CA76335" w14:textId="55ECF7B5" w:rsidR="00994927" w:rsidRDefault="00994927" w:rsidP="00994927">
      <w:pPr>
        <w:jc w:val="center"/>
        <w:rPr>
          <w:rFonts w:ascii="Arial" w:hAnsi="Arial"/>
          <w:b/>
          <w:bCs/>
          <w:lang w:val="en-GB"/>
        </w:rPr>
      </w:pPr>
      <w:r>
        <w:rPr>
          <w:rFonts w:ascii="Arial" w:hAnsi="Arial"/>
          <w:b/>
          <w:bCs/>
          <w:lang w:val="en-GB"/>
        </w:rPr>
        <w:t xml:space="preserve">Annex 1- </w:t>
      </w:r>
    </w:p>
    <w:p w14:paraId="7C71BBC3" w14:textId="77777777" w:rsidR="005A6DE2" w:rsidRDefault="007B12CF" w:rsidP="007B12CF">
      <w:pPr>
        <w:jc w:val="center"/>
        <w:rPr>
          <w:rFonts w:ascii="Arial" w:hAnsi="Arial"/>
          <w:b/>
          <w:bCs/>
          <w:lang w:val="en-GB"/>
        </w:rPr>
      </w:pPr>
      <w:r w:rsidRPr="00994927">
        <w:rPr>
          <w:rFonts w:ascii="Arial" w:hAnsi="Arial"/>
          <w:b/>
          <w:bCs/>
          <w:lang w:val="en-GB"/>
        </w:rPr>
        <w:t xml:space="preserve"> </w:t>
      </w:r>
      <w:r w:rsidR="00994927" w:rsidRPr="00994927">
        <w:rPr>
          <w:rFonts w:ascii="Arial" w:hAnsi="Arial"/>
          <w:b/>
          <w:bCs/>
          <w:lang w:val="en-GB"/>
        </w:rPr>
        <w:t>List of services provided by the Service Provider</w:t>
      </w:r>
    </w:p>
    <w:p w14:paraId="19E7F2B9" w14:textId="77777777" w:rsidR="005A6DE2" w:rsidRDefault="005A6DE2" w:rsidP="007B12CF">
      <w:pPr>
        <w:jc w:val="center"/>
        <w:rPr>
          <w:rFonts w:ascii="Arial" w:hAnsi="Arial"/>
          <w:b/>
          <w:bCs/>
          <w:lang w:val="en-GB"/>
        </w:rPr>
      </w:pPr>
    </w:p>
    <w:tbl>
      <w:tblPr>
        <w:tblW w:w="9251" w:type="dxa"/>
        <w:tblCellMar>
          <w:left w:w="0" w:type="dxa"/>
          <w:right w:w="0" w:type="dxa"/>
        </w:tblCellMar>
        <w:tblLook w:val="04A0" w:firstRow="1" w:lastRow="0" w:firstColumn="1" w:lastColumn="0" w:noHBand="0" w:noVBand="1"/>
      </w:tblPr>
      <w:tblGrid>
        <w:gridCol w:w="1125"/>
        <w:gridCol w:w="2850"/>
        <w:gridCol w:w="2564"/>
        <w:gridCol w:w="2712"/>
      </w:tblGrid>
      <w:tr w:rsidR="005A6DE2" w14:paraId="35F4538A" w14:textId="77777777" w:rsidTr="1C2A12F2">
        <w:trPr>
          <w:trHeight w:val="300"/>
        </w:trPr>
        <w:tc>
          <w:tcPr>
            <w:tcW w:w="11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A2C8F" w14:textId="77777777" w:rsidR="005A6DE2" w:rsidRPr="00A454DC" w:rsidRDefault="005A6DE2" w:rsidP="00A454DC">
            <w:pPr>
              <w:jc w:val="center"/>
              <w:rPr>
                <w:rFonts w:ascii="Calibri" w:hAnsi="Calibri" w:cs="Calibri"/>
                <w:color w:val="000000"/>
              </w:rPr>
            </w:pPr>
            <w:r w:rsidRPr="00A454DC">
              <w:rPr>
                <w:rFonts w:ascii="Calibri" w:hAnsi="Calibri" w:cs="Calibri"/>
                <w:color w:val="000000"/>
              </w:rPr>
              <w:t>Application</w:t>
            </w:r>
          </w:p>
        </w:tc>
        <w:tc>
          <w:tcPr>
            <w:tcW w:w="2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C41B1" w14:textId="29952A2C" w:rsidR="005A6DE2" w:rsidRPr="00A454DC" w:rsidRDefault="2E3FBB4C" w:rsidP="00A454DC">
            <w:pPr>
              <w:jc w:val="center"/>
              <w:rPr>
                <w:rFonts w:ascii="Calibri" w:hAnsi="Calibri" w:cs="Calibri"/>
                <w:color w:val="000000"/>
              </w:rPr>
            </w:pPr>
            <w:r w:rsidRPr="1C2A12F2">
              <w:rPr>
                <w:rFonts w:ascii="Calibri" w:hAnsi="Calibri" w:cs="Calibri"/>
                <w:color w:val="000000" w:themeColor="text1"/>
              </w:rPr>
              <w:t xml:space="preserve">Approved </w:t>
            </w:r>
            <w:r w:rsidR="25A69568" w:rsidRPr="1C2A12F2">
              <w:rPr>
                <w:rFonts w:ascii="Calibri" w:hAnsi="Calibri" w:cs="Calibri"/>
                <w:color w:val="000000" w:themeColor="text1"/>
              </w:rPr>
              <w:t>Service</w:t>
            </w:r>
          </w:p>
        </w:tc>
        <w:tc>
          <w:tcPr>
            <w:tcW w:w="25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0F1AE" w14:textId="77777777" w:rsidR="005A6DE2" w:rsidRPr="00A454DC" w:rsidRDefault="005A6DE2" w:rsidP="00A454DC">
            <w:pPr>
              <w:jc w:val="center"/>
              <w:rPr>
                <w:rFonts w:ascii="Calibri" w:hAnsi="Calibri" w:cs="Calibri"/>
                <w:color w:val="000000"/>
              </w:rPr>
            </w:pPr>
            <w:r w:rsidRPr="00A454DC">
              <w:rPr>
                <w:rFonts w:ascii="Calibri" w:hAnsi="Calibri" w:cs="Calibri"/>
                <w:color w:val="000000"/>
              </w:rPr>
              <w:t>Service Provider</w:t>
            </w:r>
          </w:p>
        </w:tc>
        <w:tc>
          <w:tcPr>
            <w:tcW w:w="27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25A2C44" w14:textId="6A626AC9" w:rsidR="099540B5" w:rsidRDefault="099540B5" w:rsidP="1C2A12F2">
            <w:pPr>
              <w:jc w:val="center"/>
              <w:rPr>
                <w:rFonts w:ascii="Calibri" w:hAnsi="Calibri" w:cs="Calibri"/>
                <w:color w:val="000000" w:themeColor="text1"/>
              </w:rPr>
            </w:pPr>
            <w:r w:rsidRPr="1C2A12F2">
              <w:rPr>
                <w:rFonts w:ascii="Calibri" w:hAnsi="Calibri" w:cs="Calibri"/>
                <w:color w:val="000000" w:themeColor="text1"/>
              </w:rPr>
              <w:t>Maximum Estimated Total Cost</w:t>
            </w:r>
          </w:p>
        </w:tc>
      </w:tr>
      <w:tr w:rsidR="005A6DE2" w14:paraId="3B39A285" w14:textId="77777777" w:rsidTr="1C2A12F2">
        <w:trPr>
          <w:trHeight w:val="300"/>
        </w:trPr>
        <w:tc>
          <w:tcPr>
            <w:tcW w:w="11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3598DD" w14:textId="77777777" w:rsidR="005A6DE2" w:rsidRDefault="005A6DE2" w:rsidP="00A454DC">
            <w:pPr>
              <w:jc w:val="center"/>
              <w:rPr>
                <w:rFonts w:ascii="Calibri" w:hAnsi="Calibri" w:cs="Calibri"/>
                <w:b/>
                <w:bCs/>
                <w:color w:val="000000"/>
              </w:rPr>
            </w:pPr>
            <w:r>
              <w:rPr>
                <w:rFonts w:ascii="Calibri" w:hAnsi="Calibri" w:cs="Calibri"/>
                <w:b/>
                <w:bCs/>
                <w:color w:val="000000"/>
              </w:rPr>
              <w:t>2980</w:t>
            </w:r>
          </w:p>
        </w:tc>
        <w:tc>
          <w:tcPr>
            <w:tcW w:w="2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365E48" w14:textId="77777777" w:rsidR="005A6DE2" w:rsidRDefault="005A6DE2">
            <w:pPr>
              <w:rPr>
                <w:rFonts w:ascii="Calibri" w:hAnsi="Calibri" w:cs="Calibri"/>
                <w:b/>
                <w:bCs/>
                <w:color w:val="000000"/>
              </w:rPr>
            </w:pPr>
            <w:r>
              <w:rPr>
                <w:rFonts w:ascii="Calibri" w:hAnsi="Calibri" w:cs="Calibri"/>
                <w:b/>
                <w:bCs/>
                <w:color w:val="000000"/>
              </w:rPr>
              <w:t>10.5_BBMRI Providing access to 1200 samples/data sets from biobanks across Europe</w:t>
            </w:r>
          </w:p>
        </w:tc>
        <w:tc>
          <w:tcPr>
            <w:tcW w:w="2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BBDB4" w14:textId="052558B5" w:rsidR="005A6DE2" w:rsidRDefault="005A6DE2">
            <w:pPr>
              <w:rPr>
                <w:rFonts w:ascii="Calibri" w:hAnsi="Calibri" w:cs="Calibri"/>
                <w:b/>
                <w:bCs/>
                <w:color w:val="000000"/>
              </w:rPr>
            </w:pPr>
            <w:r w:rsidRPr="5A1BD62E">
              <w:rPr>
                <w:rFonts w:ascii="Calibri" w:hAnsi="Calibri" w:cs="Calibri"/>
                <w:b/>
                <w:bCs/>
                <w:color w:val="000000" w:themeColor="text1"/>
              </w:rPr>
              <w:t>Masaryk Memorial Cancer Institute</w:t>
            </w:r>
            <w:r w:rsidR="57392A83" w:rsidRPr="5A1BD62E">
              <w:rPr>
                <w:rFonts w:ascii="Calibri" w:hAnsi="Calibri" w:cs="Calibri"/>
                <w:b/>
                <w:bCs/>
                <w:color w:val="000000" w:themeColor="text1"/>
              </w:rPr>
              <w:t xml:space="preserve"> (</w:t>
            </w:r>
            <w:r w:rsidR="5128E202" w:rsidRPr="5A1BD62E">
              <w:rPr>
                <w:rFonts w:ascii="Calibri" w:hAnsi="Calibri" w:cs="Calibri"/>
                <w:b/>
                <w:bCs/>
                <w:color w:val="000000" w:themeColor="text1"/>
              </w:rPr>
              <w:t>The Bank of Biological Material</w:t>
            </w:r>
            <w:r w:rsidR="57392A83" w:rsidRPr="5A1BD62E">
              <w:rPr>
                <w:rFonts w:ascii="Calibri" w:hAnsi="Calibri" w:cs="Calibri"/>
                <w:b/>
                <w:bCs/>
                <w:color w:val="000000" w:themeColor="text1"/>
              </w:rPr>
              <w:t>)</w:t>
            </w:r>
          </w:p>
        </w:tc>
        <w:tc>
          <w:tcPr>
            <w:tcW w:w="27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96CDF5" w14:textId="20D930CE" w:rsidR="25A7C257" w:rsidRDefault="25A7C257" w:rsidP="1C2A12F2">
            <w:pPr>
              <w:spacing w:after="0"/>
              <w:jc w:val="center"/>
              <w:rPr>
                <w:rFonts w:eastAsiaTheme="minorEastAsia"/>
                <w:b/>
                <w:bCs/>
                <w:sz w:val="24"/>
                <w:szCs w:val="24"/>
              </w:rPr>
            </w:pPr>
            <w:r w:rsidRPr="1C2A12F2">
              <w:rPr>
                <w:rFonts w:eastAsiaTheme="minorEastAsia"/>
                <w:b/>
                <w:bCs/>
                <w:sz w:val="24"/>
                <w:szCs w:val="24"/>
              </w:rPr>
              <w:t>11,951.10</w:t>
            </w:r>
          </w:p>
          <w:p w14:paraId="53F8B1B6" w14:textId="48841F72" w:rsidR="1C2A12F2" w:rsidRDefault="1C2A12F2" w:rsidP="1C2A12F2">
            <w:pPr>
              <w:rPr>
                <w:rFonts w:ascii="Calibri" w:hAnsi="Calibri" w:cs="Calibri"/>
                <w:b/>
                <w:bCs/>
                <w:color w:val="000000" w:themeColor="text1"/>
              </w:rPr>
            </w:pPr>
          </w:p>
        </w:tc>
      </w:tr>
    </w:tbl>
    <w:p w14:paraId="1606A94F" w14:textId="77777777" w:rsidR="005A6DE2" w:rsidRDefault="005A6DE2" w:rsidP="007B12CF">
      <w:pPr>
        <w:jc w:val="center"/>
        <w:rPr>
          <w:rFonts w:ascii="Arial" w:hAnsi="Arial"/>
          <w:b/>
          <w:bCs/>
          <w:lang w:val="en-GB"/>
        </w:rPr>
      </w:pPr>
    </w:p>
    <w:p w14:paraId="6E3DBAE6" w14:textId="14900E68" w:rsidR="00994927" w:rsidRDefault="16286189" w:rsidP="6A2E54A7">
      <w:pPr>
        <w:jc w:val="center"/>
        <w:rPr>
          <w:rFonts w:ascii="Arial" w:hAnsi="Arial"/>
          <w:b/>
          <w:bCs/>
          <w:lang w:val="en-GB"/>
        </w:rPr>
      </w:pPr>
      <w:r w:rsidRPr="6A2E54A7">
        <w:rPr>
          <w:rFonts w:ascii="Arial" w:hAnsi="Arial"/>
          <w:b/>
          <w:bCs/>
          <w:lang w:val="en-GB"/>
        </w:rPr>
        <w:t xml:space="preserve"> </w:t>
      </w:r>
      <w:r w:rsidR="00994927" w:rsidRPr="6A2E54A7">
        <w:rPr>
          <w:rFonts w:ascii="Arial" w:hAnsi="Arial"/>
          <w:b/>
          <w:bCs/>
          <w:lang w:val="en-GB"/>
        </w:rPr>
        <w:br w:type="page"/>
      </w:r>
    </w:p>
    <w:p w14:paraId="28265A96" w14:textId="4CF92587" w:rsidR="06D145B8" w:rsidRDefault="1901C877" w:rsidP="6A2E54A7">
      <w:pPr>
        <w:jc w:val="center"/>
        <w:rPr>
          <w:rFonts w:ascii="Arial" w:hAnsi="Arial"/>
          <w:b/>
          <w:bCs/>
          <w:lang w:val="en-GB"/>
        </w:rPr>
      </w:pPr>
      <w:r w:rsidRPr="3CB641B6">
        <w:rPr>
          <w:rFonts w:ascii="Arial" w:hAnsi="Arial"/>
          <w:b/>
          <w:bCs/>
          <w:lang w:val="en-GB"/>
        </w:rPr>
        <w:lastRenderedPageBreak/>
        <w:t>Annex 2 -</w:t>
      </w:r>
      <w:r w:rsidRPr="3CB641B6">
        <w:rPr>
          <w:rFonts w:ascii="Arial" w:hAnsi="Arial" w:cs="Arial"/>
          <w:b/>
          <w:bCs/>
          <w:sz w:val="20"/>
          <w:szCs w:val="20"/>
          <w:lang w:val="en-GB"/>
        </w:rPr>
        <w:t xml:space="preserve"> </w:t>
      </w:r>
      <w:r w:rsidRPr="3CB641B6">
        <w:rPr>
          <w:rFonts w:ascii="Arial" w:hAnsi="Arial"/>
          <w:b/>
          <w:bCs/>
          <w:lang w:val="en-GB"/>
        </w:rPr>
        <w:t>Cost calculation of service in accordance with the canSERV Grant Agreement (if available</w:t>
      </w:r>
      <w:r w:rsidR="0C99C780" w:rsidRPr="3CB641B6">
        <w:rPr>
          <w:rFonts w:ascii="Arial" w:hAnsi="Arial"/>
          <w:b/>
          <w:bCs/>
          <w:lang w:val="en-GB"/>
        </w:rPr>
        <w:t>)</w:t>
      </w:r>
    </w:p>
    <w:p w14:paraId="25DBD919" w14:textId="7A3BB122" w:rsidR="3CB641B6" w:rsidRDefault="3CB641B6" w:rsidP="3CB641B6">
      <w:pPr>
        <w:rPr>
          <w:rFonts w:ascii="Arial" w:eastAsia="Arial" w:hAnsi="Arial" w:cs="Arial"/>
          <w:lang w:val="en-GB"/>
        </w:rPr>
      </w:pPr>
    </w:p>
    <w:p w14:paraId="74A127D7" w14:textId="1D77EB78" w:rsidR="1A0D97B8" w:rsidRDefault="1A0D97B8" w:rsidP="3CB641B6">
      <w:r w:rsidRPr="1C2A12F2">
        <w:rPr>
          <w:rFonts w:ascii="Arial" w:eastAsia="Arial" w:hAnsi="Arial" w:cs="Arial"/>
          <w:b/>
          <w:bCs/>
          <w:lang w:val="en-GB"/>
        </w:rPr>
        <w:t xml:space="preserve">Amount Requested and </w:t>
      </w:r>
      <w:r w:rsidR="2F84BC9D" w:rsidRPr="1C2A12F2">
        <w:rPr>
          <w:rFonts w:ascii="Arial" w:eastAsia="Arial" w:hAnsi="Arial" w:cs="Arial"/>
          <w:b/>
          <w:bCs/>
          <w:lang w:val="en-GB"/>
        </w:rPr>
        <w:t xml:space="preserve">Cost </w:t>
      </w:r>
      <w:r w:rsidRPr="1C2A12F2">
        <w:rPr>
          <w:rFonts w:ascii="Arial" w:eastAsia="Arial" w:hAnsi="Arial" w:cs="Arial"/>
          <w:b/>
          <w:bCs/>
          <w:lang w:val="en-GB"/>
        </w:rPr>
        <w:t>Breakdown</w:t>
      </w:r>
      <w:r w:rsidRPr="1C2A12F2">
        <w:rPr>
          <w:rFonts w:ascii="Arial" w:eastAsia="Arial" w:hAnsi="Arial" w:cs="Arial"/>
          <w:lang w:val="en-GB"/>
        </w:rPr>
        <w:t>:</w:t>
      </w:r>
    </w:p>
    <w:p w14:paraId="2A898D2B" w14:textId="7467557A" w:rsidR="006C62AC" w:rsidRPr="006C62AC" w:rsidRDefault="006C62AC" w:rsidP="006C62AC">
      <w:pPr>
        <w:rPr>
          <w:rFonts w:ascii="Arial" w:hAnsi="Arial"/>
          <w:bCs/>
          <w:lang w:val="en-GB"/>
        </w:rPr>
      </w:pPr>
      <w:proofErr w:type="spellStart"/>
      <w:r w:rsidRPr="006C62AC">
        <w:rPr>
          <w:rFonts w:ascii="Arial" w:hAnsi="Arial"/>
          <w:bCs/>
          <w:lang w:val="en-GB"/>
        </w:rPr>
        <w:t>Nepodléhá</w:t>
      </w:r>
      <w:proofErr w:type="spellEnd"/>
      <w:r w:rsidRPr="006C62AC">
        <w:rPr>
          <w:rFonts w:ascii="Arial" w:hAnsi="Arial"/>
          <w:bCs/>
          <w:lang w:val="en-GB"/>
        </w:rPr>
        <w:t xml:space="preserve"> </w:t>
      </w:r>
      <w:proofErr w:type="spellStart"/>
      <w:r w:rsidRPr="006C62AC">
        <w:rPr>
          <w:rFonts w:ascii="Arial" w:hAnsi="Arial"/>
          <w:bCs/>
          <w:lang w:val="en-GB"/>
        </w:rPr>
        <w:t>uveřejnění</w:t>
      </w:r>
      <w:proofErr w:type="spellEnd"/>
      <w:r w:rsidRPr="006C62AC">
        <w:rPr>
          <w:rFonts w:ascii="Arial" w:hAnsi="Arial"/>
          <w:bCs/>
          <w:lang w:val="en-GB"/>
        </w:rPr>
        <w:t xml:space="preserve"> </w:t>
      </w:r>
      <w:proofErr w:type="spellStart"/>
      <w:r w:rsidRPr="006C62AC">
        <w:rPr>
          <w:rFonts w:ascii="Arial" w:hAnsi="Arial"/>
          <w:bCs/>
          <w:lang w:val="en-GB"/>
        </w:rPr>
        <w:t>dle</w:t>
      </w:r>
      <w:proofErr w:type="spellEnd"/>
      <w:r w:rsidRPr="006C62AC">
        <w:rPr>
          <w:rFonts w:ascii="Arial" w:hAnsi="Arial"/>
          <w:bCs/>
          <w:lang w:val="en-GB"/>
        </w:rPr>
        <w:t xml:space="preserve"> § 3 </w:t>
      </w:r>
      <w:proofErr w:type="spellStart"/>
      <w:r w:rsidRPr="006C62AC">
        <w:rPr>
          <w:rFonts w:ascii="Arial" w:hAnsi="Arial"/>
          <w:bCs/>
          <w:lang w:val="en-GB"/>
        </w:rPr>
        <w:t>odst</w:t>
      </w:r>
      <w:proofErr w:type="spellEnd"/>
      <w:r w:rsidRPr="006C62AC">
        <w:rPr>
          <w:rFonts w:ascii="Arial" w:hAnsi="Arial"/>
          <w:bCs/>
          <w:lang w:val="en-GB"/>
        </w:rPr>
        <w:t xml:space="preserve">. 1 </w:t>
      </w:r>
      <w:proofErr w:type="spellStart"/>
      <w:r w:rsidRPr="006C62AC">
        <w:rPr>
          <w:rFonts w:ascii="Arial" w:hAnsi="Arial"/>
          <w:bCs/>
          <w:lang w:val="en-GB"/>
        </w:rPr>
        <w:t>zákona</w:t>
      </w:r>
      <w:proofErr w:type="spellEnd"/>
      <w:r w:rsidRPr="006C62AC">
        <w:rPr>
          <w:rFonts w:ascii="Arial" w:hAnsi="Arial"/>
          <w:bCs/>
          <w:lang w:val="en-GB"/>
        </w:rPr>
        <w:t xml:space="preserve"> č. 340/2015 Sb., o </w:t>
      </w:r>
      <w:proofErr w:type="spellStart"/>
      <w:r w:rsidRPr="006C62AC">
        <w:rPr>
          <w:rFonts w:ascii="Arial" w:hAnsi="Arial"/>
          <w:bCs/>
          <w:lang w:val="en-GB"/>
        </w:rPr>
        <w:t>registru</w:t>
      </w:r>
      <w:proofErr w:type="spellEnd"/>
      <w:r w:rsidRPr="006C62AC">
        <w:rPr>
          <w:rFonts w:ascii="Arial" w:hAnsi="Arial"/>
          <w:bCs/>
          <w:lang w:val="en-GB"/>
        </w:rPr>
        <w:t xml:space="preserve"> </w:t>
      </w:r>
      <w:proofErr w:type="spellStart"/>
      <w:r w:rsidRPr="006C62AC">
        <w:rPr>
          <w:rFonts w:ascii="Arial" w:hAnsi="Arial"/>
          <w:bCs/>
          <w:lang w:val="en-GB"/>
        </w:rPr>
        <w:t>smluv</w:t>
      </w:r>
      <w:proofErr w:type="spellEnd"/>
      <w:r w:rsidRPr="006C62AC">
        <w:rPr>
          <w:rFonts w:ascii="Arial" w:hAnsi="Arial"/>
          <w:bCs/>
          <w:lang w:val="en-GB"/>
        </w:rPr>
        <w:t xml:space="preserve">, </w:t>
      </w:r>
      <w:proofErr w:type="spellStart"/>
      <w:r w:rsidRPr="006C62AC">
        <w:rPr>
          <w:rFonts w:ascii="Arial" w:hAnsi="Arial"/>
          <w:bCs/>
          <w:lang w:val="en-GB"/>
        </w:rPr>
        <w:t>ve</w:t>
      </w:r>
      <w:proofErr w:type="spellEnd"/>
      <w:r w:rsidRPr="006C62AC">
        <w:rPr>
          <w:rFonts w:ascii="Arial" w:hAnsi="Arial"/>
          <w:bCs/>
          <w:lang w:val="en-GB"/>
        </w:rPr>
        <w:t xml:space="preserve"> </w:t>
      </w:r>
      <w:proofErr w:type="spellStart"/>
      <w:r w:rsidRPr="006C62AC">
        <w:rPr>
          <w:rFonts w:ascii="Arial" w:hAnsi="Arial"/>
          <w:bCs/>
          <w:lang w:val="en-GB"/>
        </w:rPr>
        <w:t>znění</w:t>
      </w:r>
      <w:proofErr w:type="spellEnd"/>
      <w:r w:rsidRPr="006C62AC">
        <w:rPr>
          <w:rFonts w:ascii="Arial" w:hAnsi="Arial"/>
          <w:bCs/>
          <w:lang w:val="en-GB"/>
        </w:rPr>
        <w:t xml:space="preserve"> </w:t>
      </w:r>
      <w:proofErr w:type="spellStart"/>
      <w:r w:rsidRPr="006C62AC">
        <w:rPr>
          <w:rFonts w:ascii="Arial" w:hAnsi="Arial"/>
          <w:bCs/>
          <w:lang w:val="en-GB"/>
        </w:rPr>
        <w:t>pozdějších</w:t>
      </w:r>
      <w:proofErr w:type="spellEnd"/>
      <w:r w:rsidRPr="006C62AC">
        <w:rPr>
          <w:rFonts w:ascii="Arial" w:hAnsi="Arial"/>
          <w:bCs/>
          <w:lang w:val="en-GB"/>
        </w:rPr>
        <w:t xml:space="preserve"> </w:t>
      </w:r>
      <w:proofErr w:type="spellStart"/>
      <w:r w:rsidRPr="006C62AC">
        <w:rPr>
          <w:rFonts w:ascii="Arial" w:hAnsi="Arial"/>
          <w:bCs/>
          <w:lang w:val="en-GB"/>
        </w:rPr>
        <w:t>předpisů</w:t>
      </w:r>
      <w:proofErr w:type="spellEnd"/>
      <w:r>
        <w:rPr>
          <w:rFonts w:ascii="Arial" w:hAnsi="Arial"/>
          <w:bCs/>
          <w:lang w:val="en-GB"/>
        </w:rPr>
        <w:t xml:space="preserve"> – </w:t>
      </w:r>
      <w:proofErr w:type="spellStart"/>
      <w:r>
        <w:rPr>
          <w:rFonts w:ascii="Arial" w:hAnsi="Arial"/>
          <w:bCs/>
          <w:lang w:val="en-GB"/>
        </w:rPr>
        <w:t>obchodní</w:t>
      </w:r>
      <w:proofErr w:type="spellEnd"/>
      <w:r>
        <w:rPr>
          <w:rFonts w:ascii="Arial" w:hAnsi="Arial"/>
          <w:bCs/>
          <w:lang w:val="en-GB"/>
        </w:rPr>
        <w:t xml:space="preserve"> </w:t>
      </w:r>
      <w:proofErr w:type="spellStart"/>
      <w:r>
        <w:rPr>
          <w:rFonts w:ascii="Arial" w:hAnsi="Arial"/>
          <w:bCs/>
          <w:lang w:val="en-GB"/>
        </w:rPr>
        <w:t>tajemství</w:t>
      </w:r>
      <w:proofErr w:type="spellEnd"/>
    </w:p>
    <w:p w14:paraId="1DEBE27B" w14:textId="7D4726BC" w:rsidR="1E4E1062" w:rsidRDefault="1E4E1062" w:rsidP="1E4E1062">
      <w:pPr>
        <w:jc w:val="center"/>
        <w:rPr>
          <w:rFonts w:ascii="Arial" w:hAnsi="Arial"/>
          <w:b/>
          <w:bCs/>
          <w:lang w:val="en-GB"/>
        </w:rPr>
      </w:pPr>
    </w:p>
    <w:p w14:paraId="4CF759C0" w14:textId="4F4BC236" w:rsidR="1E4E1062" w:rsidRDefault="1E4E1062" w:rsidP="1E4E1062">
      <w:pPr>
        <w:jc w:val="center"/>
        <w:rPr>
          <w:rFonts w:ascii="Arial" w:hAnsi="Arial"/>
          <w:b/>
          <w:bCs/>
          <w:lang w:val="en-GB"/>
        </w:rPr>
      </w:pPr>
    </w:p>
    <w:p w14:paraId="08A40395" w14:textId="77777777" w:rsidR="001D7CA0" w:rsidRDefault="001D7CA0" w:rsidP="1E4E1062">
      <w:pPr>
        <w:jc w:val="center"/>
        <w:rPr>
          <w:rFonts w:ascii="Arial" w:hAnsi="Arial"/>
          <w:b/>
          <w:bCs/>
          <w:lang w:val="en-GB"/>
        </w:rPr>
      </w:pPr>
    </w:p>
    <w:p w14:paraId="7EAC18A6" w14:textId="1239056B" w:rsidR="6A2E54A7" w:rsidRDefault="6A2E54A7" w:rsidP="6A2E54A7">
      <w:pPr>
        <w:jc w:val="center"/>
        <w:rPr>
          <w:rFonts w:ascii="Arial" w:hAnsi="Arial"/>
          <w:b/>
          <w:bCs/>
          <w:lang w:val="en-GB"/>
        </w:rPr>
      </w:pPr>
    </w:p>
    <w:p w14:paraId="08EA1ED2" w14:textId="5BF8A8F9" w:rsidR="6A2E54A7" w:rsidRDefault="6A2E54A7" w:rsidP="6A2E54A7">
      <w:pPr>
        <w:jc w:val="center"/>
        <w:rPr>
          <w:rFonts w:ascii="Arial" w:hAnsi="Arial"/>
          <w:b/>
          <w:bCs/>
          <w:lang w:val="en-GB"/>
        </w:rPr>
      </w:pPr>
    </w:p>
    <w:p w14:paraId="3C94E8F0" w14:textId="6748ABB9" w:rsidR="001871D3" w:rsidRDefault="001871D3" w:rsidP="00AB300D">
      <w:pPr>
        <w:jc w:val="center"/>
        <w:rPr>
          <w:rFonts w:ascii="Arial" w:hAnsi="Arial"/>
          <w:b/>
          <w:bCs/>
          <w:lang w:val="en-GB"/>
        </w:rPr>
      </w:pPr>
      <w:r>
        <w:rPr>
          <w:rFonts w:ascii="Arial" w:hAnsi="Arial"/>
          <w:b/>
          <w:bCs/>
          <w:lang w:val="en-GB"/>
        </w:rPr>
        <w:t xml:space="preserve">Annex </w:t>
      </w:r>
      <w:r w:rsidR="00994927">
        <w:rPr>
          <w:rFonts w:ascii="Arial" w:hAnsi="Arial"/>
          <w:b/>
          <w:bCs/>
          <w:lang w:val="en-GB"/>
        </w:rPr>
        <w:t>3</w:t>
      </w:r>
      <w:r>
        <w:rPr>
          <w:rFonts w:ascii="Arial" w:hAnsi="Arial"/>
          <w:b/>
          <w:bCs/>
          <w:lang w:val="en-GB"/>
        </w:rPr>
        <w:t>- I</w:t>
      </w:r>
      <w:r w:rsidRPr="001871D3">
        <w:rPr>
          <w:rFonts w:ascii="Arial" w:hAnsi="Arial"/>
          <w:b/>
          <w:bCs/>
          <w:lang w:val="en-GB"/>
        </w:rPr>
        <w:t xml:space="preserve">neligible costs </w:t>
      </w:r>
      <w:r w:rsidR="009C31BD">
        <w:rPr>
          <w:rFonts w:ascii="Arial" w:hAnsi="Arial"/>
          <w:b/>
          <w:bCs/>
          <w:lang w:val="en-GB"/>
        </w:rPr>
        <w:t xml:space="preserve">and contributions </w:t>
      </w:r>
      <w:r w:rsidRPr="001871D3">
        <w:rPr>
          <w:rFonts w:ascii="Arial" w:hAnsi="Arial"/>
          <w:b/>
          <w:bCs/>
          <w:lang w:val="en-GB"/>
        </w:rPr>
        <w:t>as listed in Article 6.3 of the Grant Agreement</w:t>
      </w:r>
    </w:p>
    <w:p w14:paraId="65D8C3C5" w14:textId="579126FB" w:rsidR="001871D3" w:rsidRPr="00D40CC2" w:rsidRDefault="00BB3D83">
      <w:pPr>
        <w:rPr>
          <w:rFonts w:ascii="Arial" w:hAnsi="Arial" w:cs="Arial"/>
          <w:b/>
          <w:bCs/>
          <w:sz w:val="20"/>
          <w:szCs w:val="20"/>
          <w:lang w:val="en-GB"/>
        </w:rPr>
      </w:pPr>
      <w:r>
        <w:rPr>
          <w:rFonts w:ascii="Arial" w:hAnsi="Arial" w:cs="Arial"/>
          <w:b/>
          <w:bCs/>
          <w:sz w:val="20"/>
          <w:szCs w:val="20"/>
          <w:lang w:val="en-GB"/>
        </w:rPr>
        <w:t>According to Article 6.3 of the Grant Agreement, the following c</w:t>
      </w:r>
      <w:r w:rsidR="009C31BD" w:rsidRPr="00D40CC2">
        <w:rPr>
          <w:rFonts w:ascii="Arial" w:hAnsi="Arial" w:cs="Arial"/>
          <w:b/>
          <w:bCs/>
          <w:sz w:val="20"/>
          <w:szCs w:val="20"/>
          <w:lang w:val="en-GB"/>
        </w:rPr>
        <w:t>osts and contributions are ineligible</w:t>
      </w:r>
      <w:r>
        <w:rPr>
          <w:rFonts w:ascii="Arial" w:hAnsi="Arial" w:cs="Arial"/>
          <w:b/>
          <w:bCs/>
          <w:sz w:val="20"/>
          <w:szCs w:val="20"/>
          <w:lang w:val="en-GB"/>
        </w:rPr>
        <w:t>:</w:t>
      </w:r>
    </w:p>
    <w:p w14:paraId="645DEFCD" w14:textId="694622FF" w:rsidR="001871D3" w:rsidRPr="00D40CC2" w:rsidRDefault="00BB3D83">
      <w:pPr>
        <w:rPr>
          <w:rFonts w:ascii="Arial" w:hAnsi="Arial" w:cs="Arial"/>
          <w:sz w:val="20"/>
          <w:szCs w:val="20"/>
          <w:lang w:val="en-GB"/>
        </w:rPr>
      </w:pPr>
      <w:r>
        <w:rPr>
          <w:rFonts w:ascii="Arial" w:hAnsi="Arial" w:cs="Arial"/>
          <w:sz w:val="20"/>
          <w:szCs w:val="20"/>
          <w:lang w:val="en-GB"/>
        </w:rPr>
        <w:t xml:space="preserve">(1) </w:t>
      </w:r>
      <w:proofErr w:type="gramStart"/>
      <w:r>
        <w:rPr>
          <w:rFonts w:ascii="Arial" w:hAnsi="Arial" w:cs="Arial"/>
          <w:sz w:val="20"/>
          <w:szCs w:val="20"/>
          <w:lang w:val="en-GB"/>
        </w:rPr>
        <w:t>costs</w:t>
      </w:r>
      <w:proofErr w:type="gramEnd"/>
      <w:r>
        <w:rPr>
          <w:rFonts w:ascii="Arial" w:hAnsi="Arial" w:cs="Arial"/>
          <w:sz w:val="20"/>
          <w:szCs w:val="20"/>
          <w:lang w:val="en-GB"/>
        </w:rPr>
        <w:t xml:space="preserve"> or contributions that do not comply with the conditions set out above, in particular:</w:t>
      </w:r>
    </w:p>
    <w:p w14:paraId="6BC87F8E" w14:textId="009E24E9" w:rsidR="009C31BD" w:rsidRPr="00D40CC2" w:rsidRDefault="009C31BD"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costs related to return on capital or dividends paid by a beneficiary</w:t>
      </w:r>
    </w:p>
    <w:p w14:paraId="73343857" w14:textId="58E3ABB6" w:rsidR="009C31BD" w:rsidRPr="00D40CC2" w:rsidRDefault="009C31BD"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debt and debt service charges</w:t>
      </w:r>
    </w:p>
    <w:p w14:paraId="2A389C4C" w14:textId="09C97144" w:rsidR="00D40CC2" w:rsidRPr="00D40CC2" w:rsidRDefault="00D40CC2"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provisions for future losses or debts</w:t>
      </w:r>
    </w:p>
    <w:p w14:paraId="0EA912D7" w14:textId="6B256A92" w:rsidR="00D40CC2" w:rsidRPr="00D40CC2" w:rsidRDefault="00D40CC2"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 xml:space="preserve">interest owed </w:t>
      </w:r>
    </w:p>
    <w:p w14:paraId="63C49E96" w14:textId="3B1012D3" w:rsidR="00D40CC2" w:rsidRPr="00D40CC2" w:rsidRDefault="00D40CC2"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 xml:space="preserve">currency exchange losses </w:t>
      </w:r>
    </w:p>
    <w:p w14:paraId="30051C45" w14:textId="5AA5187C" w:rsidR="00D40CC2" w:rsidRPr="00D40CC2" w:rsidRDefault="00D40CC2"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bank costs charged by the beneficiary’s bank for transfers from the granting authority</w:t>
      </w:r>
    </w:p>
    <w:p w14:paraId="3FDCEADC" w14:textId="3F59B2BB" w:rsidR="00D40CC2" w:rsidRPr="00D40CC2" w:rsidRDefault="00D40CC2"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excessive or reckless expenditure</w:t>
      </w:r>
    </w:p>
    <w:p w14:paraId="21CE06AF" w14:textId="0EB8B51E" w:rsidR="00D40CC2" w:rsidRPr="00D40CC2" w:rsidRDefault="00BB3D83" w:rsidP="00AB300D">
      <w:pPr>
        <w:pStyle w:val="Odstavecseseznamem"/>
        <w:numPr>
          <w:ilvl w:val="0"/>
          <w:numId w:val="26"/>
        </w:numPr>
        <w:jc w:val="both"/>
        <w:rPr>
          <w:rFonts w:ascii="Arial" w:hAnsi="Arial" w:cs="Arial"/>
          <w:sz w:val="20"/>
          <w:szCs w:val="20"/>
          <w:lang w:val="en-GB"/>
        </w:rPr>
      </w:pPr>
      <w:r>
        <w:rPr>
          <w:rFonts w:ascii="Arial" w:hAnsi="Arial" w:cs="Arial"/>
          <w:sz w:val="20"/>
          <w:szCs w:val="20"/>
          <w:lang w:val="en-GB"/>
        </w:rPr>
        <w:t>d</w:t>
      </w:r>
      <w:r w:rsidR="00D40CC2" w:rsidRPr="00D40CC2">
        <w:rPr>
          <w:rFonts w:ascii="Arial" w:hAnsi="Arial" w:cs="Arial"/>
          <w:sz w:val="20"/>
          <w:szCs w:val="20"/>
          <w:lang w:val="en-GB"/>
        </w:rPr>
        <w:t xml:space="preserve">eductible </w:t>
      </w:r>
      <w:r w:rsidR="006959D0">
        <w:rPr>
          <w:rFonts w:ascii="Arial" w:hAnsi="Arial" w:cs="Arial"/>
          <w:sz w:val="20"/>
          <w:szCs w:val="20"/>
          <w:lang w:val="en-GB"/>
        </w:rPr>
        <w:t>or</w:t>
      </w:r>
      <w:r w:rsidR="00D40CC2" w:rsidRPr="00D40CC2">
        <w:rPr>
          <w:rFonts w:ascii="Arial" w:hAnsi="Arial" w:cs="Arial"/>
          <w:sz w:val="20"/>
          <w:szCs w:val="20"/>
          <w:lang w:val="en-GB"/>
        </w:rPr>
        <w:t xml:space="preserve"> </w:t>
      </w:r>
      <w:r w:rsidR="006959D0">
        <w:rPr>
          <w:rFonts w:ascii="Arial" w:hAnsi="Arial" w:cs="Arial"/>
          <w:sz w:val="20"/>
          <w:szCs w:val="20"/>
          <w:lang w:val="en-GB"/>
        </w:rPr>
        <w:t>r</w:t>
      </w:r>
      <w:r w:rsidR="00D40CC2" w:rsidRPr="00D40CC2">
        <w:rPr>
          <w:rFonts w:ascii="Arial" w:hAnsi="Arial" w:cs="Arial"/>
          <w:sz w:val="20"/>
          <w:szCs w:val="20"/>
          <w:lang w:val="en-GB"/>
        </w:rPr>
        <w:t xml:space="preserve">efundable VAT </w:t>
      </w:r>
      <w:r w:rsidR="006959D0">
        <w:rPr>
          <w:rFonts w:ascii="Arial" w:hAnsi="Arial" w:cs="Arial"/>
          <w:sz w:val="20"/>
          <w:szCs w:val="20"/>
          <w:lang w:val="en-GB"/>
        </w:rPr>
        <w:t>(including VAT paid by public authorities acting as public authority)</w:t>
      </w:r>
    </w:p>
    <w:p w14:paraId="69237072" w14:textId="736532F4" w:rsidR="00D40CC2" w:rsidRPr="00D40CC2" w:rsidRDefault="00D40CC2" w:rsidP="00AB300D">
      <w:pPr>
        <w:pStyle w:val="Odstavecseseznamem"/>
        <w:numPr>
          <w:ilvl w:val="0"/>
          <w:numId w:val="26"/>
        </w:numPr>
        <w:jc w:val="both"/>
        <w:rPr>
          <w:rFonts w:ascii="Arial" w:hAnsi="Arial" w:cs="Arial"/>
          <w:sz w:val="20"/>
          <w:szCs w:val="20"/>
          <w:lang w:val="en-GB"/>
        </w:rPr>
      </w:pPr>
      <w:r w:rsidRPr="00D40CC2">
        <w:rPr>
          <w:rFonts w:ascii="Arial" w:hAnsi="Arial" w:cs="Arial"/>
          <w:sz w:val="20"/>
          <w:szCs w:val="20"/>
          <w:lang w:val="en-GB"/>
        </w:rPr>
        <w:t xml:space="preserve">costs incurred </w:t>
      </w:r>
      <w:r w:rsidR="006959D0">
        <w:rPr>
          <w:rFonts w:ascii="Arial" w:hAnsi="Arial" w:cs="Arial"/>
          <w:sz w:val="20"/>
          <w:szCs w:val="20"/>
          <w:lang w:val="en-GB"/>
        </w:rPr>
        <w:t xml:space="preserve">or contributions for activities implemented </w:t>
      </w:r>
      <w:r w:rsidRPr="00D40CC2">
        <w:rPr>
          <w:rFonts w:ascii="Arial" w:hAnsi="Arial" w:cs="Arial"/>
          <w:sz w:val="20"/>
          <w:szCs w:val="20"/>
          <w:lang w:val="en-GB"/>
        </w:rPr>
        <w:t xml:space="preserve">during </w:t>
      </w:r>
      <w:r w:rsidR="006959D0">
        <w:rPr>
          <w:rFonts w:ascii="Arial" w:hAnsi="Arial" w:cs="Arial"/>
          <w:sz w:val="20"/>
          <w:szCs w:val="20"/>
          <w:lang w:val="en-GB"/>
        </w:rPr>
        <w:t xml:space="preserve">Grant Agreement </w:t>
      </w:r>
      <w:r w:rsidRPr="00D40CC2">
        <w:rPr>
          <w:rFonts w:ascii="Arial" w:hAnsi="Arial" w:cs="Arial"/>
          <w:sz w:val="20"/>
          <w:szCs w:val="20"/>
          <w:lang w:val="en-GB"/>
        </w:rPr>
        <w:t xml:space="preserve">suspension </w:t>
      </w:r>
    </w:p>
    <w:p w14:paraId="343911DB" w14:textId="77777777" w:rsidR="00BB3D83" w:rsidRPr="00D40CC2" w:rsidRDefault="00BB3D83" w:rsidP="00CA1F5B">
      <w:pPr>
        <w:pStyle w:val="Odstavecseseznamem"/>
        <w:jc w:val="both"/>
        <w:rPr>
          <w:rFonts w:ascii="Arial" w:hAnsi="Arial" w:cs="Arial"/>
          <w:sz w:val="20"/>
          <w:szCs w:val="20"/>
          <w:lang w:val="en-GB"/>
        </w:rPr>
      </w:pPr>
    </w:p>
    <w:p w14:paraId="1093A9A9" w14:textId="065276F8" w:rsidR="00D40CC2" w:rsidRDefault="00BB3D83" w:rsidP="005F1E64">
      <w:pPr>
        <w:pStyle w:val="Odstavecseseznamem"/>
        <w:ind w:left="0"/>
        <w:jc w:val="both"/>
        <w:rPr>
          <w:rFonts w:ascii="Arial" w:hAnsi="Arial" w:cs="Arial"/>
          <w:sz w:val="20"/>
          <w:szCs w:val="20"/>
          <w:lang w:val="en-GB"/>
        </w:rPr>
      </w:pPr>
      <w:r>
        <w:rPr>
          <w:rFonts w:ascii="Arial" w:hAnsi="Arial" w:cs="Arial"/>
          <w:sz w:val="20"/>
          <w:szCs w:val="20"/>
          <w:lang w:val="en-GB"/>
        </w:rPr>
        <w:t xml:space="preserve">(2) </w:t>
      </w:r>
      <w:r w:rsidR="00D40CC2" w:rsidRPr="00D40CC2">
        <w:rPr>
          <w:rFonts w:ascii="Arial" w:hAnsi="Arial" w:cs="Arial"/>
          <w:sz w:val="20"/>
          <w:szCs w:val="20"/>
          <w:lang w:val="en-GB"/>
        </w:rPr>
        <w:t xml:space="preserve">costs </w:t>
      </w:r>
      <w:r w:rsidR="006959D0">
        <w:rPr>
          <w:rFonts w:ascii="Arial" w:hAnsi="Arial" w:cs="Arial"/>
          <w:sz w:val="20"/>
          <w:szCs w:val="20"/>
          <w:lang w:val="en-GB"/>
        </w:rPr>
        <w:t xml:space="preserve">or contributions </w:t>
      </w:r>
      <w:r w:rsidR="00D40CC2" w:rsidRPr="00D40CC2">
        <w:rPr>
          <w:rFonts w:ascii="Arial" w:hAnsi="Arial" w:cs="Arial"/>
          <w:sz w:val="20"/>
          <w:szCs w:val="20"/>
          <w:lang w:val="en-GB"/>
        </w:rPr>
        <w:t>declared under another EU grant (</w:t>
      </w:r>
      <w:r w:rsidR="006959D0">
        <w:rPr>
          <w:rFonts w:ascii="Arial" w:hAnsi="Arial" w:cs="Arial"/>
          <w:sz w:val="20"/>
          <w:szCs w:val="20"/>
          <w:lang w:val="en-GB"/>
        </w:rPr>
        <w:t>or grants awarded by an EU Member State, non-EU country or other body implementing the EU budget</w:t>
      </w:r>
      <w:r w:rsidR="00D40CC2" w:rsidRPr="00D40CC2">
        <w:rPr>
          <w:rFonts w:ascii="Arial" w:hAnsi="Arial" w:cs="Arial"/>
          <w:sz w:val="20"/>
          <w:szCs w:val="20"/>
          <w:lang w:val="en-GB"/>
        </w:rPr>
        <w:t xml:space="preserve">), except for </w:t>
      </w:r>
      <w:r w:rsidR="006959D0">
        <w:rPr>
          <w:rFonts w:ascii="Arial" w:hAnsi="Arial" w:cs="Arial"/>
          <w:sz w:val="20"/>
          <w:szCs w:val="20"/>
          <w:lang w:val="en-GB"/>
        </w:rPr>
        <w:t xml:space="preserve">the following cases: if the action grant is combined with an operating grant running the same period and the beneficiary can demonstrate that the operating grant does not cover any (direct or indirect) cost of the action grant </w:t>
      </w:r>
    </w:p>
    <w:p w14:paraId="4B7E8C37" w14:textId="77777777" w:rsidR="00BB3D83" w:rsidRPr="00D40CC2" w:rsidRDefault="00BB3D83" w:rsidP="00CA1F5B">
      <w:pPr>
        <w:pStyle w:val="Odstavecseseznamem"/>
        <w:ind w:left="142"/>
        <w:jc w:val="both"/>
        <w:rPr>
          <w:rFonts w:ascii="Arial" w:hAnsi="Arial" w:cs="Arial"/>
          <w:sz w:val="20"/>
          <w:szCs w:val="20"/>
          <w:lang w:val="en-GB"/>
        </w:rPr>
      </w:pPr>
    </w:p>
    <w:p w14:paraId="0C3FF59E" w14:textId="24AAB068" w:rsidR="00D40CC2" w:rsidRPr="00D40CC2" w:rsidRDefault="00BB3D83" w:rsidP="00CA1F5B">
      <w:pPr>
        <w:pStyle w:val="Odstavecseseznamem"/>
        <w:ind w:left="0"/>
        <w:jc w:val="both"/>
        <w:rPr>
          <w:rFonts w:ascii="Arial" w:hAnsi="Arial" w:cs="Arial"/>
          <w:sz w:val="20"/>
          <w:szCs w:val="20"/>
          <w:lang w:val="en-GB"/>
        </w:rPr>
      </w:pPr>
      <w:r>
        <w:rPr>
          <w:rFonts w:ascii="Arial" w:hAnsi="Arial" w:cs="Arial"/>
          <w:sz w:val="20"/>
          <w:szCs w:val="20"/>
          <w:lang w:val="en-GB"/>
        </w:rPr>
        <w:t>(3</w:t>
      </w:r>
      <w:proofErr w:type="gramStart"/>
      <w:r>
        <w:rPr>
          <w:rFonts w:ascii="Arial" w:hAnsi="Arial" w:cs="Arial"/>
          <w:sz w:val="20"/>
          <w:szCs w:val="20"/>
          <w:lang w:val="en-GB"/>
        </w:rPr>
        <w:t>)</w:t>
      </w:r>
      <w:r w:rsidR="00D40CC2" w:rsidRPr="00D40CC2">
        <w:rPr>
          <w:rFonts w:ascii="Arial" w:hAnsi="Arial" w:cs="Arial"/>
          <w:sz w:val="20"/>
          <w:szCs w:val="20"/>
          <w:lang w:val="en-GB"/>
        </w:rPr>
        <w:t>costs</w:t>
      </w:r>
      <w:proofErr w:type="gramEnd"/>
      <w:r w:rsidR="00D40CC2" w:rsidRPr="00D40CC2">
        <w:rPr>
          <w:rFonts w:ascii="Arial" w:hAnsi="Arial" w:cs="Arial"/>
          <w:sz w:val="20"/>
          <w:szCs w:val="20"/>
          <w:lang w:val="en-GB"/>
        </w:rPr>
        <w:t xml:space="preserve"> or contributions for staff of a national (or regional/local) administration, for activities that are part of the administration’s normal activities (</w:t>
      </w:r>
      <w:r w:rsidR="00B65BB7" w:rsidRPr="00D40CC2">
        <w:rPr>
          <w:rFonts w:ascii="Arial" w:hAnsi="Arial" w:cs="Arial"/>
          <w:sz w:val="20"/>
          <w:szCs w:val="20"/>
          <w:lang w:val="en-GB"/>
        </w:rPr>
        <w:t>i.e.,</w:t>
      </w:r>
      <w:r w:rsidR="00D40CC2" w:rsidRPr="00D40CC2">
        <w:rPr>
          <w:rFonts w:ascii="Arial" w:hAnsi="Arial" w:cs="Arial"/>
          <w:sz w:val="20"/>
          <w:szCs w:val="20"/>
          <w:lang w:val="en-GB"/>
        </w:rPr>
        <w:t xml:space="preserve"> not undertaken only because of the grant) </w:t>
      </w:r>
    </w:p>
    <w:p w14:paraId="1730C656" w14:textId="295643CD" w:rsidR="00D40CC2" w:rsidRPr="00CA1F5B" w:rsidRDefault="00BB3D83" w:rsidP="00CA1F5B">
      <w:pPr>
        <w:jc w:val="both"/>
        <w:rPr>
          <w:rFonts w:ascii="Arial" w:hAnsi="Arial" w:cs="Arial"/>
          <w:sz w:val="20"/>
          <w:szCs w:val="20"/>
          <w:lang w:val="en-GB"/>
        </w:rPr>
      </w:pPr>
      <w:r>
        <w:rPr>
          <w:rFonts w:ascii="Arial" w:hAnsi="Arial" w:cs="Arial"/>
          <w:sz w:val="20"/>
          <w:szCs w:val="20"/>
          <w:lang w:val="en-GB"/>
        </w:rPr>
        <w:t xml:space="preserve">(4) </w:t>
      </w:r>
      <w:r w:rsidR="00D40CC2" w:rsidRPr="00CA1F5B">
        <w:rPr>
          <w:rFonts w:ascii="Arial" w:hAnsi="Arial" w:cs="Arial"/>
          <w:sz w:val="20"/>
          <w:szCs w:val="20"/>
          <w:lang w:val="en-GB"/>
        </w:rPr>
        <w:t>costs or contributions (especially travel and subsistence) for staff or representatives of EU institutions, bodies or agencies</w:t>
      </w:r>
    </w:p>
    <w:p w14:paraId="3E520F27" w14:textId="494EFACC" w:rsidR="00D40CC2" w:rsidRPr="00D40CC2" w:rsidRDefault="00BB3D83" w:rsidP="00CA1F5B">
      <w:pPr>
        <w:rPr>
          <w:lang w:val="en-GB"/>
        </w:rPr>
      </w:pPr>
      <w:r>
        <w:rPr>
          <w:rFonts w:ascii="Arial" w:hAnsi="Arial" w:cs="Arial"/>
          <w:sz w:val="20"/>
          <w:szCs w:val="20"/>
          <w:lang w:val="en-GB"/>
        </w:rPr>
        <w:t xml:space="preserve">(5) </w:t>
      </w:r>
      <w:r w:rsidRPr="00CA1F5B">
        <w:rPr>
          <w:rFonts w:ascii="Arial" w:hAnsi="Arial" w:cs="Arial"/>
          <w:sz w:val="20"/>
          <w:szCs w:val="20"/>
          <w:lang w:val="en-GB"/>
        </w:rPr>
        <w:t xml:space="preserve">other: </w:t>
      </w:r>
      <w:r w:rsidR="00D40CC2" w:rsidRPr="00D40CC2">
        <w:rPr>
          <w:lang w:val="en-GB"/>
        </w:rPr>
        <w:t xml:space="preserve">cost </w:t>
      </w:r>
      <w:r w:rsidRPr="00CA1F5B">
        <w:rPr>
          <w:rFonts w:ascii="Arial" w:hAnsi="Arial" w:cs="Arial"/>
          <w:sz w:val="20"/>
          <w:szCs w:val="20"/>
          <w:lang w:val="en-GB"/>
        </w:rPr>
        <w:t>or contributions</w:t>
      </w:r>
      <w:r>
        <w:rPr>
          <w:lang w:val="en-GB"/>
        </w:rPr>
        <w:t xml:space="preserve"> </w:t>
      </w:r>
      <w:r w:rsidR="00D40CC2" w:rsidRPr="00D40CC2">
        <w:rPr>
          <w:lang w:val="en-GB"/>
        </w:rPr>
        <w:t>declared specifically ineligible in the call conditions.</w:t>
      </w:r>
    </w:p>
    <w:p w14:paraId="40D6099F" w14:textId="77777777" w:rsidR="009C31BD" w:rsidRDefault="009C31BD" w:rsidP="003E2449">
      <w:pPr>
        <w:jc w:val="center"/>
        <w:rPr>
          <w:rFonts w:ascii="Arial" w:hAnsi="Arial"/>
          <w:b/>
          <w:bCs/>
          <w:lang w:val="en-GB"/>
        </w:rPr>
      </w:pPr>
    </w:p>
    <w:p w14:paraId="17F940F6" w14:textId="4F695AD4" w:rsidR="00D40CC2" w:rsidRDefault="00D40CC2">
      <w:pPr>
        <w:rPr>
          <w:rFonts w:ascii="Arial" w:hAnsi="Arial"/>
          <w:b/>
          <w:bCs/>
          <w:lang w:val="en-GB"/>
        </w:rPr>
      </w:pPr>
      <w:r>
        <w:rPr>
          <w:rFonts w:ascii="Arial" w:hAnsi="Arial"/>
          <w:b/>
          <w:bCs/>
          <w:lang w:val="en-GB"/>
        </w:rPr>
        <w:br w:type="page"/>
      </w:r>
    </w:p>
    <w:p w14:paraId="5C1C309D" w14:textId="7F8D8C8C" w:rsidR="00BB35F1" w:rsidRDefault="004E1E9B" w:rsidP="003E2449">
      <w:pPr>
        <w:jc w:val="center"/>
        <w:rPr>
          <w:rFonts w:ascii="Arial" w:hAnsi="Arial"/>
          <w:b/>
          <w:bCs/>
          <w:lang w:val="en-GB"/>
        </w:rPr>
      </w:pPr>
      <w:r>
        <w:rPr>
          <w:rFonts w:ascii="Arial" w:hAnsi="Arial"/>
          <w:b/>
          <w:bCs/>
          <w:lang w:val="en-GB"/>
        </w:rPr>
        <w:lastRenderedPageBreak/>
        <w:t xml:space="preserve">Annex </w:t>
      </w:r>
      <w:r w:rsidR="00994927">
        <w:rPr>
          <w:rFonts w:ascii="Arial" w:hAnsi="Arial"/>
          <w:b/>
          <w:bCs/>
          <w:lang w:val="en-GB"/>
        </w:rPr>
        <w:t xml:space="preserve">4 </w:t>
      </w:r>
      <w:r>
        <w:rPr>
          <w:rFonts w:ascii="Arial" w:hAnsi="Arial"/>
          <w:b/>
          <w:bCs/>
          <w:lang w:val="en-GB"/>
        </w:rPr>
        <w:t>– Horizon Europe rules governing TNA</w:t>
      </w:r>
    </w:p>
    <w:p w14:paraId="3CA73843" w14:textId="77777777" w:rsidR="004E1E9B" w:rsidRPr="003E2449" w:rsidRDefault="004E1E9B" w:rsidP="34B4BEC1">
      <w:pPr>
        <w:jc w:val="both"/>
        <w:rPr>
          <w:rFonts w:ascii="Arial" w:hAnsi="Arial"/>
          <w:lang w:val="en-GB"/>
        </w:rPr>
      </w:pPr>
    </w:p>
    <w:p w14:paraId="2D535D17" w14:textId="1B42435F" w:rsidR="008113C3" w:rsidRPr="00147775" w:rsidRDefault="008113C3" w:rsidP="34B4BEC1">
      <w:pPr>
        <w:jc w:val="both"/>
        <w:rPr>
          <w:rFonts w:ascii="Arial" w:hAnsi="Arial"/>
          <w:sz w:val="20"/>
          <w:szCs w:val="20"/>
          <w:lang w:val="en-GB"/>
        </w:rPr>
      </w:pPr>
      <w:r w:rsidRPr="00147775">
        <w:rPr>
          <w:rFonts w:ascii="Arial" w:hAnsi="Arial"/>
          <w:sz w:val="20"/>
          <w:szCs w:val="20"/>
          <w:lang w:val="en-GB"/>
        </w:rPr>
        <w:t>The Parties must comply with the requirements of Horizon Europe rules governing TNA. The detailed description of the provisions can be fo</w:t>
      </w:r>
      <w:r w:rsidR="003E2449" w:rsidRPr="00147775">
        <w:rPr>
          <w:rFonts w:ascii="Arial" w:hAnsi="Arial"/>
          <w:sz w:val="20"/>
          <w:szCs w:val="20"/>
          <w:lang w:val="en-GB"/>
        </w:rPr>
        <w:t xml:space="preserve">und </w:t>
      </w:r>
      <w:r w:rsidR="0099089E" w:rsidRPr="00147775">
        <w:rPr>
          <w:rFonts w:ascii="Arial" w:hAnsi="Arial"/>
          <w:sz w:val="20"/>
          <w:szCs w:val="20"/>
          <w:lang w:val="en-GB"/>
        </w:rPr>
        <w:t xml:space="preserve">in </w:t>
      </w:r>
      <w:hyperlink r:id="rId13" w:history="1">
        <w:r w:rsidR="0099089E" w:rsidRPr="00147775">
          <w:rPr>
            <w:rStyle w:val="Hypertextovodkaz"/>
            <w:rFonts w:ascii="Arial" w:hAnsi="Arial"/>
            <w:sz w:val="20"/>
            <w:szCs w:val="20"/>
            <w:lang w:val="en-GB"/>
          </w:rPr>
          <w:t>AGA – Annotated Grant Agreement</w:t>
        </w:r>
      </w:hyperlink>
      <w:r w:rsidR="0099089E" w:rsidRPr="00147775">
        <w:rPr>
          <w:rFonts w:ascii="Arial" w:hAnsi="Arial"/>
          <w:sz w:val="20"/>
          <w:szCs w:val="20"/>
          <w:lang w:val="en-GB"/>
        </w:rPr>
        <w:t xml:space="preserve"> (EU Funding Programmes 2021-2027)</w:t>
      </w:r>
      <w:r w:rsidRPr="00147775">
        <w:rPr>
          <w:rFonts w:ascii="Arial" w:hAnsi="Arial"/>
          <w:sz w:val="20"/>
          <w:szCs w:val="20"/>
          <w:lang w:val="en-GB"/>
        </w:rPr>
        <w:t xml:space="preserve">: </w:t>
      </w:r>
    </w:p>
    <w:p w14:paraId="6E6C08AD" w14:textId="784576A4" w:rsidR="004E1E9B" w:rsidRPr="00147775" w:rsidRDefault="004E1E9B" w:rsidP="004E1E9B">
      <w:pPr>
        <w:numPr>
          <w:ilvl w:val="0"/>
          <w:numId w:val="17"/>
        </w:numPr>
        <w:jc w:val="both"/>
        <w:rPr>
          <w:rFonts w:ascii="Arial" w:hAnsi="Arial"/>
          <w:b/>
          <w:bCs/>
          <w:sz w:val="20"/>
          <w:szCs w:val="20"/>
          <w:lang w:val="en-GB"/>
        </w:rPr>
      </w:pPr>
      <w:r w:rsidRPr="00147775">
        <w:rPr>
          <w:rFonts w:ascii="Arial" w:hAnsi="Arial"/>
          <w:b/>
          <w:bCs/>
          <w:sz w:val="20"/>
          <w:szCs w:val="20"/>
          <w:lang w:val="en-GB"/>
        </w:rPr>
        <w:t xml:space="preserve">proper implementation of the action </w:t>
      </w:r>
    </w:p>
    <w:p w14:paraId="3DBF5C24" w14:textId="23E8CE61" w:rsidR="00963809" w:rsidRPr="00147775" w:rsidRDefault="00963809" w:rsidP="00147775">
      <w:pPr>
        <w:jc w:val="both"/>
        <w:rPr>
          <w:rFonts w:ascii="Arial" w:hAnsi="Arial"/>
          <w:sz w:val="20"/>
          <w:szCs w:val="20"/>
          <w:lang w:val="en-GB"/>
        </w:rPr>
      </w:pPr>
      <w:r w:rsidRPr="00147775">
        <w:rPr>
          <w:rFonts w:ascii="Arial" w:hAnsi="Arial"/>
          <w:sz w:val="20"/>
          <w:szCs w:val="20"/>
          <w:lang w:val="en-GB"/>
        </w:rPr>
        <w:t>The action must be properly implemented, i.e., implemented in accordance with the TNA Budget Holder’s obligations laid down in the Grant Agreement. The detailed rules can be found in Art. 11 of AGA.</w:t>
      </w:r>
    </w:p>
    <w:p w14:paraId="4195D8A6" w14:textId="289E8732" w:rsidR="004E1E9B" w:rsidRPr="00147775" w:rsidRDefault="004E1E9B" w:rsidP="004E1E9B">
      <w:pPr>
        <w:numPr>
          <w:ilvl w:val="0"/>
          <w:numId w:val="17"/>
        </w:numPr>
        <w:jc w:val="both"/>
        <w:rPr>
          <w:rFonts w:ascii="Arial" w:hAnsi="Arial"/>
          <w:b/>
          <w:bCs/>
          <w:sz w:val="20"/>
          <w:szCs w:val="20"/>
          <w:lang w:val="en-GB"/>
        </w:rPr>
      </w:pPr>
      <w:r w:rsidRPr="00147775">
        <w:rPr>
          <w:rFonts w:ascii="Arial" w:hAnsi="Arial"/>
          <w:b/>
          <w:bCs/>
          <w:sz w:val="20"/>
          <w:szCs w:val="20"/>
          <w:lang w:val="en-GB"/>
        </w:rPr>
        <w:t xml:space="preserve">conflict of interest </w:t>
      </w:r>
    </w:p>
    <w:p w14:paraId="17E649CF" w14:textId="7D71D753" w:rsidR="00963809" w:rsidRPr="00147775" w:rsidRDefault="00963809" w:rsidP="00147775">
      <w:pPr>
        <w:jc w:val="both"/>
        <w:rPr>
          <w:rFonts w:ascii="Arial" w:hAnsi="Arial"/>
          <w:sz w:val="20"/>
          <w:szCs w:val="20"/>
          <w:lang w:val="en-GB"/>
        </w:rPr>
      </w:pPr>
      <w:r w:rsidRPr="00147775">
        <w:rPr>
          <w:rFonts w:ascii="Arial" w:hAnsi="Arial"/>
          <w:sz w:val="20"/>
          <w:szCs w:val="20"/>
          <w:lang w:val="en-GB"/>
        </w:rPr>
        <w:t xml:space="preserve">Both TNA Budget Holder and Service Provider must take all measures to prevent any situation where the impartial and objective implementation of the </w:t>
      </w:r>
      <w:r w:rsidR="00F037DB">
        <w:rPr>
          <w:rFonts w:ascii="Arial" w:hAnsi="Arial"/>
          <w:sz w:val="20"/>
          <w:szCs w:val="20"/>
          <w:lang w:val="en-GB"/>
        </w:rPr>
        <w:t>Purchase Agreement</w:t>
      </w:r>
      <w:r w:rsidRPr="00147775">
        <w:rPr>
          <w:rFonts w:ascii="Arial" w:hAnsi="Arial"/>
          <w:sz w:val="20"/>
          <w:szCs w:val="20"/>
          <w:lang w:val="en-GB"/>
        </w:rPr>
        <w:t xml:space="preserve"> could be compromised for reasons involving family, emotional life, political or national affinity, economic interest or any other direct or indirect interest (‘conflict of interests’). The detailed rules can be found in Art. 11 of AGA.</w:t>
      </w:r>
    </w:p>
    <w:p w14:paraId="2CA51F43" w14:textId="6E74133C" w:rsidR="004E1E9B" w:rsidRPr="00147775" w:rsidRDefault="004E1E9B" w:rsidP="004E1E9B">
      <w:pPr>
        <w:numPr>
          <w:ilvl w:val="0"/>
          <w:numId w:val="17"/>
        </w:numPr>
        <w:jc w:val="both"/>
        <w:rPr>
          <w:rFonts w:ascii="Arial" w:hAnsi="Arial"/>
          <w:b/>
          <w:bCs/>
          <w:sz w:val="20"/>
          <w:szCs w:val="20"/>
          <w:lang w:val="en-GB"/>
        </w:rPr>
      </w:pPr>
      <w:r w:rsidRPr="00147775">
        <w:rPr>
          <w:rFonts w:ascii="Arial" w:hAnsi="Arial"/>
          <w:b/>
          <w:bCs/>
          <w:sz w:val="20"/>
          <w:szCs w:val="20"/>
          <w:lang w:val="en-GB"/>
        </w:rPr>
        <w:t xml:space="preserve">confidentiality and security </w:t>
      </w:r>
    </w:p>
    <w:p w14:paraId="403847FA" w14:textId="4168C5E1" w:rsidR="00963809" w:rsidRPr="00147775" w:rsidRDefault="00963809" w:rsidP="00147775">
      <w:pPr>
        <w:jc w:val="both"/>
        <w:rPr>
          <w:rFonts w:ascii="Arial" w:hAnsi="Arial"/>
          <w:sz w:val="20"/>
          <w:szCs w:val="20"/>
          <w:lang w:val="en-GB"/>
        </w:rPr>
      </w:pPr>
      <w:r w:rsidRPr="00147775">
        <w:rPr>
          <w:rFonts w:ascii="Arial" w:hAnsi="Arial"/>
          <w:sz w:val="20"/>
          <w:szCs w:val="20"/>
          <w:lang w:val="en-GB"/>
        </w:rPr>
        <w:t>The Parties must keep confidential any data, documents or other material (in any form) that is identified as sensitive in writing (‘sensitive information’) — during the implementation of the action. The Parties must handle classified information in accordance with the applicable EU, international or national law on classified information. The detailed rules can be found in Art. 13 and Annex 5 to AGA.</w:t>
      </w:r>
    </w:p>
    <w:p w14:paraId="2C301D82" w14:textId="42A94687" w:rsidR="004E1E9B" w:rsidRPr="00147775" w:rsidRDefault="004E1E9B" w:rsidP="004E1E9B">
      <w:pPr>
        <w:numPr>
          <w:ilvl w:val="0"/>
          <w:numId w:val="17"/>
        </w:numPr>
        <w:jc w:val="both"/>
        <w:rPr>
          <w:rFonts w:ascii="Arial" w:hAnsi="Arial"/>
          <w:b/>
          <w:bCs/>
          <w:sz w:val="20"/>
          <w:szCs w:val="20"/>
          <w:lang w:val="en-GB"/>
        </w:rPr>
      </w:pPr>
      <w:r w:rsidRPr="00147775">
        <w:rPr>
          <w:rFonts w:ascii="Arial" w:hAnsi="Arial"/>
          <w:b/>
          <w:bCs/>
          <w:sz w:val="20"/>
          <w:szCs w:val="20"/>
          <w:lang w:val="en-GB"/>
        </w:rPr>
        <w:t>intellectual property rights (IPR) – background and results – access rights and rights of use</w:t>
      </w:r>
      <w:r w:rsidR="008113C3" w:rsidRPr="00147775">
        <w:rPr>
          <w:rFonts w:ascii="Arial" w:hAnsi="Arial"/>
          <w:b/>
          <w:bCs/>
          <w:sz w:val="20"/>
          <w:szCs w:val="20"/>
          <w:lang w:val="en-GB"/>
        </w:rPr>
        <w:t xml:space="preserve"> </w:t>
      </w:r>
    </w:p>
    <w:p w14:paraId="7D662AB4" w14:textId="6D9FEE65" w:rsidR="00963809" w:rsidRPr="00147775" w:rsidRDefault="00963809" w:rsidP="00147775">
      <w:pPr>
        <w:jc w:val="both"/>
        <w:rPr>
          <w:rFonts w:ascii="Arial" w:hAnsi="Arial"/>
          <w:sz w:val="20"/>
          <w:szCs w:val="20"/>
          <w:lang w:val="en-GB"/>
        </w:rPr>
      </w:pPr>
      <w:r w:rsidRPr="00147775">
        <w:rPr>
          <w:rFonts w:ascii="Arial" w:hAnsi="Arial"/>
          <w:sz w:val="20"/>
          <w:szCs w:val="20"/>
          <w:lang w:val="en-GB"/>
        </w:rPr>
        <w:t xml:space="preserve">In order to ensure a successful TNA programme, the Parties must give each other mutual access to background that is necessary for the TNA programme implementation. </w:t>
      </w:r>
      <w:r w:rsidR="00B010B2" w:rsidRPr="00147775">
        <w:rPr>
          <w:rFonts w:ascii="Arial" w:hAnsi="Arial"/>
          <w:sz w:val="20"/>
          <w:szCs w:val="20"/>
          <w:lang w:val="en-GB"/>
        </w:rPr>
        <w:t>The detailed rules can be found in Art. 16 and Annex 5 to AGA.</w:t>
      </w:r>
    </w:p>
    <w:p w14:paraId="6ED9007A" w14:textId="56E4A2E3" w:rsidR="004E1E9B" w:rsidRPr="00147775" w:rsidRDefault="004E1E9B" w:rsidP="003E2449">
      <w:pPr>
        <w:numPr>
          <w:ilvl w:val="0"/>
          <w:numId w:val="17"/>
        </w:numPr>
        <w:jc w:val="both"/>
        <w:rPr>
          <w:rFonts w:ascii="Arial" w:hAnsi="Arial"/>
          <w:b/>
          <w:bCs/>
          <w:sz w:val="20"/>
          <w:szCs w:val="20"/>
          <w:lang w:val="en-GB"/>
        </w:rPr>
      </w:pPr>
      <w:r w:rsidRPr="00147775">
        <w:rPr>
          <w:rFonts w:ascii="Arial" w:hAnsi="Arial"/>
          <w:b/>
          <w:bCs/>
          <w:sz w:val="20"/>
          <w:szCs w:val="20"/>
          <w:lang w:val="en-GB"/>
        </w:rPr>
        <w:t>communication, dissemination and visibility</w:t>
      </w:r>
      <w:r w:rsidR="008113C3" w:rsidRPr="00147775">
        <w:rPr>
          <w:rFonts w:ascii="Arial" w:hAnsi="Arial"/>
          <w:b/>
          <w:bCs/>
          <w:sz w:val="20"/>
          <w:szCs w:val="20"/>
          <w:lang w:val="en-GB"/>
        </w:rPr>
        <w:t xml:space="preserve"> </w:t>
      </w:r>
    </w:p>
    <w:p w14:paraId="03BA14CA" w14:textId="534FEFA7" w:rsidR="00B010B2" w:rsidRPr="00147775" w:rsidRDefault="00B010B2" w:rsidP="00147775">
      <w:pPr>
        <w:jc w:val="both"/>
        <w:rPr>
          <w:rFonts w:ascii="Arial" w:hAnsi="Arial"/>
          <w:sz w:val="20"/>
          <w:szCs w:val="20"/>
          <w:lang w:val="en-GB"/>
        </w:rPr>
      </w:pPr>
      <w:r w:rsidRPr="00147775">
        <w:rPr>
          <w:rFonts w:ascii="Arial" w:hAnsi="Arial"/>
          <w:sz w:val="20"/>
          <w:szCs w:val="20"/>
          <w:lang w:val="en-GB"/>
        </w:rPr>
        <w:t>The Parties must promote the canSERV project’s TNA Programme and its results by providing targeted information to multiple audiences (including the media and the public) in a strategic, coherent and effective manner. The detailed rules can be found in Art. 17 and Annex 5 to AGA.</w:t>
      </w:r>
    </w:p>
    <w:p w14:paraId="15F42B3B" w14:textId="542B2761" w:rsidR="004E1E9B" w:rsidRPr="00147775" w:rsidRDefault="004E1E9B" w:rsidP="004E1E9B">
      <w:pPr>
        <w:numPr>
          <w:ilvl w:val="0"/>
          <w:numId w:val="17"/>
        </w:numPr>
        <w:jc w:val="both"/>
        <w:rPr>
          <w:rFonts w:ascii="Arial" w:hAnsi="Arial"/>
          <w:b/>
          <w:bCs/>
          <w:sz w:val="20"/>
          <w:szCs w:val="20"/>
          <w:lang w:val="en-GB"/>
        </w:rPr>
      </w:pPr>
      <w:r w:rsidRPr="1902C6B7">
        <w:rPr>
          <w:rFonts w:ascii="Arial" w:hAnsi="Arial"/>
          <w:b/>
          <w:bCs/>
          <w:sz w:val="20"/>
          <w:szCs w:val="20"/>
          <w:lang w:val="en-GB"/>
        </w:rPr>
        <w:t>ethics</w:t>
      </w:r>
      <w:r w:rsidR="008113C3" w:rsidRPr="1902C6B7">
        <w:rPr>
          <w:rFonts w:ascii="Arial" w:hAnsi="Arial"/>
          <w:b/>
          <w:bCs/>
          <w:sz w:val="20"/>
          <w:szCs w:val="20"/>
          <w:lang w:val="en-GB"/>
        </w:rPr>
        <w:t xml:space="preserve"> </w:t>
      </w:r>
    </w:p>
    <w:p w14:paraId="0E8487BE" w14:textId="77777777" w:rsidR="00B010B2" w:rsidRPr="00B010B2" w:rsidRDefault="00B010B2" w:rsidP="00B010B2">
      <w:pPr>
        <w:rPr>
          <w:rFonts w:ascii="Arial" w:hAnsi="Arial" w:cs="Arial"/>
          <w:sz w:val="20"/>
          <w:szCs w:val="20"/>
          <w:lang w:val="en-GB"/>
        </w:rPr>
      </w:pPr>
      <w:r w:rsidRPr="00B010B2">
        <w:rPr>
          <w:rFonts w:ascii="Arial" w:hAnsi="Arial" w:cs="Arial"/>
          <w:sz w:val="20"/>
          <w:szCs w:val="20"/>
          <w:lang w:val="en-GB"/>
        </w:rPr>
        <w:t>Services involving activities raising ethical issues must be carried out in compliance with:</w:t>
      </w:r>
    </w:p>
    <w:p w14:paraId="0D583D0C" w14:textId="77777777" w:rsidR="00B010B2" w:rsidRPr="00B010B2" w:rsidRDefault="00B010B2" w:rsidP="00B010B2">
      <w:pPr>
        <w:pStyle w:val="Odstavecseseznamem"/>
        <w:numPr>
          <w:ilvl w:val="0"/>
          <w:numId w:val="20"/>
        </w:numPr>
        <w:jc w:val="both"/>
        <w:rPr>
          <w:rFonts w:ascii="Arial" w:hAnsi="Arial" w:cs="Arial"/>
          <w:sz w:val="20"/>
          <w:szCs w:val="20"/>
          <w:lang w:val="en-GB"/>
        </w:rPr>
      </w:pPr>
      <w:r w:rsidRPr="00B010B2">
        <w:rPr>
          <w:rFonts w:ascii="Arial" w:hAnsi="Arial" w:cs="Arial"/>
          <w:sz w:val="20"/>
          <w:szCs w:val="20"/>
          <w:lang w:val="en-GB"/>
        </w:rPr>
        <w:t>ethical principles (including the highest standard of research integrity); and</w:t>
      </w:r>
    </w:p>
    <w:p w14:paraId="0D2AB19B" w14:textId="77777777" w:rsidR="00B010B2" w:rsidRPr="00B010B2" w:rsidRDefault="00B010B2" w:rsidP="00B010B2">
      <w:pPr>
        <w:pStyle w:val="Odstavecseseznamem"/>
        <w:numPr>
          <w:ilvl w:val="0"/>
          <w:numId w:val="20"/>
        </w:numPr>
        <w:jc w:val="both"/>
        <w:rPr>
          <w:rFonts w:ascii="Arial" w:hAnsi="Arial" w:cs="Arial"/>
          <w:sz w:val="20"/>
          <w:szCs w:val="20"/>
          <w:lang w:val="en-GB"/>
        </w:rPr>
      </w:pPr>
      <w:r w:rsidRPr="00B010B2">
        <w:rPr>
          <w:rFonts w:ascii="Arial" w:hAnsi="Arial" w:cs="Arial"/>
          <w:sz w:val="20"/>
          <w:szCs w:val="20"/>
          <w:lang w:val="en-GB"/>
        </w:rPr>
        <w:t>applicable EU, international and national law, including the EU Charter of Fundamental Rights and the European Convention for the Protection of Human Rights and Fundamental Freedoms and its Supplementary Protocols.</w:t>
      </w:r>
    </w:p>
    <w:p w14:paraId="72DBC989" w14:textId="353F05DA" w:rsidR="00B010B2" w:rsidRPr="00147775" w:rsidRDefault="00B010B2" w:rsidP="00147775">
      <w:pPr>
        <w:jc w:val="both"/>
        <w:rPr>
          <w:rFonts w:ascii="Arial" w:hAnsi="Arial"/>
          <w:sz w:val="20"/>
          <w:szCs w:val="20"/>
          <w:lang w:val="en-GB"/>
        </w:rPr>
      </w:pPr>
      <w:r w:rsidRPr="00147775">
        <w:rPr>
          <w:rFonts w:ascii="Arial" w:hAnsi="Arial"/>
          <w:sz w:val="20"/>
          <w:szCs w:val="20"/>
          <w:lang w:val="en-GB"/>
        </w:rPr>
        <w:t xml:space="preserve">The detailed rules can be found in Annex </w:t>
      </w:r>
      <w:r w:rsidR="00AB466F">
        <w:rPr>
          <w:rFonts w:ascii="Arial" w:hAnsi="Arial"/>
          <w:sz w:val="20"/>
          <w:szCs w:val="20"/>
          <w:lang w:val="en-GB"/>
        </w:rPr>
        <w:t xml:space="preserve">5 </w:t>
      </w:r>
      <w:r w:rsidRPr="00147775">
        <w:rPr>
          <w:rFonts w:ascii="Arial" w:hAnsi="Arial"/>
          <w:sz w:val="20"/>
          <w:szCs w:val="20"/>
          <w:lang w:val="en-GB"/>
        </w:rPr>
        <w:t>to AGA.</w:t>
      </w:r>
    </w:p>
    <w:p w14:paraId="389AB0D6" w14:textId="7C63BF80" w:rsidR="004E1E9B" w:rsidRPr="00147775" w:rsidRDefault="004E1E9B" w:rsidP="004E1E9B">
      <w:pPr>
        <w:numPr>
          <w:ilvl w:val="0"/>
          <w:numId w:val="17"/>
        </w:numPr>
        <w:jc w:val="both"/>
        <w:rPr>
          <w:rFonts w:ascii="Arial" w:hAnsi="Arial"/>
          <w:b/>
          <w:bCs/>
          <w:sz w:val="20"/>
          <w:szCs w:val="20"/>
          <w:lang w:val="en-GB"/>
        </w:rPr>
      </w:pPr>
      <w:r w:rsidRPr="00147775">
        <w:rPr>
          <w:rFonts w:ascii="Arial" w:hAnsi="Arial"/>
          <w:b/>
          <w:bCs/>
          <w:sz w:val="20"/>
          <w:szCs w:val="20"/>
          <w:lang w:val="en-GB"/>
        </w:rPr>
        <w:t>specific rules for access RIs</w:t>
      </w:r>
      <w:r w:rsidR="008113C3" w:rsidRPr="00147775">
        <w:rPr>
          <w:rFonts w:ascii="Arial" w:hAnsi="Arial"/>
          <w:b/>
          <w:bCs/>
          <w:sz w:val="20"/>
          <w:szCs w:val="20"/>
          <w:lang w:val="en-GB"/>
        </w:rPr>
        <w:t xml:space="preserve"> </w:t>
      </w:r>
      <w:r w:rsidR="00B010B2" w:rsidRPr="00147775">
        <w:rPr>
          <w:rFonts w:ascii="Arial" w:hAnsi="Arial"/>
          <w:b/>
          <w:bCs/>
          <w:sz w:val="20"/>
          <w:szCs w:val="20"/>
          <w:lang w:val="en-GB"/>
        </w:rPr>
        <w:t>Research Infrastructures</w:t>
      </w:r>
    </w:p>
    <w:p w14:paraId="6661CCF3" w14:textId="77777777" w:rsidR="00B010B2" w:rsidRPr="00147775" w:rsidRDefault="00B010B2" w:rsidP="00B010B2">
      <w:pPr>
        <w:jc w:val="both"/>
        <w:rPr>
          <w:rFonts w:ascii="Arial" w:hAnsi="Arial"/>
          <w:sz w:val="20"/>
          <w:szCs w:val="20"/>
          <w:lang w:val="en-GB"/>
        </w:rPr>
      </w:pPr>
      <w:r w:rsidRPr="00147775">
        <w:rPr>
          <w:rFonts w:ascii="Arial" w:hAnsi="Arial"/>
          <w:sz w:val="20"/>
          <w:szCs w:val="20"/>
          <w:lang w:val="en-GB"/>
        </w:rPr>
        <w:t>When implementing access to service provider’s activities, the Parties must respect the following conditions:</w:t>
      </w:r>
    </w:p>
    <w:p w14:paraId="510079BE" w14:textId="04BC8EE7" w:rsidR="00B010B2" w:rsidRPr="00147775" w:rsidRDefault="00B010B2" w:rsidP="00147775">
      <w:pPr>
        <w:pStyle w:val="Odstavecseseznamem"/>
        <w:numPr>
          <w:ilvl w:val="0"/>
          <w:numId w:val="23"/>
        </w:numPr>
        <w:jc w:val="both"/>
        <w:rPr>
          <w:rFonts w:ascii="Arial" w:hAnsi="Arial"/>
          <w:sz w:val="20"/>
          <w:szCs w:val="20"/>
          <w:lang w:val="en-GB"/>
        </w:rPr>
      </w:pPr>
      <w:r w:rsidRPr="00147775">
        <w:rPr>
          <w:rFonts w:ascii="Arial" w:hAnsi="Arial"/>
          <w:sz w:val="20"/>
          <w:szCs w:val="20"/>
          <w:lang w:val="en-GB"/>
        </w:rPr>
        <w:t>access which must be provided;</w:t>
      </w:r>
    </w:p>
    <w:p w14:paraId="1A4B4458" w14:textId="6D51CBE3" w:rsidR="00B010B2" w:rsidRPr="00147775" w:rsidRDefault="00B010B2" w:rsidP="00147775">
      <w:pPr>
        <w:pStyle w:val="Odstavecseseznamem"/>
        <w:numPr>
          <w:ilvl w:val="0"/>
          <w:numId w:val="23"/>
        </w:numPr>
        <w:jc w:val="both"/>
        <w:rPr>
          <w:rFonts w:ascii="Arial" w:hAnsi="Arial"/>
          <w:sz w:val="20"/>
          <w:szCs w:val="20"/>
          <w:lang w:val="en-GB"/>
        </w:rPr>
      </w:pPr>
      <w:r w:rsidRPr="00147775">
        <w:rPr>
          <w:rFonts w:ascii="Arial" w:hAnsi="Arial"/>
          <w:sz w:val="20"/>
          <w:szCs w:val="20"/>
          <w:lang w:val="en-GB"/>
        </w:rPr>
        <w:t>categories of users that may have access,</w:t>
      </w:r>
    </w:p>
    <w:p w14:paraId="032E1706" w14:textId="7F211C49" w:rsidR="004E1E9B" w:rsidRPr="00147775" w:rsidRDefault="00B010B2" w:rsidP="00B010B2">
      <w:pPr>
        <w:pStyle w:val="Odstavecseseznamem"/>
        <w:numPr>
          <w:ilvl w:val="0"/>
          <w:numId w:val="23"/>
        </w:numPr>
        <w:jc w:val="both"/>
        <w:rPr>
          <w:rFonts w:ascii="Arial" w:hAnsi="Arial"/>
          <w:sz w:val="20"/>
          <w:szCs w:val="20"/>
          <w:lang w:val="en-GB"/>
        </w:rPr>
      </w:pPr>
      <w:r w:rsidRPr="00147775">
        <w:rPr>
          <w:rFonts w:ascii="Arial" w:hAnsi="Arial"/>
          <w:sz w:val="20"/>
          <w:szCs w:val="20"/>
          <w:lang w:val="en-GB"/>
        </w:rPr>
        <w:t>procedure and criteria for selecting user groups.</w:t>
      </w:r>
    </w:p>
    <w:p w14:paraId="77176EAE" w14:textId="425CFCF0" w:rsidR="1902C6B7" w:rsidRDefault="00B010B2" w:rsidP="1902C6B7">
      <w:pPr>
        <w:jc w:val="both"/>
        <w:rPr>
          <w:rFonts w:ascii="Arial" w:hAnsi="Arial"/>
          <w:sz w:val="20"/>
          <w:szCs w:val="20"/>
          <w:lang w:val="en-GB"/>
        </w:rPr>
      </w:pPr>
      <w:r w:rsidRPr="1902C6B7">
        <w:rPr>
          <w:rFonts w:ascii="Arial" w:hAnsi="Arial"/>
          <w:sz w:val="20"/>
          <w:szCs w:val="20"/>
          <w:lang w:val="en-GB"/>
        </w:rPr>
        <w:t>The detailed rules can be found in Annex 5 of AGA.</w:t>
      </w:r>
    </w:p>
    <w:p w14:paraId="76E2BFE5" w14:textId="77777777" w:rsidR="00D23C77" w:rsidRDefault="00D23C77" w:rsidP="1902C6B7">
      <w:pPr>
        <w:jc w:val="both"/>
        <w:rPr>
          <w:rFonts w:ascii="Arial" w:hAnsi="Arial"/>
          <w:sz w:val="20"/>
          <w:szCs w:val="20"/>
          <w:lang w:val="en-GB"/>
        </w:rPr>
        <w:sectPr w:rsidR="00D23C77">
          <w:footerReference w:type="default" r:id="rId14"/>
          <w:pgSz w:w="11906" w:h="16838"/>
          <w:pgMar w:top="1417" w:right="1417" w:bottom="1417" w:left="1417" w:header="708" w:footer="708" w:gutter="0"/>
          <w:cols w:space="708"/>
          <w:docGrid w:linePitch="360"/>
        </w:sectPr>
      </w:pPr>
    </w:p>
    <w:p w14:paraId="42A2E88E" w14:textId="77777777" w:rsidR="00B708B6" w:rsidRPr="0059425A" w:rsidRDefault="00B708B6" w:rsidP="00B708B6">
      <w:pPr>
        <w:jc w:val="center"/>
        <w:rPr>
          <w:b/>
          <w:bCs/>
          <w:sz w:val="28"/>
          <w:szCs w:val="28"/>
        </w:rPr>
      </w:pPr>
      <w:r w:rsidRPr="468FA952">
        <w:rPr>
          <w:b/>
          <w:bCs/>
          <w:sz w:val="28"/>
          <w:szCs w:val="28"/>
        </w:rPr>
        <w:lastRenderedPageBreak/>
        <w:t>Delivery co</w:t>
      </w:r>
      <w:r>
        <w:rPr>
          <w:b/>
          <w:bCs/>
          <w:sz w:val="28"/>
          <w:szCs w:val="28"/>
        </w:rPr>
        <w:t>n</w:t>
      </w:r>
      <w:r w:rsidRPr="468FA952">
        <w:rPr>
          <w:b/>
          <w:bCs/>
          <w:sz w:val="28"/>
          <w:szCs w:val="28"/>
        </w:rPr>
        <w:t>firmation of the service</w:t>
      </w:r>
      <w:r>
        <w:rPr>
          <w:b/>
          <w:bCs/>
          <w:sz w:val="28"/>
          <w:szCs w:val="28"/>
        </w:rPr>
        <w:t>(s)</w:t>
      </w:r>
    </w:p>
    <w:p w14:paraId="3576F955" w14:textId="77777777" w:rsidR="00B708B6" w:rsidRDefault="00B708B6" w:rsidP="00B708B6">
      <w:pPr>
        <w:ind w:left="567"/>
      </w:pPr>
      <w:r>
        <w:t>I hereby confirm that the below mentioned service(s) have been delivered and that quantity and quality correspond to the agreed standards.</w:t>
      </w:r>
      <w:r>
        <w:br/>
      </w:r>
      <w:r>
        <w:br/>
      </w:r>
      <w:r w:rsidRPr="00F40A9C">
        <w:rPr>
          <w:b/>
          <w:bCs/>
        </w:rPr>
        <w:t>Name of the service provider</w:t>
      </w:r>
      <w:r>
        <w:t>:   …………………………………………………………..</w:t>
      </w:r>
    </w:p>
    <w:p w14:paraId="30480593" w14:textId="77777777" w:rsidR="00B708B6" w:rsidRDefault="00B708B6" w:rsidP="00B708B6">
      <w:pPr>
        <w:ind w:left="567"/>
      </w:pPr>
    </w:p>
    <w:p w14:paraId="560AAE1F" w14:textId="77777777" w:rsidR="00B708B6" w:rsidRDefault="00B708B6" w:rsidP="00B708B6">
      <w:pPr>
        <w:ind w:left="567"/>
        <w:rPr>
          <w:rFonts w:eastAsiaTheme="minorEastAsia"/>
          <w:szCs w:val="24"/>
        </w:rPr>
      </w:pPr>
      <w:r w:rsidRPr="007B3A5B">
        <w:rPr>
          <w:b/>
          <w:bCs/>
        </w:rPr>
        <w:t xml:space="preserve">Call-name: </w:t>
      </w:r>
      <w:r w:rsidRPr="00086430">
        <w:rPr>
          <w:rFonts w:eastAsiaTheme="minorEastAsia"/>
          <w:szCs w:val="24"/>
        </w:rPr>
        <w:t>……………………………………………………………</w:t>
      </w:r>
      <w:r>
        <w:rPr>
          <w:rFonts w:eastAsiaTheme="minorEastAsia"/>
          <w:szCs w:val="24"/>
        </w:rPr>
        <w:t>……………..</w:t>
      </w:r>
    </w:p>
    <w:p w14:paraId="72C6AD4E" w14:textId="77777777" w:rsidR="00B708B6" w:rsidRPr="00086430" w:rsidRDefault="00B708B6" w:rsidP="00B708B6">
      <w:pPr>
        <w:ind w:left="567"/>
        <w:rPr>
          <w:b/>
          <w:sz w:val="28"/>
          <w:szCs w:val="24"/>
        </w:rPr>
      </w:pPr>
      <w:r w:rsidRPr="00086430">
        <w:rPr>
          <w:sz w:val="20"/>
          <w:szCs w:val="18"/>
        </w:rPr>
        <w:t>(</w:t>
      </w:r>
      <w:r w:rsidRPr="00086430">
        <w:rPr>
          <w:rFonts w:eastAsiaTheme="minorEastAsia"/>
          <w:sz w:val="18"/>
          <w:szCs w:val="18"/>
        </w:rPr>
        <w:t xml:space="preserve">e.g. Call for Service Provision on "Advancing Personalised Oncology") </w:t>
      </w:r>
      <w:r w:rsidRPr="00086430">
        <w:rPr>
          <w:rFonts w:eastAsiaTheme="minorEastAsia"/>
        </w:rPr>
        <w:t xml:space="preserve"> </w:t>
      </w:r>
    </w:p>
    <w:p w14:paraId="76FE3FC2" w14:textId="77777777" w:rsidR="00B708B6" w:rsidRDefault="00B708B6" w:rsidP="00B708B6">
      <w:pPr>
        <w:ind w:left="567"/>
      </w:pPr>
      <w:r>
        <w:t>List of services delivered:</w:t>
      </w:r>
    </w:p>
    <w:tbl>
      <w:tblPr>
        <w:tblW w:w="13109" w:type="dxa"/>
        <w:jc w:val="center"/>
        <w:tblLook w:val="04A0" w:firstRow="1" w:lastRow="0" w:firstColumn="1" w:lastColumn="0" w:noHBand="0" w:noVBand="1"/>
      </w:tblPr>
      <w:tblGrid>
        <w:gridCol w:w="580"/>
        <w:gridCol w:w="1542"/>
        <w:gridCol w:w="1989"/>
        <w:gridCol w:w="4403"/>
        <w:gridCol w:w="1620"/>
        <w:gridCol w:w="383"/>
        <w:gridCol w:w="2592"/>
      </w:tblGrid>
      <w:tr w:rsidR="00B708B6" w:rsidRPr="00101F32" w14:paraId="2DE8A6AD" w14:textId="77777777" w:rsidTr="00B708B6">
        <w:trPr>
          <w:trHeight w:val="645"/>
          <w:jc w:val="center"/>
        </w:trPr>
        <w:tc>
          <w:tcPr>
            <w:tcW w:w="580" w:type="dxa"/>
            <w:tcBorders>
              <w:top w:val="single" w:sz="4" w:space="0" w:color="auto"/>
              <w:left w:val="single" w:sz="4" w:space="0" w:color="auto"/>
              <w:bottom w:val="single" w:sz="4" w:space="0" w:color="auto"/>
              <w:right w:val="single" w:sz="4" w:space="0" w:color="auto"/>
            </w:tcBorders>
            <w:shd w:val="clear" w:color="auto" w:fill="D9E1F2"/>
            <w:noWrap/>
            <w:hideMark/>
          </w:tcPr>
          <w:p w14:paraId="5B0FE807" w14:textId="77777777" w:rsidR="00B708B6" w:rsidRPr="00101F32" w:rsidRDefault="00B708B6" w:rsidP="00B708B6">
            <w:pPr>
              <w:jc w:val="center"/>
              <w:rPr>
                <w:rFonts w:ascii="Calibri" w:eastAsia="Times New Roman" w:hAnsi="Calibri" w:cs="Calibri"/>
                <w:b/>
                <w:color w:val="000000"/>
              </w:rPr>
            </w:pPr>
            <w:r w:rsidRPr="00101F32">
              <w:rPr>
                <w:rFonts w:ascii="Calibri" w:eastAsia="Times New Roman" w:hAnsi="Calibri" w:cs="Calibri"/>
                <w:b/>
                <w:color w:val="000000"/>
              </w:rPr>
              <w:t>Nr.</w:t>
            </w:r>
          </w:p>
        </w:tc>
        <w:tc>
          <w:tcPr>
            <w:tcW w:w="1542" w:type="dxa"/>
            <w:tcBorders>
              <w:top w:val="single" w:sz="4" w:space="0" w:color="auto"/>
              <w:left w:val="nil"/>
              <w:bottom w:val="single" w:sz="4" w:space="0" w:color="auto"/>
              <w:right w:val="single" w:sz="4" w:space="0" w:color="auto"/>
            </w:tcBorders>
            <w:shd w:val="clear" w:color="auto" w:fill="D9E1F2"/>
            <w:noWrap/>
            <w:hideMark/>
          </w:tcPr>
          <w:p w14:paraId="0C452A1D" w14:textId="77777777" w:rsidR="00B708B6" w:rsidRPr="00101F32" w:rsidRDefault="00B708B6" w:rsidP="00B708B6">
            <w:pPr>
              <w:jc w:val="center"/>
              <w:rPr>
                <w:rFonts w:ascii="Calibri" w:eastAsia="Times New Roman" w:hAnsi="Calibri" w:cs="Calibri"/>
                <w:b/>
                <w:color w:val="000000"/>
              </w:rPr>
            </w:pPr>
            <w:r w:rsidRPr="00101F32">
              <w:rPr>
                <w:rFonts w:ascii="Calibri" w:eastAsia="Times New Roman" w:hAnsi="Calibri" w:cs="Calibri"/>
                <w:b/>
                <w:color w:val="000000"/>
              </w:rPr>
              <w:t>APPID</w:t>
            </w:r>
          </w:p>
        </w:tc>
        <w:tc>
          <w:tcPr>
            <w:tcW w:w="6392" w:type="dxa"/>
            <w:gridSpan w:val="2"/>
            <w:tcBorders>
              <w:top w:val="single" w:sz="4" w:space="0" w:color="auto"/>
              <w:left w:val="nil"/>
              <w:bottom w:val="single" w:sz="4" w:space="0" w:color="auto"/>
              <w:right w:val="single" w:sz="4" w:space="0" w:color="auto"/>
            </w:tcBorders>
            <w:shd w:val="clear" w:color="auto" w:fill="D9E1F2"/>
            <w:noWrap/>
            <w:hideMark/>
          </w:tcPr>
          <w:p w14:paraId="546D5EA5" w14:textId="77777777" w:rsidR="00B708B6" w:rsidRPr="00101F32" w:rsidRDefault="00B708B6" w:rsidP="00B708B6">
            <w:pPr>
              <w:jc w:val="center"/>
              <w:rPr>
                <w:rFonts w:ascii="Calibri" w:eastAsia="Times New Roman" w:hAnsi="Calibri" w:cs="Calibri"/>
                <w:b/>
                <w:color w:val="000000"/>
              </w:rPr>
            </w:pPr>
            <w:r w:rsidRPr="00101F32">
              <w:rPr>
                <w:rFonts w:ascii="Calibri" w:eastAsia="Times New Roman" w:hAnsi="Calibri" w:cs="Calibri"/>
                <w:b/>
                <w:color w:val="000000"/>
              </w:rPr>
              <w:t>Service code</w:t>
            </w:r>
          </w:p>
        </w:tc>
        <w:tc>
          <w:tcPr>
            <w:tcW w:w="1620" w:type="dxa"/>
            <w:tcBorders>
              <w:top w:val="single" w:sz="4" w:space="0" w:color="auto"/>
              <w:left w:val="nil"/>
              <w:bottom w:val="single" w:sz="4" w:space="0" w:color="auto"/>
              <w:right w:val="single" w:sz="4" w:space="0" w:color="auto"/>
            </w:tcBorders>
            <w:shd w:val="clear" w:color="auto" w:fill="D9E1F2"/>
            <w:hideMark/>
          </w:tcPr>
          <w:p w14:paraId="02D4BE0E" w14:textId="77777777" w:rsidR="00B708B6" w:rsidRPr="00101F32" w:rsidRDefault="00B708B6" w:rsidP="00B708B6">
            <w:pPr>
              <w:jc w:val="center"/>
              <w:rPr>
                <w:rFonts w:ascii="Calibri" w:eastAsia="Times New Roman" w:hAnsi="Calibri" w:cs="Calibri"/>
                <w:b/>
                <w:color w:val="000000"/>
              </w:rPr>
            </w:pPr>
            <w:r>
              <w:rPr>
                <w:rFonts w:ascii="Calibri" w:eastAsia="Times New Roman" w:hAnsi="Calibri" w:cs="Calibri"/>
                <w:b/>
                <w:color w:val="000000"/>
              </w:rPr>
              <w:t>Quantity/       nr. of access</w:t>
            </w:r>
          </w:p>
        </w:tc>
        <w:tc>
          <w:tcPr>
            <w:tcW w:w="2970" w:type="dxa"/>
            <w:gridSpan w:val="2"/>
            <w:tcBorders>
              <w:top w:val="single" w:sz="4" w:space="0" w:color="auto"/>
              <w:left w:val="nil"/>
              <w:bottom w:val="single" w:sz="4" w:space="0" w:color="auto"/>
              <w:right w:val="single" w:sz="4" w:space="0" w:color="auto"/>
            </w:tcBorders>
            <w:shd w:val="clear" w:color="auto" w:fill="D9E1F2"/>
            <w:hideMark/>
          </w:tcPr>
          <w:p w14:paraId="368BD7F5" w14:textId="77777777" w:rsidR="00B708B6" w:rsidRPr="00101F32" w:rsidRDefault="00B708B6" w:rsidP="00B708B6">
            <w:pPr>
              <w:jc w:val="center"/>
              <w:rPr>
                <w:rFonts w:ascii="Calibri" w:eastAsia="Times New Roman" w:hAnsi="Calibri" w:cs="Calibri"/>
                <w:b/>
                <w:color w:val="000000"/>
              </w:rPr>
            </w:pPr>
            <w:r w:rsidRPr="00101F32">
              <w:rPr>
                <w:rFonts w:ascii="Calibri" w:eastAsia="Times New Roman" w:hAnsi="Calibri" w:cs="Calibri"/>
                <w:b/>
                <w:color w:val="000000"/>
              </w:rPr>
              <w:t>End date of service provision:</w:t>
            </w:r>
          </w:p>
        </w:tc>
      </w:tr>
      <w:tr w:rsidR="00B708B6" w:rsidRPr="00101F32" w14:paraId="406DC1F6" w14:textId="77777777" w:rsidTr="00B708B6">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hideMark/>
          </w:tcPr>
          <w:p w14:paraId="514F0F11" w14:textId="77777777" w:rsidR="00B708B6" w:rsidRPr="00101F32" w:rsidRDefault="00B708B6" w:rsidP="00B708B6">
            <w:pPr>
              <w:jc w:val="center"/>
              <w:rPr>
                <w:rFonts w:ascii="Calibri" w:eastAsia="Times New Roman" w:hAnsi="Calibri" w:cs="Calibri"/>
                <w:color w:val="000000"/>
              </w:rPr>
            </w:pPr>
            <w:r w:rsidRPr="29BD09FE">
              <w:rPr>
                <w:rFonts w:ascii="Calibri" w:eastAsia="Times New Roman" w:hAnsi="Calibri" w:cs="Calibri"/>
                <w:color w:val="000000" w:themeColor="text1"/>
              </w:rPr>
              <w:t>1</w:t>
            </w:r>
          </w:p>
        </w:tc>
        <w:tc>
          <w:tcPr>
            <w:tcW w:w="1542" w:type="dxa"/>
            <w:tcBorders>
              <w:top w:val="nil"/>
              <w:left w:val="nil"/>
              <w:bottom w:val="single" w:sz="4" w:space="0" w:color="auto"/>
              <w:right w:val="single" w:sz="4" w:space="0" w:color="auto"/>
            </w:tcBorders>
            <w:shd w:val="clear" w:color="auto" w:fill="auto"/>
            <w:noWrap/>
            <w:hideMark/>
          </w:tcPr>
          <w:p w14:paraId="6101DF4F" w14:textId="77777777" w:rsidR="00B708B6" w:rsidRPr="00101F32" w:rsidRDefault="00B708B6" w:rsidP="00B708B6">
            <w:pPr>
              <w:rPr>
                <w:rFonts w:ascii="Calibri" w:eastAsia="Times New Roman" w:hAnsi="Calibri" w:cs="Calibri"/>
                <w:color w:val="000000"/>
              </w:rPr>
            </w:pPr>
          </w:p>
        </w:tc>
        <w:tc>
          <w:tcPr>
            <w:tcW w:w="6392" w:type="dxa"/>
            <w:gridSpan w:val="2"/>
            <w:tcBorders>
              <w:top w:val="nil"/>
              <w:left w:val="nil"/>
              <w:bottom w:val="single" w:sz="4" w:space="0" w:color="auto"/>
              <w:right w:val="single" w:sz="4" w:space="0" w:color="auto"/>
            </w:tcBorders>
            <w:shd w:val="clear" w:color="auto" w:fill="auto"/>
            <w:noWrap/>
            <w:hideMark/>
          </w:tcPr>
          <w:p w14:paraId="1FE0B544" w14:textId="77777777" w:rsidR="00B708B6" w:rsidRPr="00101F32" w:rsidRDefault="00B708B6" w:rsidP="00B708B6">
            <w:pPr>
              <w:rPr>
                <w:rFonts w:ascii="Calibri" w:eastAsia="Times New Roman" w:hAnsi="Calibri" w:cs="Calibri"/>
                <w:color w:val="000000"/>
              </w:rPr>
            </w:pPr>
            <w:r w:rsidRPr="00101F32">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hideMark/>
          </w:tcPr>
          <w:p w14:paraId="0A96A3D5" w14:textId="77777777" w:rsidR="00B708B6" w:rsidRPr="00101F32" w:rsidRDefault="00B708B6" w:rsidP="00B708B6">
            <w:pPr>
              <w:rPr>
                <w:rFonts w:ascii="Calibri" w:eastAsia="Times New Roman" w:hAnsi="Calibri" w:cs="Calibri"/>
                <w:color w:val="000000"/>
              </w:rPr>
            </w:pPr>
          </w:p>
        </w:tc>
        <w:tc>
          <w:tcPr>
            <w:tcW w:w="2970" w:type="dxa"/>
            <w:gridSpan w:val="2"/>
            <w:tcBorders>
              <w:top w:val="nil"/>
              <w:left w:val="nil"/>
              <w:bottom w:val="single" w:sz="4" w:space="0" w:color="auto"/>
              <w:right w:val="single" w:sz="4" w:space="0" w:color="auto"/>
            </w:tcBorders>
            <w:shd w:val="clear" w:color="auto" w:fill="auto"/>
            <w:noWrap/>
            <w:hideMark/>
          </w:tcPr>
          <w:p w14:paraId="5017E9B6" w14:textId="77777777" w:rsidR="00B708B6" w:rsidRPr="00101F32" w:rsidRDefault="00B708B6" w:rsidP="00B708B6">
            <w:pPr>
              <w:jc w:val="center"/>
              <w:rPr>
                <w:rFonts w:ascii="Calibri" w:eastAsia="Times New Roman" w:hAnsi="Calibri" w:cs="Calibri"/>
                <w:color w:val="000000"/>
              </w:rPr>
            </w:pPr>
          </w:p>
        </w:tc>
      </w:tr>
      <w:tr w:rsidR="00B708B6" w:rsidRPr="00101F32" w14:paraId="7A9D4E24" w14:textId="77777777" w:rsidTr="00B708B6">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hideMark/>
          </w:tcPr>
          <w:p w14:paraId="4DB6C1D9" w14:textId="77777777" w:rsidR="00B708B6" w:rsidRPr="00101F32" w:rsidRDefault="00B708B6" w:rsidP="00B708B6">
            <w:pPr>
              <w:jc w:val="center"/>
              <w:rPr>
                <w:rFonts w:ascii="Calibri" w:eastAsia="Times New Roman" w:hAnsi="Calibri" w:cs="Calibri"/>
                <w:color w:val="000000"/>
              </w:rPr>
            </w:pPr>
            <w:r w:rsidRPr="00101F32">
              <w:rPr>
                <w:rFonts w:ascii="Calibri" w:eastAsia="Times New Roman" w:hAnsi="Calibri" w:cs="Calibri"/>
                <w:color w:val="000000"/>
              </w:rPr>
              <w:t>2</w:t>
            </w:r>
          </w:p>
        </w:tc>
        <w:tc>
          <w:tcPr>
            <w:tcW w:w="1542" w:type="dxa"/>
            <w:tcBorders>
              <w:top w:val="nil"/>
              <w:left w:val="nil"/>
              <w:bottom w:val="single" w:sz="4" w:space="0" w:color="auto"/>
              <w:right w:val="single" w:sz="4" w:space="0" w:color="auto"/>
            </w:tcBorders>
            <w:shd w:val="clear" w:color="auto" w:fill="auto"/>
            <w:noWrap/>
            <w:hideMark/>
          </w:tcPr>
          <w:p w14:paraId="7737869C" w14:textId="77777777" w:rsidR="00B708B6" w:rsidRPr="00101F32" w:rsidRDefault="00B708B6" w:rsidP="00B708B6">
            <w:pPr>
              <w:rPr>
                <w:rFonts w:ascii="Calibri" w:eastAsia="Times New Roman" w:hAnsi="Calibri" w:cs="Calibri"/>
                <w:color w:val="000000"/>
              </w:rPr>
            </w:pPr>
            <w:r w:rsidRPr="00101F32">
              <w:rPr>
                <w:rFonts w:ascii="Calibri" w:eastAsia="Times New Roman" w:hAnsi="Calibri" w:cs="Calibri"/>
                <w:color w:val="000000"/>
              </w:rPr>
              <w:t> </w:t>
            </w:r>
          </w:p>
        </w:tc>
        <w:tc>
          <w:tcPr>
            <w:tcW w:w="6392" w:type="dxa"/>
            <w:gridSpan w:val="2"/>
            <w:tcBorders>
              <w:top w:val="nil"/>
              <w:left w:val="nil"/>
              <w:bottom w:val="single" w:sz="4" w:space="0" w:color="auto"/>
              <w:right w:val="single" w:sz="4" w:space="0" w:color="auto"/>
            </w:tcBorders>
            <w:shd w:val="clear" w:color="auto" w:fill="auto"/>
            <w:noWrap/>
            <w:hideMark/>
          </w:tcPr>
          <w:p w14:paraId="2833F447" w14:textId="77777777" w:rsidR="00B708B6" w:rsidRPr="00101F32" w:rsidRDefault="00B708B6" w:rsidP="00B708B6">
            <w:pPr>
              <w:rPr>
                <w:rFonts w:ascii="Calibri" w:eastAsia="Times New Roman" w:hAnsi="Calibri" w:cs="Calibri"/>
                <w:color w:val="000000"/>
              </w:rPr>
            </w:pPr>
            <w:r w:rsidRPr="00101F32">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hideMark/>
          </w:tcPr>
          <w:p w14:paraId="6C2F06F5" w14:textId="77777777" w:rsidR="00B708B6" w:rsidRPr="00101F32" w:rsidRDefault="00B708B6" w:rsidP="00B708B6">
            <w:pPr>
              <w:rPr>
                <w:rFonts w:ascii="Calibri" w:eastAsia="Times New Roman" w:hAnsi="Calibri" w:cs="Calibri"/>
                <w:color w:val="000000"/>
              </w:rPr>
            </w:pPr>
          </w:p>
        </w:tc>
        <w:tc>
          <w:tcPr>
            <w:tcW w:w="2970" w:type="dxa"/>
            <w:gridSpan w:val="2"/>
            <w:tcBorders>
              <w:top w:val="nil"/>
              <w:left w:val="nil"/>
              <w:bottom w:val="single" w:sz="4" w:space="0" w:color="auto"/>
              <w:right w:val="single" w:sz="4" w:space="0" w:color="auto"/>
            </w:tcBorders>
            <w:shd w:val="clear" w:color="auto" w:fill="auto"/>
            <w:noWrap/>
            <w:hideMark/>
          </w:tcPr>
          <w:p w14:paraId="632AC390" w14:textId="77777777" w:rsidR="00B708B6" w:rsidRPr="00101F32" w:rsidRDefault="00B708B6" w:rsidP="00B708B6">
            <w:pPr>
              <w:jc w:val="center"/>
              <w:rPr>
                <w:rFonts w:ascii="Calibri" w:eastAsia="Times New Roman" w:hAnsi="Calibri" w:cs="Calibri"/>
                <w:color w:val="000000"/>
              </w:rPr>
            </w:pPr>
          </w:p>
        </w:tc>
      </w:tr>
      <w:tr w:rsidR="00B708B6" w:rsidRPr="00101F32" w14:paraId="30EF4A46" w14:textId="77777777" w:rsidTr="00B708B6">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hideMark/>
          </w:tcPr>
          <w:p w14:paraId="7FCBAB51" w14:textId="77777777" w:rsidR="00B708B6" w:rsidRPr="00101F32" w:rsidRDefault="00B708B6" w:rsidP="00B708B6">
            <w:pPr>
              <w:jc w:val="center"/>
              <w:rPr>
                <w:rFonts w:ascii="Calibri" w:eastAsia="Times New Roman" w:hAnsi="Calibri" w:cs="Calibri"/>
                <w:color w:val="000000"/>
              </w:rPr>
            </w:pPr>
            <w:r w:rsidRPr="00101F32">
              <w:rPr>
                <w:rFonts w:ascii="Calibri" w:eastAsia="Times New Roman" w:hAnsi="Calibri" w:cs="Calibri"/>
                <w:color w:val="000000"/>
              </w:rPr>
              <w:t>3</w:t>
            </w:r>
          </w:p>
        </w:tc>
        <w:tc>
          <w:tcPr>
            <w:tcW w:w="1542" w:type="dxa"/>
            <w:tcBorders>
              <w:top w:val="nil"/>
              <w:left w:val="nil"/>
              <w:bottom w:val="single" w:sz="4" w:space="0" w:color="auto"/>
              <w:right w:val="single" w:sz="4" w:space="0" w:color="auto"/>
            </w:tcBorders>
            <w:shd w:val="clear" w:color="auto" w:fill="auto"/>
            <w:noWrap/>
            <w:hideMark/>
          </w:tcPr>
          <w:p w14:paraId="43784686" w14:textId="77777777" w:rsidR="00B708B6" w:rsidRPr="00101F32" w:rsidRDefault="00B708B6" w:rsidP="00B708B6">
            <w:pPr>
              <w:rPr>
                <w:rFonts w:ascii="Calibri" w:eastAsia="Times New Roman" w:hAnsi="Calibri" w:cs="Calibri"/>
                <w:color w:val="000000"/>
              </w:rPr>
            </w:pPr>
            <w:r w:rsidRPr="00101F32">
              <w:rPr>
                <w:rFonts w:ascii="Calibri" w:eastAsia="Times New Roman" w:hAnsi="Calibri" w:cs="Calibri"/>
                <w:color w:val="000000"/>
              </w:rPr>
              <w:t> </w:t>
            </w:r>
          </w:p>
        </w:tc>
        <w:tc>
          <w:tcPr>
            <w:tcW w:w="6392" w:type="dxa"/>
            <w:gridSpan w:val="2"/>
            <w:tcBorders>
              <w:top w:val="nil"/>
              <w:left w:val="nil"/>
              <w:bottom w:val="single" w:sz="4" w:space="0" w:color="auto"/>
              <w:right w:val="single" w:sz="4" w:space="0" w:color="auto"/>
            </w:tcBorders>
            <w:shd w:val="clear" w:color="auto" w:fill="auto"/>
            <w:noWrap/>
            <w:hideMark/>
          </w:tcPr>
          <w:p w14:paraId="78366582" w14:textId="77777777" w:rsidR="00B708B6" w:rsidRPr="00101F32" w:rsidRDefault="00B708B6" w:rsidP="00B708B6">
            <w:pPr>
              <w:rPr>
                <w:rFonts w:ascii="Calibri" w:eastAsia="Times New Roman" w:hAnsi="Calibri" w:cs="Calibri"/>
                <w:color w:val="000000"/>
              </w:rPr>
            </w:pPr>
            <w:r w:rsidRPr="00101F32">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hideMark/>
          </w:tcPr>
          <w:p w14:paraId="59E11C78" w14:textId="77777777" w:rsidR="00B708B6" w:rsidRPr="00101F32" w:rsidRDefault="00B708B6" w:rsidP="00B708B6">
            <w:pPr>
              <w:rPr>
                <w:rFonts w:ascii="Calibri" w:eastAsia="Times New Roman" w:hAnsi="Calibri" w:cs="Calibri"/>
                <w:color w:val="000000"/>
              </w:rPr>
            </w:pPr>
          </w:p>
        </w:tc>
        <w:tc>
          <w:tcPr>
            <w:tcW w:w="2970" w:type="dxa"/>
            <w:gridSpan w:val="2"/>
            <w:tcBorders>
              <w:top w:val="nil"/>
              <w:left w:val="nil"/>
              <w:bottom w:val="single" w:sz="4" w:space="0" w:color="auto"/>
              <w:right w:val="single" w:sz="4" w:space="0" w:color="auto"/>
            </w:tcBorders>
            <w:shd w:val="clear" w:color="auto" w:fill="auto"/>
            <w:noWrap/>
            <w:hideMark/>
          </w:tcPr>
          <w:p w14:paraId="2C0E0555" w14:textId="77777777" w:rsidR="00B708B6" w:rsidRPr="00101F32" w:rsidRDefault="00B708B6" w:rsidP="00B708B6">
            <w:pPr>
              <w:jc w:val="center"/>
              <w:rPr>
                <w:rFonts w:ascii="Calibri" w:eastAsia="Times New Roman" w:hAnsi="Calibri" w:cs="Calibri"/>
                <w:color w:val="000000"/>
              </w:rPr>
            </w:pPr>
          </w:p>
        </w:tc>
      </w:tr>
      <w:tr w:rsidR="00B708B6" w:rsidRPr="00101F32" w14:paraId="0736AC84" w14:textId="77777777" w:rsidTr="00B708B6">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hideMark/>
          </w:tcPr>
          <w:p w14:paraId="67012257" w14:textId="77777777" w:rsidR="00B708B6" w:rsidRPr="00101F32" w:rsidRDefault="00B708B6" w:rsidP="00B708B6">
            <w:pPr>
              <w:jc w:val="center"/>
              <w:rPr>
                <w:rFonts w:ascii="Calibri" w:eastAsia="Times New Roman" w:hAnsi="Calibri" w:cs="Calibri"/>
                <w:color w:val="000000"/>
              </w:rPr>
            </w:pPr>
            <w:r w:rsidRPr="00101F32">
              <w:rPr>
                <w:rFonts w:ascii="Calibri" w:eastAsia="Times New Roman" w:hAnsi="Calibri" w:cs="Calibri"/>
                <w:color w:val="000000"/>
              </w:rPr>
              <w:t>4</w:t>
            </w:r>
          </w:p>
        </w:tc>
        <w:tc>
          <w:tcPr>
            <w:tcW w:w="1542" w:type="dxa"/>
            <w:tcBorders>
              <w:top w:val="nil"/>
              <w:left w:val="nil"/>
              <w:bottom w:val="single" w:sz="4" w:space="0" w:color="auto"/>
              <w:right w:val="single" w:sz="4" w:space="0" w:color="auto"/>
            </w:tcBorders>
            <w:shd w:val="clear" w:color="auto" w:fill="auto"/>
            <w:noWrap/>
            <w:hideMark/>
          </w:tcPr>
          <w:p w14:paraId="318F4550" w14:textId="77777777" w:rsidR="00B708B6" w:rsidRPr="00101F32" w:rsidRDefault="00B708B6" w:rsidP="00B708B6">
            <w:pPr>
              <w:rPr>
                <w:rFonts w:ascii="Calibri" w:eastAsia="Times New Roman" w:hAnsi="Calibri" w:cs="Calibri"/>
                <w:color w:val="000000"/>
              </w:rPr>
            </w:pPr>
            <w:r w:rsidRPr="00101F32">
              <w:rPr>
                <w:rFonts w:ascii="Calibri" w:eastAsia="Times New Roman" w:hAnsi="Calibri" w:cs="Calibri"/>
                <w:color w:val="000000"/>
              </w:rPr>
              <w:t> </w:t>
            </w:r>
          </w:p>
        </w:tc>
        <w:tc>
          <w:tcPr>
            <w:tcW w:w="6392" w:type="dxa"/>
            <w:gridSpan w:val="2"/>
            <w:tcBorders>
              <w:top w:val="nil"/>
              <w:left w:val="nil"/>
              <w:bottom w:val="single" w:sz="4" w:space="0" w:color="auto"/>
              <w:right w:val="single" w:sz="4" w:space="0" w:color="auto"/>
            </w:tcBorders>
            <w:shd w:val="clear" w:color="auto" w:fill="auto"/>
            <w:noWrap/>
            <w:hideMark/>
          </w:tcPr>
          <w:p w14:paraId="6062E281" w14:textId="77777777" w:rsidR="00B708B6" w:rsidRPr="00101F32" w:rsidRDefault="00B708B6" w:rsidP="00B708B6">
            <w:pPr>
              <w:rPr>
                <w:rFonts w:ascii="Calibri" w:eastAsia="Times New Roman" w:hAnsi="Calibri" w:cs="Calibri"/>
                <w:color w:val="000000"/>
              </w:rPr>
            </w:pPr>
            <w:r w:rsidRPr="00101F32">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noWrap/>
            <w:hideMark/>
          </w:tcPr>
          <w:p w14:paraId="4C9863E7" w14:textId="77777777" w:rsidR="00B708B6" w:rsidRPr="00101F32" w:rsidRDefault="00B708B6" w:rsidP="00B708B6">
            <w:pPr>
              <w:rPr>
                <w:rFonts w:ascii="Calibri" w:eastAsia="Times New Roman" w:hAnsi="Calibri" w:cs="Calibri"/>
                <w:color w:val="000000"/>
              </w:rPr>
            </w:pPr>
          </w:p>
        </w:tc>
        <w:tc>
          <w:tcPr>
            <w:tcW w:w="2970" w:type="dxa"/>
            <w:gridSpan w:val="2"/>
            <w:tcBorders>
              <w:top w:val="nil"/>
              <w:left w:val="nil"/>
              <w:bottom w:val="single" w:sz="4" w:space="0" w:color="auto"/>
              <w:right w:val="single" w:sz="4" w:space="0" w:color="auto"/>
            </w:tcBorders>
            <w:shd w:val="clear" w:color="auto" w:fill="auto"/>
            <w:noWrap/>
            <w:hideMark/>
          </w:tcPr>
          <w:p w14:paraId="0D3D641F" w14:textId="77777777" w:rsidR="00B708B6" w:rsidRPr="00101F32" w:rsidRDefault="00B708B6" w:rsidP="00B708B6">
            <w:pPr>
              <w:jc w:val="center"/>
              <w:rPr>
                <w:rFonts w:ascii="Calibri" w:eastAsia="Times New Roman" w:hAnsi="Calibri" w:cs="Calibri"/>
                <w:color w:val="000000"/>
              </w:rPr>
            </w:pPr>
          </w:p>
        </w:tc>
      </w:tr>
      <w:tr w:rsidR="00B708B6" w14:paraId="3576363D" w14:textId="77777777" w:rsidTr="00B708B6">
        <w:tblPrEx>
          <w:jc w:val="left"/>
        </w:tblPrEx>
        <w:trPr>
          <w:gridAfter w:val="1"/>
          <w:wAfter w:w="2592" w:type="dxa"/>
        </w:trPr>
        <w:tc>
          <w:tcPr>
            <w:tcW w:w="4111" w:type="dxa"/>
            <w:gridSpan w:val="3"/>
          </w:tcPr>
          <w:p w14:paraId="24797899" w14:textId="77777777" w:rsidR="00B708B6" w:rsidRDefault="00B708B6" w:rsidP="00B708B6">
            <w:pPr>
              <w:ind w:left="603"/>
              <w:rPr>
                <w:b/>
                <w:bCs/>
                <w:sz w:val="20"/>
                <w:szCs w:val="18"/>
              </w:rPr>
            </w:pPr>
          </w:p>
          <w:p w14:paraId="631452AE" w14:textId="77777777" w:rsidR="00B708B6" w:rsidRPr="00E15558" w:rsidRDefault="00B708B6" w:rsidP="00B708B6">
            <w:pPr>
              <w:ind w:left="603"/>
              <w:rPr>
                <w:sz w:val="20"/>
                <w:szCs w:val="18"/>
              </w:rPr>
            </w:pPr>
            <w:r w:rsidRPr="00E15558">
              <w:rPr>
                <w:b/>
                <w:bCs/>
                <w:sz w:val="20"/>
                <w:szCs w:val="18"/>
              </w:rPr>
              <w:t>Name of the user</w:t>
            </w:r>
            <w:r w:rsidRPr="00E15558">
              <w:rPr>
                <w:sz w:val="20"/>
                <w:szCs w:val="18"/>
              </w:rPr>
              <w:t>:</w:t>
            </w:r>
          </w:p>
        </w:tc>
        <w:tc>
          <w:tcPr>
            <w:tcW w:w="6406" w:type="dxa"/>
            <w:gridSpan w:val="3"/>
          </w:tcPr>
          <w:p w14:paraId="1DB4D9E5" w14:textId="77777777" w:rsidR="00B708B6" w:rsidRDefault="00B708B6" w:rsidP="00B708B6">
            <w:pPr>
              <w:ind w:left="603"/>
              <w:rPr>
                <w:sz w:val="20"/>
                <w:szCs w:val="18"/>
              </w:rPr>
            </w:pPr>
          </w:p>
          <w:p w14:paraId="3E17E342" w14:textId="77777777" w:rsidR="00B708B6" w:rsidRPr="00E15558" w:rsidRDefault="00B708B6" w:rsidP="00B708B6">
            <w:pPr>
              <w:ind w:left="603"/>
              <w:rPr>
                <w:sz w:val="20"/>
                <w:szCs w:val="18"/>
              </w:rPr>
            </w:pPr>
            <w:r w:rsidRPr="00E15558">
              <w:rPr>
                <w:sz w:val="20"/>
                <w:szCs w:val="18"/>
              </w:rPr>
              <w:t>.....................................................................</w:t>
            </w:r>
          </w:p>
        </w:tc>
      </w:tr>
      <w:tr w:rsidR="00B708B6" w14:paraId="2A9BB6F6" w14:textId="77777777" w:rsidTr="00B708B6">
        <w:tblPrEx>
          <w:jc w:val="left"/>
        </w:tblPrEx>
        <w:trPr>
          <w:gridAfter w:val="1"/>
          <w:wAfter w:w="2592" w:type="dxa"/>
        </w:trPr>
        <w:tc>
          <w:tcPr>
            <w:tcW w:w="4111" w:type="dxa"/>
            <w:gridSpan w:val="3"/>
          </w:tcPr>
          <w:p w14:paraId="130BA525" w14:textId="77777777" w:rsidR="00B708B6" w:rsidRPr="00E15558" w:rsidRDefault="00B708B6" w:rsidP="00B708B6">
            <w:pPr>
              <w:ind w:left="603"/>
              <w:rPr>
                <w:sz w:val="20"/>
                <w:szCs w:val="18"/>
              </w:rPr>
            </w:pPr>
          </w:p>
          <w:p w14:paraId="4DAC7F89" w14:textId="77777777" w:rsidR="00B708B6" w:rsidRPr="00E15558" w:rsidRDefault="00B708B6" w:rsidP="00B708B6">
            <w:pPr>
              <w:ind w:left="603"/>
              <w:rPr>
                <w:sz w:val="20"/>
                <w:szCs w:val="18"/>
              </w:rPr>
            </w:pPr>
            <w:r w:rsidRPr="00E15558">
              <w:rPr>
                <w:b/>
                <w:bCs/>
                <w:sz w:val="20"/>
                <w:szCs w:val="18"/>
              </w:rPr>
              <w:t>Signature of the user</w:t>
            </w:r>
            <w:r w:rsidRPr="00E15558">
              <w:rPr>
                <w:sz w:val="20"/>
                <w:szCs w:val="18"/>
              </w:rPr>
              <w:t>:</w:t>
            </w:r>
          </w:p>
        </w:tc>
        <w:tc>
          <w:tcPr>
            <w:tcW w:w="6406" w:type="dxa"/>
            <w:gridSpan w:val="3"/>
          </w:tcPr>
          <w:p w14:paraId="6DA58056" w14:textId="77777777" w:rsidR="00B708B6" w:rsidRPr="00E15558" w:rsidRDefault="00B708B6" w:rsidP="00B708B6">
            <w:pPr>
              <w:ind w:left="603"/>
              <w:rPr>
                <w:sz w:val="20"/>
                <w:szCs w:val="18"/>
              </w:rPr>
            </w:pPr>
          </w:p>
          <w:p w14:paraId="0E6743AB" w14:textId="77777777" w:rsidR="00B708B6" w:rsidRPr="00E15558" w:rsidRDefault="00B708B6" w:rsidP="00B708B6">
            <w:pPr>
              <w:ind w:left="603"/>
              <w:rPr>
                <w:sz w:val="20"/>
                <w:szCs w:val="18"/>
              </w:rPr>
            </w:pPr>
            <w:r w:rsidRPr="00E15558">
              <w:rPr>
                <w:sz w:val="20"/>
                <w:szCs w:val="18"/>
              </w:rPr>
              <w:t>.....................................................................</w:t>
            </w:r>
          </w:p>
        </w:tc>
      </w:tr>
      <w:tr w:rsidR="00B708B6" w14:paraId="26C2F10A" w14:textId="77777777" w:rsidTr="00B708B6">
        <w:tblPrEx>
          <w:jc w:val="left"/>
        </w:tblPrEx>
        <w:trPr>
          <w:gridAfter w:val="1"/>
          <w:wAfter w:w="2592" w:type="dxa"/>
        </w:trPr>
        <w:tc>
          <w:tcPr>
            <w:tcW w:w="4111" w:type="dxa"/>
            <w:gridSpan w:val="3"/>
          </w:tcPr>
          <w:p w14:paraId="32C6D76B" w14:textId="77777777" w:rsidR="00B708B6" w:rsidRPr="00E15558" w:rsidRDefault="00B708B6" w:rsidP="00B708B6">
            <w:pPr>
              <w:ind w:left="603"/>
              <w:rPr>
                <w:sz w:val="20"/>
                <w:szCs w:val="18"/>
              </w:rPr>
            </w:pPr>
          </w:p>
          <w:p w14:paraId="50024843" w14:textId="77777777" w:rsidR="00B708B6" w:rsidRPr="00E15558" w:rsidRDefault="00B708B6" w:rsidP="00B708B6">
            <w:pPr>
              <w:ind w:left="603"/>
              <w:rPr>
                <w:sz w:val="20"/>
                <w:szCs w:val="18"/>
              </w:rPr>
            </w:pPr>
            <w:r>
              <w:rPr>
                <w:b/>
                <w:bCs/>
                <w:sz w:val="20"/>
                <w:szCs w:val="18"/>
              </w:rPr>
              <w:t>Name &amp; s</w:t>
            </w:r>
            <w:r w:rsidRPr="00E15558">
              <w:rPr>
                <w:b/>
                <w:bCs/>
                <w:sz w:val="20"/>
                <w:szCs w:val="18"/>
              </w:rPr>
              <w:t>tamp of the home Institution of user</w:t>
            </w:r>
            <w:r w:rsidRPr="00E15558">
              <w:rPr>
                <w:sz w:val="20"/>
                <w:szCs w:val="18"/>
              </w:rPr>
              <w:t>:</w:t>
            </w:r>
          </w:p>
        </w:tc>
        <w:tc>
          <w:tcPr>
            <w:tcW w:w="6406" w:type="dxa"/>
            <w:gridSpan w:val="3"/>
          </w:tcPr>
          <w:p w14:paraId="11198352" w14:textId="77777777" w:rsidR="00B708B6" w:rsidRDefault="00B708B6" w:rsidP="00B708B6">
            <w:pPr>
              <w:ind w:left="603"/>
              <w:rPr>
                <w:sz w:val="20"/>
                <w:szCs w:val="18"/>
              </w:rPr>
            </w:pPr>
          </w:p>
          <w:p w14:paraId="1ACF88E1" w14:textId="77777777" w:rsidR="00B708B6" w:rsidRPr="00E15558" w:rsidRDefault="00B708B6" w:rsidP="00B708B6">
            <w:pPr>
              <w:ind w:left="603"/>
              <w:rPr>
                <w:sz w:val="20"/>
                <w:szCs w:val="18"/>
              </w:rPr>
            </w:pPr>
            <w:r w:rsidRPr="00E15558">
              <w:rPr>
                <w:sz w:val="20"/>
                <w:szCs w:val="18"/>
              </w:rPr>
              <w:t>.....................................................................</w:t>
            </w:r>
          </w:p>
        </w:tc>
      </w:tr>
    </w:tbl>
    <w:p w14:paraId="1A787F06" w14:textId="77777777" w:rsidR="00D23C77" w:rsidRDefault="00D23C77" w:rsidP="1902C6B7">
      <w:pPr>
        <w:jc w:val="both"/>
        <w:rPr>
          <w:rFonts w:ascii="Arial" w:hAnsi="Arial"/>
          <w:sz w:val="20"/>
          <w:szCs w:val="20"/>
          <w:lang w:val="en-GB"/>
        </w:rPr>
      </w:pPr>
    </w:p>
    <w:sectPr w:rsidR="00D23C77" w:rsidSect="00B708B6">
      <w:headerReference w:type="even" r:id="rId15"/>
      <w:headerReference w:type="default" r:id="rId16"/>
      <w:footerReference w:type="default" r:id="rId17"/>
      <w:headerReference w:type="first" r:id="rId18"/>
      <w:footerReference w:type="first" r:id="rId19"/>
      <w:pgSz w:w="16840" w:h="11900" w:orient="landscape"/>
      <w:pgMar w:top="851" w:right="1950" w:bottom="1134" w:left="851" w:header="1020" w:footer="0"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E07A" w14:textId="77777777" w:rsidR="00E641F7" w:rsidRDefault="00E641F7" w:rsidP="00006FFC">
      <w:pPr>
        <w:spacing w:after="0" w:line="240" w:lineRule="auto"/>
      </w:pPr>
      <w:r>
        <w:separator/>
      </w:r>
    </w:p>
  </w:endnote>
  <w:endnote w:type="continuationSeparator" w:id="0">
    <w:p w14:paraId="2546420B" w14:textId="77777777" w:rsidR="00E641F7" w:rsidRDefault="00E641F7" w:rsidP="00006FFC">
      <w:pPr>
        <w:spacing w:after="0" w:line="240" w:lineRule="auto"/>
      </w:pPr>
      <w:r>
        <w:continuationSeparator/>
      </w:r>
    </w:p>
  </w:endnote>
  <w:endnote w:type="continuationNotice" w:id="1">
    <w:p w14:paraId="75406EA8" w14:textId="77777777" w:rsidR="00E641F7" w:rsidRDefault="00E64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56380"/>
      <w:docPartObj>
        <w:docPartGallery w:val="Page Numbers (Bottom of Page)"/>
        <w:docPartUnique/>
      </w:docPartObj>
    </w:sdtPr>
    <w:sdtEndPr/>
    <w:sdtContent>
      <w:p w14:paraId="5CE15F09" w14:textId="059A5A59" w:rsidR="00AB466F" w:rsidRDefault="00AB466F">
        <w:pPr>
          <w:pStyle w:val="Zpat"/>
          <w:jc w:val="right"/>
        </w:pPr>
        <w:r>
          <w:fldChar w:fldCharType="begin"/>
        </w:r>
        <w:r>
          <w:instrText>PAGE   \* MERGEFORMAT</w:instrText>
        </w:r>
        <w:r>
          <w:fldChar w:fldCharType="separate"/>
        </w:r>
        <w:r w:rsidR="00A60D85">
          <w:rPr>
            <w:noProof/>
          </w:rPr>
          <w:t>8</w:t>
        </w:r>
        <w:r>
          <w:fldChar w:fldCharType="end"/>
        </w:r>
      </w:p>
    </w:sdtContent>
  </w:sdt>
  <w:p w14:paraId="782175EB" w14:textId="77777777" w:rsidR="008B61A7" w:rsidRDefault="008B61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DD35" w14:textId="77777777" w:rsidR="00B708B6" w:rsidRDefault="00B708B6" w:rsidP="00B708B6">
    <w:pPr>
      <w:pStyle w:val="Zhlav"/>
      <w:tabs>
        <w:tab w:val="right" w:pos="9639"/>
      </w:tabs>
      <w:rPr>
        <w:sz w:val="16"/>
        <w:szCs w:val="16"/>
      </w:rPr>
    </w:pPr>
    <w:r>
      <w:rPr>
        <w:noProof/>
        <w:sz w:val="16"/>
        <w:szCs w:val="16"/>
        <w:lang w:val="cs-CZ" w:eastAsia="cs-CZ"/>
      </w:rPr>
      <mc:AlternateContent>
        <mc:Choice Requires="wps">
          <w:drawing>
            <wp:anchor distT="0" distB="0" distL="114300" distR="114300" simplePos="0" relativeHeight="251662336" behindDoc="0" locked="0" layoutInCell="1" allowOverlap="1" wp14:anchorId="7177A339" wp14:editId="15BDA9A3">
              <wp:simplePos x="0" y="0"/>
              <wp:positionH relativeFrom="column">
                <wp:posOffset>1569689</wp:posOffset>
              </wp:positionH>
              <wp:positionV relativeFrom="paragraph">
                <wp:posOffset>117920</wp:posOffset>
              </wp:positionV>
              <wp:extent cx="4092969" cy="408079"/>
              <wp:effectExtent l="0" t="0" r="0" b="0"/>
              <wp:wrapNone/>
              <wp:docPr id="130" name="Textfeld 130"/>
              <wp:cNvGraphicFramePr/>
              <a:graphic xmlns:a="http://schemas.openxmlformats.org/drawingml/2006/main">
                <a:graphicData uri="http://schemas.microsoft.com/office/word/2010/wordprocessingShape">
                  <wps:wsp>
                    <wps:cNvSpPr txBox="1"/>
                    <wps:spPr>
                      <a:xfrm>
                        <a:off x="0" y="0"/>
                        <a:ext cx="4092969" cy="408079"/>
                      </a:xfrm>
                      <a:prstGeom prst="rect">
                        <a:avLst/>
                      </a:prstGeom>
                      <a:noFill/>
                      <a:ln w="6350" cap="rnd">
                        <a:noFill/>
                      </a:ln>
                    </wps:spPr>
                    <wps:txbx>
                      <w:txbxContent>
                        <w:p w14:paraId="20CCB476" w14:textId="77777777" w:rsidR="00B708B6" w:rsidRPr="0065335B" w:rsidRDefault="00B708B6" w:rsidP="00B708B6">
                          <w:pPr>
                            <w:rPr>
                              <w:iCs/>
                              <w:color w:val="7F7F7F" w:themeColor="text1" w:themeTint="80"/>
                              <w:lang w:val="en-GB"/>
                            </w:rPr>
                          </w:pPr>
                          <w:r w:rsidRPr="006805C1">
                            <w:rPr>
                              <w:iCs/>
                              <w:color w:val="7F7F7F" w:themeColor="text1" w:themeTint="80"/>
                              <w:sz w:val="16"/>
                              <w:szCs w:val="16"/>
                            </w:rPr>
                            <w:t>This project has received funding from the European Union’s Horizon Europe research and innovation programme under grant agreement number 101058620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177A339">
              <v:stroke joinstyle="miter"/>
              <v:path gradientshapeok="t" o:connecttype="rect"/>
            </v:shapetype>
            <v:shape id="Textfeld 130" style="position:absolute;margin-left:123.6pt;margin-top:9.3pt;width:322.3pt;height:32.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">
              <v:stroke endcap="round"/>
              <v:textbox>
                <w:txbxContent>
                  <w:p w:rsidRPr="0065335B" w:rsidR="00B708B6" w:rsidP="00B708B6" w:rsidRDefault="00B708B6" w14:paraId="20CCB476" w14:textId="77777777">
                    <w:pPr>
                      <w:rPr>
                        <w:iCs/>
                        <w:color w:val="7F7F7F" w:themeColor="text1" w:themeTint="80"/>
                        <w:lang w:val="en-GB"/>
                      </w:rPr>
                    </w:pPr>
                    <w:r w:rsidRPr="006805C1">
                      <w:rPr>
                        <w:iCs/>
                        <w:color w:val="7F7F7F" w:themeColor="text1" w:themeTint="80"/>
                        <w:sz w:val="16"/>
                        <w:szCs w:val="16"/>
                      </w:rPr>
                      <w:t>This project has received funding from the European Union’s Horizon Europe research and innovation programme under grant agreement number 101058620</w:t>
                    </w:r>
                  </w:p>
                </w:txbxContent>
              </v:textbox>
            </v:shape>
          </w:pict>
        </mc:Fallback>
      </mc:AlternateContent>
    </w:r>
  </w:p>
  <w:sdt>
    <w:sdtPr>
      <w:rPr>
        <w:sz w:val="16"/>
        <w:szCs w:val="16"/>
      </w:rPr>
      <w:id w:val="-372151963"/>
      <w:docPartObj>
        <w:docPartGallery w:val="Page Numbers (Bottom of Page)"/>
        <w:docPartUnique/>
      </w:docPartObj>
    </w:sdtPr>
    <w:sdtEndPr>
      <w:rPr>
        <w:noProof/>
      </w:rPr>
    </w:sdtEndPr>
    <w:sdtContent>
      <w:p w14:paraId="0FA6E4AB" w14:textId="77777777" w:rsidR="00B708B6" w:rsidRPr="0002182B" w:rsidRDefault="00B708B6" w:rsidP="00B708B6">
        <w:pPr>
          <w:pStyle w:val="Zhlav"/>
          <w:tabs>
            <w:tab w:val="right" w:pos="9639"/>
          </w:tabs>
          <w:rPr>
            <w:lang w:val="de-DE"/>
          </w:rPr>
        </w:pPr>
        <w:r>
          <w:rPr>
            <w:noProof/>
            <w:lang w:val="cs-CZ" w:eastAsia="cs-CZ"/>
          </w:rPr>
          <w:drawing>
            <wp:anchor distT="0" distB="0" distL="114300" distR="114300" simplePos="0" relativeHeight="251663360" behindDoc="0" locked="0" layoutInCell="1" allowOverlap="1" wp14:anchorId="2821834B" wp14:editId="28B6AD1D">
              <wp:simplePos x="0" y="0"/>
              <wp:positionH relativeFrom="column">
                <wp:posOffset>-2759</wp:posOffset>
              </wp:positionH>
              <wp:positionV relativeFrom="paragraph">
                <wp:posOffset>45550</wp:posOffset>
              </wp:positionV>
              <wp:extent cx="1318241" cy="274642"/>
              <wp:effectExtent l="0" t="0" r="3175" b="5080"/>
              <wp:wrapNone/>
              <wp:docPr id="275536228"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Grafik 1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8241" cy="274642"/>
                      </a:xfrm>
                      <a:prstGeom prst="rect">
                        <a:avLst/>
                      </a:prstGeom>
                    </pic:spPr>
                  </pic:pic>
                </a:graphicData>
              </a:graphic>
            </wp:anchor>
          </w:drawing>
        </w:r>
        <w:r>
          <w:rPr>
            <w:noProof/>
            <w:lang w:val="cs-CZ" w:eastAsia="cs-CZ"/>
          </w:rPr>
          <w:drawing>
            <wp:anchor distT="0" distB="0" distL="114300" distR="114300" simplePos="0" relativeHeight="251659264" behindDoc="0" locked="0" layoutInCell="1" allowOverlap="1" wp14:anchorId="031BF559" wp14:editId="62A01991">
              <wp:simplePos x="0" y="0"/>
              <wp:positionH relativeFrom="column">
                <wp:posOffset>-213995</wp:posOffset>
              </wp:positionH>
              <wp:positionV relativeFrom="paragraph">
                <wp:posOffset>7438390</wp:posOffset>
              </wp:positionV>
              <wp:extent cx="1468755" cy="461645"/>
              <wp:effectExtent l="0" t="0" r="0" b="5080"/>
              <wp:wrapNone/>
              <wp:docPr id="1734955580"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8755" cy="46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F2042" w14:textId="77777777" w:rsidR="00B708B6" w:rsidRPr="00D12849" w:rsidRDefault="00A60D85" w:rsidP="00B708B6">
        <w:pPr>
          <w:pStyle w:val="Zpat"/>
          <w:jc w:val="right"/>
          <w:rPr>
            <w:noProof/>
            <w:sz w:val="16"/>
            <w:szCs w:val="16"/>
          </w:rPr>
        </w:pPr>
      </w:p>
    </w:sdtContent>
  </w:sdt>
  <w:p w14:paraId="43A54DEE" w14:textId="77777777" w:rsidR="00B708B6" w:rsidRDefault="00B708B6"/>
  <w:p w14:paraId="37AB8804" w14:textId="77777777" w:rsidR="00B708B6" w:rsidRDefault="00B708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E354" w14:textId="77777777" w:rsidR="00B708B6" w:rsidRPr="00E23B04" w:rsidRDefault="00B708B6" w:rsidP="00B708B6">
    <w:pPr>
      <w:autoSpaceDE w:val="0"/>
      <w:autoSpaceDN w:val="0"/>
      <w:adjustRightInd w:val="0"/>
      <w:textAlignment w:val="center"/>
      <w:rPr>
        <w:rFonts w:eastAsia="Cambria" w:cs="Arial"/>
        <w:sz w:val="16"/>
        <w:szCs w:val="16"/>
      </w:rPr>
    </w:pPr>
    <w:r>
      <w:rPr>
        <w:rFonts w:eastAsia="Cambria" w:cs="Arial"/>
        <w:noProof/>
        <w:sz w:val="16"/>
        <w:szCs w:val="16"/>
        <w:lang w:val="cs-CZ" w:eastAsia="cs-CZ"/>
      </w:rPr>
      <mc:AlternateContent>
        <mc:Choice Requires="wps">
          <w:drawing>
            <wp:anchor distT="0" distB="0" distL="114300" distR="114300" simplePos="0" relativeHeight="251660288" behindDoc="0" locked="0" layoutInCell="1" allowOverlap="1" wp14:anchorId="3301BF66" wp14:editId="65186FDD">
              <wp:simplePos x="0" y="0"/>
              <wp:positionH relativeFrom="column">
                <wp:posOffset>1779555</wp:posOffset>
              </wp:positionH>
              <wp:positionV relativeFrom="paragraph">
                <wp:posOffset>-445770</wp:posOffset>
              </wp:positionV>
              <wp:extent cx="4093028" cy="318497"/>
              <wp:effectExtent l="0" t="0" r="0" b="0"/>
              <wp:wrapNone/>
              <wp:docPr id="26" name="Textfeld 26"/>
              <wp:cNvGraphicFramePr/>
              <a:graphic xmlns:a="http://schemas.openxmlformats.org/drawingml/2006/main">
                <a:graphicData uri="http://schemas.microsoft.com/office/word/2010/wordprocessingShape">
                  <wps:wsp>
                    <wps:cNvSpPr txBox="1"/>
                    <wps:spPr>
                      <a:xfrm>
                        <a:off x="0" y="0"/>
                        <a:ext cx="4093028" cy="318497"/>
                      </a:xfrm>
                      <a:prstGeom prst="rect">
                        <a:avLst/>
                      </a:prstGeom>
                      <a:noFill/>
                      <a:ln w="6350" cap="rnd">
                        <a:noFill/>
                      </a:ln>
                    </wps:spPr>
                    <wps:txbx>
                      <w:txbxContent>
                        <w:p w14:paraId="2A4C1618" w14:textId="77777777" w:rsidR="00B708B6" w:rsidRPr="0065335B" w:rsidRDefault="00B708B6" w:rsidP="00B708B6">
                          <w:pPr>
                            <w:rPr>
                              <w:iCs/>
                              <w:color w:val="7F7F7F" w:themeColor="text1" w:themeTint="80"/>
                              <w:lang w:val="en-GB"/>
                            </w:rPr>
                          </w:pPr>
                          <w:r w:rsidRPr="006805C1">
                            <w:rPr>
                              <w:iCs/>
                              <w:color w:val="7F7F7F" w:themeColor="text1" w:themeTint="80"/>
                              <w:sz w:val="16"/>
                              <w:szCs w:val="16"/>
                            </w:rPr>
                            <w:t>This project has received funding from the European Union’s Horizon Europe research and innovation programme under grant agreement number 101058620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301BF66">
              <v:stroke joinstyle="miter"/>
              <v:path gradientshapeok="t" o:connecttype="rect"/>
            </v:shapetype>
            <v:shape id="Textfeld 26" style="position:absolute;margin-left:140.1pt;margin-top:-35.1pt;width:322.3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">
              <v:stroke endcap="round"/>
              <v:textbox>
                <w:txbxContent>
                  <w:p w:rsidRPr="0065335B" w:rsidR="00B708B6" w:rsidP="00B708B6" w:rsidRDefault="00B708B6" w14:paraId="2A4C1618" w14:textId="77777777">
                    <w:pPr>
                      <w:rPr>
                        <w:iCs/>
                        <w:color w:val="7F7F7F" w:themeColor="text1" w:themeTint="80"/>
                        <w:lang w:val="en-GB"/>
                      </w:rPr>
                    </w:pPr>
                    <w:r w:rsidRPr="006805C1">
                      <w:rPr>
                        <w:iCs/>
                        <w:color w:val="7F7F7F" w:themeColor="text1" w:themeTint="80"/>
                        <w:sz w:val="16"/>
                        <w:szCs w:val="16"/>
                      </w:rPr>
                      <w:t>This project has received funding from the European Union’s Horizon Europe research and innovation programme under grant agreement number 101058620</w:t>
                    </w:r>
                  </w:p>
                </w:txbxContent>
              </v:textbox>
            </v:shape>
          </w:pict>
        </mc:Fallback>
      </mc:AlternateContent>
    </w:r>
    <w:r>
      <w:rPr>
        <w:rFonts w:eastAsia="Cambria" w:cs="Arial"/>
        <w:noProof/>
        <w:sz w:val="16"/>
        <w:szCs w:val="16"/>
        <w:lang w:val="cs-CZ" w:eastAsia="cs-CZ"/>
      </w:rPr>
      <w:drawing>
        <wp:anchor distT="0" distB="0" distL="114300" distR="114300" simplePos="0" relativeHeight="251661312" behindDoc="0" locked="0" layoutInCell="1" allowOverlap="1" wp14:anchorId="758859E2" wp14:editId="0AED22D3">
          <wp:simplePos x="0" y="0"/>
          <wp:positionH relativeFrom="column">
            <wp:posOffset>-899</wp:posOffset>
          </wp:positionH>
          <wp:positionV relativeFrom="paragraph">
            <wp:posOffset>-402699</wp:posOffset>
          </wp:positionV>
          <wp:extent cx="1318260" cy="274955"/>
          <wp:effectExtent l="0" t="0" r="2540" b="4445"/>
          <wp:wrapNone/>
          <wp:docPr id="1516530933"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fik 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8260" cy="274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342F" w14:textId="77777777" w:rsidR="00E641F7" w:rsidRDefault="00E641F7" w:rsidP="00006FFC">
      <w:pPr>
        <w:spacing w:after="0" w:line="240" w:lineRule="auto"/>
      </w:pPr>
      <w:r>
        <w:separator/>
      </w:r>
    </w:p>
  </w:footnote>
  <w:footnote w:type="continuationSeparator" w:id="0">
    <w:p w14:paraId="40BFD97B" w14:textId="77777777" w:rsidR="00E641F7" w:rsidRDefault="00E641F7" w:rsidP="00006FFC">
      <w:pPr>
        <w:spacing w:after="0" w:line="240" w:lineRule="auto"/>
      </w:pPr>
      <w:r>
        <w:continuationSeparator/>
      </w:r>
    </w:p>
  </w:footnote>
  <w:footnote w:type="continuationNotice" w:id="1">
    <w:p w14:paraId="794F8302" w14:textId="77777777" w:rsidR="00E641F7" w:rsidRDefault="00E641F7">
      <w:pPr>
        <w:spacing w:after="0" w:line="240" w:lineRule="auto"/>
      </w:pPr>
    </w:p>
  </w:footnote>
  <w:footnote w:id="2">
    <w:p w14:paraId="378A7C3A" w14:textId="4C9A34EB" w:rsidR="002E212E" w:rsidRPr="00426078" w:rsidRDefault="002E212E" w:rsidP="006976EB">
      <w:pPr>
        <w:pStyle w:val="Textpoznpodarou"/>
        <w:jc w:val="both"/>
        <w:rPr>
          <w:lang w:val="en-US"/>
        </w:rPr>
      </w:pPr>
      <w:r w:rsidRPr="00734C1C">
        <w:rPr>
          <w:rStyle w:val="Znakapoznpodarou"/>
        </w:rPr>
        <w:footnoteRef/>
      </w:r>
      <w:r w:rsidRPr="00734C1C">
        <w:t xml:space="preserve"> </w:t>
      </w:r>
      <w:r w:rsidRPr="006976EB">
        <w:rPr>
          <w:rFonts w:ascii="Arial" w:hAnsi="Arial" w:cs="Arial"/>
          <w:sz w:val="16"/>
          <w:szCs w:val="16"/>
          <w:shd w:val="clear" w:color="auto" w:fill="FFFFFF"/>
          <w:lang w:val="en-US"/>
        </w:rPr>
        <w:t>European Commission, Directorate-General for Research and Innovation, </w:t>
      </w:r>
      <w:hyperlink r:id="rId1" w:history="1">
        <w:r w:rsidRPr="006976EB">
          <w:rPr>
            <w:rStyle w:val="Hypertextovodkaz"/>
            <w:rFonts w:ascii="Arial" w:hAnsi="Arial" w:cs="Arial"/>
          </w:rPr>
          <w:t xml:space="preserve">European charter of access for research </w:t>
        </w:r>
        <w:r w:rsidR="00426078" w:rsidRPr="006976EB">
          <w:rPr>
            <w:rStyle w:val="Hypertextovodkaz"/>
          </w:rPr>
          <w:t>infrastructures:</w:t>
        </w:r>
        <w:r w:rsidRPr="006976EB">
          <w:rPr>
            <w:rStyle w:val="Hypertextovodkaz"/>
            <w:rFonts w:ascii="Arial" w:hAnsi="Arial" w:cs="Arial"/>
          </w:rPr>
          <w:t xml:space="preserve"> principles and guidelines for access and related services</w:t>
        </w:r>
      </w:hyperlink>
      <w:r w:rsidRPr="006976EB">
        <w:rPr>
          <w:rFonts w:ascii="Arial" w:hAnsi="Arial" w:cs="Arial"/>
          <w:sz w:val="16"/>
          <w:szCs w:val="16"/>
          <w:shd w:val="clear" w:color="auto" w:fill="FFFFFF"/>
          <w:lang w:val="en-US"/>
        </w:rPr>
        <w:t>, Publications Office, 2016</w:t>
      </w:r>
      <w:r w:rsidR="00426078">
        <w:rPr>
          <w:rFonts w:ascii="Arial" w:hAnsi="Arial" w:cs="Arial"/>
          <w:sz w:val="16"/>
          <w:szCs w:val="16"/>
          <w:shd w:val="clear" w:color="auto" w:fill="FFFFFF"/>
          <w:lang w:val="en-US"/>
        </w:rPr>
        <w:t>.</w:t>
      </w:r>
      <w:r w:rsidR="00426078" w:rsidRPr="00426078" w:rsidDel="00426078">
        <w:rPr>
          <w:rFonts w:ascii="Arial" w:hAnsi="Arial" w:cs="Arial"/>
          <w:sz w:val="16"/>
          <w:szCs w:val="16"/>
          <w:shd w:val="clear" w:color="auto" w:fill="FFFFFF"/>
          <w:lang w:val="en-US"/>
        </w:rPr>
        <w:t xml:space="preserve"> </w:t>
      </w:r>
    </w:p>
    <w:p w14:paraId="3A71C90A" w14:textId="56CC9735" w:rsidR="002E212E" w:rsidRPr="002E212E" w:rsidRDefault="002E212E" w:rsidP="006976EB">
      <w:pPr>
        <w:pStyle w:val="Textpoznpodarou"/>
        <w:jc w:val="both"/>
        <w:rPr>
          <w:lang w:val="en-US"/>
        </w:rPr>
      </w:pPr>
    </w:p>
  </w:footnote>
  <w:footnote w:id="3">
    <w:p w14:paraId="02E58A8B" w14:textId="68FAB99B" w:rsidR="5A09658B" w:rsidRPr="00CF2035" w:rsidRDefault="5A09658B" w:rsidP="006976EB">
      <w:pPr>
        <w:pStyle w:val="Textpoznpodarou"/>
        <w:jc w:val="both"/>
        <w:rPr>
          <w:lang w:val="en-GB"/>
        </w:rPr>
      </w:pPr>
      <w:r w:rsidRPr="00CF2035">
        <w:rPr>
          <w:rStyle w:val="Znakapoznpodarou"/>
          <w:lang w:val="en-GB"/>
        </w:rPr>
        <w:footnoteRef/>
      </w:r>
      <w:r w:rsidRPr="00CF2035">
        <w:rPr>
          <w:lang w:val="en-GB"/>
        </w:rPr>
        <w:t xml:space="preserve"> </w:t>
      </w:r>
      <w:r w:rsidRPr="006976EB">
        <w:rPr>
          <w:rFonts w:ascii="Arial" w:hAnsi="Arial" w:cs="Arial"/>
          <w:sz w:val="16"/>
          <w:szCs w:val="16"/>
          <w:lang w:val="en-GB"/>
        </w:rPr>
        <w:t xml:space="preserve">In accordance with the </w:t>
      </w:r>
      <w:hyperlink r:id="rId2" w:history="1">
        <w:r w:rsidR="00BC3D45" w:rsidRPr="006976EB">
          <w:rPr>
            <w:rStyle w:val="Hypertextovodkaz"/>
            <w:rFonts w:ascii="Arial" w:hAnsi="Arial" w:cs="Arial"/>
            <w:sz w:val="16"/>
            <w:szCs w:val="16"/>
          </w:rPr>
          <w:t>EU COM</w:t>
        </w:r>
        <w:r w:rsidR="00065CC0">
          <w:rPr>
            <w:rStyle w:val="Hypertextovodkaz"/>
            <w:rFonts w:ascii="Arial" w:hAnsi="Arial" w:cs="Arial"/>
            <w:sz w:val="16"/>
            <w:szCs w:val="16"/>
          </w:rPr>
          <w:t>M</w:t>
        </w:r>
        <w:r w:rsidR="00BC3D45" w:rsidRPr="006976EB">
          <w:rPr>
            <w:rStyle w:val="Hypertextovodkaz"/>
            <w:rFonts w:ascii="Arial" w:hAnsi="Arial" w:cs="Arial"/>
            <w:sz w:val="16"/>
            <w:szCs w:val="16"/>
          </w:rPr>
          <w:t xml:space="preserve">ISSION </w:t>
        </w:r>
        <w:r w:rsidR="00BC3D45" w:rsidRPr="006976EB">
          <w:rPr>
            <w:rStyle w:val="Hypertextovodkaz"/>
            <w:rFonts w:ascii="Arial" w:hAnsi="Arial" w:cs="Arial"/>
            <w:sz w:val="16"/>
            <w:szCs w:val="16"/>
            <w:lang w:val="en-GB"/>
          </w:rPr>
          <w:t>DECISION</w:t>
        </w:r>
      </w:hyperlink>
      <w:r w:rsidR="00BC3D45" w:rsidRPr="006976EB">
        <w:rPr>
          <w:rFonts w:ascii="Arial" w:hAnsi="Arial" w:cs="Arial"/>
          <w:sz w:val="16"/>
          <w:szCs w:val="16"/>
          <w:lang w:val="en-GB"/>
        </w:rPr>
        <w:t xml:space="preserve"> authorising the use of unit costs for the costs of providing trans-national and virtual access in Research Infrastructures actions under the </w:t>
      </w:r>
      <w:r w:rsidR="00426078" w:rsidRPr="006976EB">
        <w:rPr>
          <w:rFonts w:ascii="Arial" w:hAnsi="Arial" w:cs="Arial"/>
          <w:sz w:val="16"/>
          <w:szCs w:val="16"/>
          <w:lang w:val="en-GB"/>
        </w:rPr>
        <w:t>Horizon</w:t>
      </w:r>
      <w:r w:rsidR="00BC3D45" w:rsidRPr="006976EB">
        <w:rPr>
          <w:rFonts w:ascii="Arial" w:hAnsi="Arial" w:cs="Arial"/>
          <w:sz w:val="16"/>
          <w:szCs w:val="16"/>
          <w:lang w:val="en-GB"/>
        </w:rPr>
        <w:t xml:space="preserve"> Europe Programme (2021-2027) and the Research and Training Programme of the European Atomic Energy Community (2021-2025)</w:t>
      </w:r>
      <w:r w:rsidR="00426078">
        <w:rPr>
          <w:rFonts w:ascii="Arial" w:hAnsi="Arial" w:cs="Arial"/>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458D" w14:textId="77777777" w:rsidR="00B708B6" w:rsidRDefault="00B708B6" w:rsidP="00B708B6">
    <w:pPr>
      <w:pStyle w:val="Zhlav"/>
      <w:jc w:val="right"/>
    </w:pPr>
    <w:r w:rsidRPr="00B42467">
      <w:rPr>
        <w:noProof/>
        <w:lang w:val="cs-CZ" w:eastAsia="cs-CZ"/>
      </w:rPr>
      <w:drawing>
        <wp:inline distT="0" distB="0" distL="0" distR="0" wp14:anchorId="26F92ADB" wp14:editId="3FEDCFBA">
          <wp:extent cx="1617345" cy="508000"/>
          <wp:effectExtent l="25400" t="0" r="8255" b="0"/>
          <wp:docPr id="26952468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17345" cy="508000"/>
                  </a:xfrm>
                  <a:prstGeom prst="rect">
                    <a:avLst/>
                  </a:prstGeom>
                  <a:noFill/>
                  <a:ln w="9525">
                    <a:noFill/>
                    <a:miter lim="800000"/>
                    <a:headEnd/>
                    <a:tailEnd/>
                  </a:ln>
                </pic:spPr>
              </pic:pic>
            </a:graphicData>
          </a:graphic>
        </wp:inline>
      </w:drawing>
    </w:r>
  </w:p>
  <w:p w14:paraId="43FD03BF" w14:textId="77777777" w:rsidR="00B708B6" w:rsidRDefault="00B708B6"/>
  <w:p w14:paraId="5C8581D7" w14:textId="77777777" w:rsidR="00B708B6" w:rsidRDefault="00B708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3168" w14:textId="77777777" w:rsidR="00B708B6" w:rsidRPr="0065335B" w:rsidRDefault="00B708B6" w:rsidP="00B708B6">
    <w:pPr>
      <w:pStyle w:val="Zhlav"/>
      <w:tabs>
        <w:tab w:val="right" w:pos="9639"/>
      </w:tabs>
    </w:pPr>
    <w:r>
      <w:rPr>
        <w:rFonts w:eastAsia="Cambria" w:cs="Arial"/>
        <w:noProof/>
        <w:sz w:val="16"/>
        <w:szCs w:val="16"/>
        <w:lang w:val="cs-CZ" w:eastAsia="cs-CZ"/>
      </w:rPr>
      <mc:AlternateContent>
        <mc:Choice Requires="wps">
          <w:drawing>
            <wp:anchor distT="0" distB="0" distL="114300" distR="114300" simplePos="0" relativeHeight="251664384" behindDoc="0" locked="0" layoutInCell="1" allowOverlap="1" wp14:anchorId="2146E6F1" wp14:editId="38167342">
              <wp:simplePos x="0" y="0"/>
              <wp:positionH relativeFrom="column">
                <wp:posOffset>474992</wp:posOffset>
              </wp:positionH>
              <wp:positionV relativeFrom="paragraph">
                <wp:posOffset>-170866</wp:posOffset>
              </wp:positionV>
              <wp:extent cx="3113448" cy="295275"/>
              <wp:effectExtent l="0" t="0" r="0" b="0"/>
              <wp:wrapNone/>
              <wp:docPr id="146" name="Textfeld 146"/>
              <wp:cNvGraphicFramePr/>
              <a:graphic xmlns:a="http://schemas.openxmlformats.org/drawingml/2006/main">
                <a:graphicData uri="http://schemas.microsoft.com/office/word/2010/wordprocessingShape">
                  <wps:wsp>
                    <wps:cNvSpPr txBox="1"/>
                    <wps:spPr>
                      <a:xfrm>
                        <a:off x="0" y="0"/>
                        <a:ext cx="3113448" cy="295275"/>
                      </a:xfrm>
                      <a:prstGeom prst="rect">
                        <a:avLst/>
                      </a:prstGeom>
                      <a:noFill/>
                      <a:ln w="6350" cap="rnd">
                        <a:noFill/>
                      </a:ln>
                    </wps:spPr>
                    <wps:txbx>
                      <w:txbxContent>
                        <w:p w14:paraId="353D9E8B" w14:textId="77777777" w:rsidR="00B708B6" w:rsidRPr="00AC1DF3" w:rsidRDefault="00B708B6" w:rsidP="00B708B6">
                          <w:pPr>
                            <w:rPr>
                              <w:iCs/>
                              <w:color w:val="7F7F7F" w:themeColor="text1" w:themeTint="80"/>
                              <w:lang w:val="en-GB"/>
                            </w:rPr>
                          </w:pPr>
                          <w:r>
                            <w:rPr>
                              <w:iCs/>
                              <w:color w:val="7F7F7F" w:themeColor="text1" w:themeTint="80"/>
                              <w:sz w:val="16"/>
                              <w:szCs w:val="16"/>
                              <w:lang w:val="en-GB"/>
                            </w:rPr>
                            <w:t>Delivery confirmation of the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146E6F1">
              <v:stroke joinstyle="miter"/>
              <v:path gradientshapeok="t" o:connecttype="rect"/>
            </v:shapetype>
            <v:shape id="Textfeld 146" style="position:absolute;margin-left:37.4pt;margin-top:-13.45pt;width:245.1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">
              <v:stroke endcap="round"/>
              <v:textbox>
                <w:txbxContent>
                  <w:p w:rsidRPr="00AC1DF3" w:rsidR="00B708B6" w:rsidP="00B708B6" w:rsidRDefault="00B708B6" w14:paraId="353D9E8B" w14:textId="77777777">
                    <w:pPr>
                      <w:rPr>
                        <w:iCs/>
                        <w:color w:val="7F7F7F" w:themeColor="text1" w:themeTint="80"/>
                        <w:lang w:val="en-GB"/>
                      </w:rPr>
                    </w:pPr>
                    <w:r>
                      <w:rPr>
                        <w:iCs/>
                        <w:color w:val="7F7F7F" w:themeColor="text1" w:themeTint="80"/>
                        <w:sz w:val="16"/>
                        <w:szCs w:val="16"/>
                        <w:lang w:val="en-GB"/>
                      </w:rPr>
                      <w:t>Delivery confirmation of the service(s)</w:t>
                    </w:r>
                  </w:p>
                </w:txbxContent>
              </v:textbox>
            </v:shape>
          </w:pict>
        </mc:Fallback>
      </mc:AlternateContent>
    </w:r>
    <w:r w:rsidRPr="00584B7A">
      <w:rPr>
        <w:noProof/>
        <w:lang w:val="cs-CZ" w:eastAsia="cs-CZ"/>
      </w:rPr>
      <w:drawing>
        <wp:anchor distT="0" distB="0" distL="114300" distR="114300" simplePos="0" relativeHeight="251666432" behindDoc="0" locked="0" layoutInCell="1" allowOverlap="1" wp14:anchorId="50507E4C" wp14:editId="3B0A02D9">
          <wp:simplePos x="0" y="0"/>
          <wp:positionH relativeFrom="column">
            <wp:posOffset>560240</wp:posOffset>
          </wp:positionH>
          <wp:positionV relativeFrom="paragraph">
            <wp:posOffset>68347</wp:posOffset>
          </wp:positionV>
          <wp:extent cx="6187305" cy="45719"/>
          <wp:effectExtent l="0" t="0" r="0" b="0"/>
          <wp:wrapNone/>
          <wp:docPr id="21107240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22572" cy="50413"/>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5408" behindDoc="0" locked="0" layoutInCell="1" allowOverlap="1" wp14:anchorId="0A1C257D" wp14:editId="74D6DA0A">
          <wp:simplePos x="0" y="0"/>
          <wp:positionH relativeFrom="column">
            <wp:posOffset>6996095</wp:posOffset>
          </wp:positionH>
          <wp:positionV relativeFrom="paragraph">
            <wp:posOffset>-427678</wp:posOffset>
          </wp:positionV>
          <wp:extent cx="1250315" cy="497205"/>
          <wp:effectExtent l="0" t="0" r="6985" b="0"/>
          <wp:wrapSquare wrapText="bothSides"/>
          <wp:docPr id="2066445853"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50315" cy="497205"/>
                  </a:xfrm>
                  <a:prstGeom prst="rect">
                    <a:avLst/>
                  </a:prstGeom>
                </pic:spPr>
              </pic:pic>
            </a:graphicData>
          </a:graphic>
        </wp:anchor>
      </w:drawing>
    </w:r>
    <w:r w:rsidRPr="00584B7A">
      <w:t xml:space="preserve"> </w:t>
    </w:r>
    <w:r w:rsidRPr="0065335B">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EDB2" w14:textId="77777777" w:rsidR="00B708B6" w:rsidRPr="001B37EE" w:rsidRDefault="00B708B6" w:rsidP="00B708B6">
    <w:pPr>
      <w:pStyle w:val="Zhlav"/>
      <w:tabs>
        <w:tab w:val="right" w:pos="9781"/>
      </w:tabs>
      <w:jc w:val="right"/>
      <w:rPr>
        <w:rFonts w:ascii="Myriad Pro" w:hAnsi="Myriad Pro" w:cs="Arial"/>
        <w:b/>
        <w:color w:val="7CB82F"/>
        <w:sz w:val="16"/>
        <w:szCs w:val="16"/>
      </w:rPr>
    </w:pPr>
    <w:r>
      <w:rPr>
        <w:rFonts w:ascii="Myriad Pro" w:hAnsi="Myriad Pro" w:cs="Arial"/>
        <w:b/>
        <w:color w:val="7CB82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8642"/>
    <w:multiLevelType w:val="hybridMultilevel"/>
    <w:tmpl w:val="CFAC70D2"/>
    <w:lvl w:ilvl="0" w:tplc="BF489C96">
      <w:start w:val="1"/>
      <w:numFmt w:val="decimal"/>
      <w:lvlText w:val="%1."/>
      <w:lvlJc w:val="left"/>
      <w:pPr>
        <w:ind w:left="720" w:hanging="360"/>
      </w:pPr>
    </w:lvl>
    <w:lvl w:ilvl="1" w:tplc="AB8CCB52">
      <w:start w:val="1"/>
      <w:numFmt w:val="lowerLetter"/>
      <w:lvlText w:val="%2."/>
      <w:lvlJc w:val="left"/>
      <w:pPr>
        <w:ind w:left="1440" w:hanging="360"/>
      </w:pPr>
    </w:lvl>
    <w:lvl w:ilvl="2" w:tplc="995846CA">
      <w:start w:val="1"/>
      <w:numFmt w:val="lowerRoman"/>
      <w:lvlText w:val="%3."/>
      <w:lvlJc w:val="right"/>
      <w:pPr>
        <w:ind w:left="2160" w:hanging="180"/>
      </w:pPr>
    </w:lvl>
    <w:lvl w:ilvl="3" w:tplc="033EAF8A">
      <w:start w:val="1"/>
      <w:numFmt w:val="decimal"/>
      <w:lvlText w:val="%4."/>
      <w:lvlJc w:val="left"/>
      <w:pPr>
        <w:ind w:left="2880" w:hanging="360"/>
      </w:pPr>
    </w:lvl>
    <w:lvl w:ilvl="4" w:tplc="D4B015D8">
      <w:start w:val="1"/>
      <w:numFmt w:val="lowerLetter"/>
      <w:lvlText w:val="%5."/>
      <w:lvlJc w:val="left"/>
      <w:pPr>
        <w:ind w:left="3600" w:hanging="360"/>
      </w:pPr>
    </w:lvl>
    <w:lvl w:ilvl="5" w:tplc="838E623A">
      <w:start w:val="1"/>
      <w:numFmt w:val="lowerRoman"/>
      <w:lvlText w:val="%6."/>
      <w:lvlJc w:val="right"/>
      <w:pPr>
        <w:ind w:left="4320" w:hanging="180"/>
      </w:pPr>
    </w:lvl>
    <w:lvl w:ilvl="6" w:tplc="AFD618F4">
      <w:start w:val="1"/>
      <w:numFmt w:val="decimal"/>
      <w:lvlText w:val="%7."/>
      <w:lvlJc w:val="left"/>
      <w:pPr>
        <w:ind w:left="5040" w:hanging="360"/>
      </w:pPr>
    </w:lvl>
    <w:lvl w:ilvl="7" w:tplc="8FAAF4E4">
      <w:start w:val="1"/>
      <w:numFmt w:val="lowerLetter"/>
      <w:lvlText w:val="%8."/>
      <w:lvlJc w:val="left"/>
      <w:pPr>
        <w:ind w:left="5760" w:hanging="360"/>
      </w:pPr>
    </w:lvl>
    <w:lvl w:ilvl="8" w:tplc="6F4E6142">
      <w:start w:val="1"/>
      <w:numFmt w:val="lowerRoman"/>
      <w:lvlText w:val="%9."/>
      <w:lvlJc w:val="right"/>
      <w:pPr>
        <w:ind w:left="6480" w:hanging="180"/>
      </w:pPr>
    </w:lvl>
  </w:abstractNum>
  <w:abstractNum w:abstractNumId="1" w15:restartNumberingAfterBreak="0">
    <w:nsid w:val="03F83DD2"/>
    <w:multiLevelType w:val="hybridMultilevel"/>
    <w:tmpl w:val="8C367E0E"/>
    <w:lvl w:ilvl="0" w:tplc="6AD4CEF4">
      <w:start w:val="1"/>
      <w:numFmt w:val="lowerLetter"/>
      <w:lvlText w:val="%1."/>
      <w:lvlJc w:val="left"/>
      <w:pPr>
        <w:ind w:left="720" w:hanging="360"/>
      </w:pPr>
    </w:lvl>
    <w:lvl w:ilvl="1" w:tplc="1298A6D4">
      <w:start w:val="1"/>
      <w:numFmt w:val="lowerLetter"/>
      <w:lvlText w:val="%2."/>
      <w:lvlJc w:val="left"/>
      <w:pPr>
        <w:ind w:left="1440" w:hanging="360"/>
      </w:pPr>
    </w:lvl>
    <w:lvl w:ilvl="2" w:tplc="A08C8730">
      <w:start w:val="1"/>
      <w:numFmt w:val="lowerRoman"/>
      <w:lvlText w:val="%3."/>
      <w:lvlJc w:val="right"/>
      <w:pPr>
        <w:ind w:left="2160" w:hanging="180"/>
      </w:pPr>
    </w:lvl>
    <w:lvl w:ilvl="3" w:tplc="DE449758">
      <w:start w:val="1"/>
      <w:numFmt w:val="decimal"/>
      <w:lvlText w:val="%4."/>
      <w:lvlJc w:val="left"/>
      <w:pPr>
        <w:ind w:left="2880" w:hanging="360"/>
      </w:pPr>
    </w:lvl>
    <w:lvl w:ilvl="4" w:tplc="97227E00">
      <w:start w:val="1"/>
      <w:numFmt w:val="lowerLetter"/>
      <w:lvlText w:val="%5."/>
      <w:lvlJc w:val="left"/>
      <w:pPr>
        <w:ind w:left="3600" w:hanging="360"/>
      </w:pPr>
    </w:lvl>
    <w:lvl w:ilvl="5" w:tplc="540EFC74">
      <w:start w:val="1"/>
      <w:numFmt w:val="lowerRoman"/>
      <w:lvlText w:val="%6."/>
      <w:lvlJc w:val="right"/>
      <w:pPr>
        <w:ind w:left="4320" w:hanging="180"/>
      </w:pPr>
    </w:lvl>
    <w:lvl w:ilvl="6" w:tplc="7EB4550C">
      <w:start w:val="1"/>
      <w:numFmt w:val="decimal"/>
      <w:lvlText w:val="%7."/>
      <w:lvlJc w:val="left"/>
      <w:pPr>
        <w:ind w:left="5040" w:hanging="360"/>
      </w:pPr>
    </w:lvl>
    <w:lvl w:ilvl="7" w:tplc="16622280">
      <w:start w:val="1"/>
      <w:numFmt w:val="lowerLetter"/>
      <w:lvlText w:val="%8."/>
      <w:lvlJc w:val="left"/>
      <w:pPr>
        <w:ind w:left="5760" w:hanging="360"/>
      </w:pPr>
    </w:lvl>
    <w:lvl w:ilvl="8" w:tplc="FB06BAC2">
      <w:start w:val="1"/>
      <w:numFmt w:val="lowerRoman"/>
      <w:lvlText w:val="%9."/>
      <w:lvlJc w:val="right"/>
      <w:pPr>
        <w:ind w:left="6480" w:hanging="180"/>
      </w:pPr>
    </w:lvl>
  </w:abstractNum>
  <w:abstractNum w:abstractNumId="2" w15:restartNumberingAfterBreak="0">
    <w:nsid w:val="053573F5"/>
    <w:multiLevelType w:val="hybridMultilevel"/>
    <w:tmpl w:val="8FDEA3F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56D530A"/>
    <w:multiLevelType w:val="hybridMultilevel"/>
    <w:tmpl w:val="894250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EE662F"/>
    <w:multiLevelType w:val="hybridMultilevel"/>
    <w:tmpl w:val="D8583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131BE2"/>
    <w:multiLevelType w:val="hybridMultilevel"/>
    <w:tmpl w:val="D20C94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DE403F"/>
    <w:multiLevelType w:val="hybridMultilevel"/>
    <w:tmpl w:val="BC30F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1E2408"/>
    <w:multiLevelType w:val="hybridMultilevel"/>
    <w:tmpl w:val="393AB4F0"/>
    <w:lvl w:ilvl="0" w:tplc="135887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FA54CE"/>
    <w:multiLevelType w:val="hybridMultilevel"/>
    <w:tmpl w:val="8662CE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69087A"/>
    <w:multiLevelType w:val="hybridMultilevel"/>
    <w:tmpl w:val="D2E08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77A1008"/>
    <w:multiLevelType w:val="hybridMultilevel"/>
    <w:tmpl w:val="6BC0245E"/>
    <w:lvl w:ilvl="0" w:tplc="12221E94">
      <w:start w:val="1"/>
      <w:numFmt w:val="low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EF86D15"/>
    <w:multiLevelType w:val="hybridMultilevel"/>
    <w:tmpl w:val="3E5CBBDE"/>
    <w:lvl w:ilvl="0" w:tplc="12221E94">
      <w:start w:val="1"/>
      <w:numFmt w:val="low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1CF64A3"/>
    <w:multiLevelType w:val="hybridMultilevel"/>
    <w:tmpl w:val="3B42B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50216D1"/>
    <w:multiLevelType w:val="hybridMultilevel"/>
    <w:tmpl w:val="BBFA1420"/>
    <w:lvl w:ilvl="0" w:tplc="4AA613EC">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45C008A9"/>
    <w:multiLevelType w:val="multilevel"/>
    <w:tmpl w:val="D42C20AA"/>
    <w:lvl w:ilvl="0">
      <w:start w:val="1"/>
      <w:numFmt w:val="decimal"/>
      <w:lvlText w:val="%1."/>
      <w:lvlJc w:val="left"/>
      <w:pPr>
        <w:ind w:left="644" w:hanging="360"/>
      </w:pPr>
      <w:rPr>
        <w:rFonts w:hint="default"/>
        <w:b/>
        <w:bCs/>
        <w:i w:val="0"/>
        <w:iCs w:val="0"/>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464F13F1"/>
    <w:multiLevelType w:val="hybridMultilevel"/>
    <w:tmpl w:val="58564CB8"/>
    <w:lvl w:ilvl="0" w:tplc="12221E94">
      <w:start w:val="1"/>
      <w:numFmt w:val="low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B234AB"/>
    <w:multiLevelType w:val="hybridMultilevel"/>
    <w:tmpl w:val="70644F0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B50B47"/>
    <w:multiLevelType w:val="hybridMultilevel"/>
    <w:tmpl w:val="A634CCBC"/>
    <w:lvl w:ilvl="0" w:tplc="A08C8730">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636448FF"/>
    <w:multiLevelType w:val="hybridMultilevel"/>
    <w:tmpl w:val="CE66DB08"/>
    <w:lvl w:ilvl="0" w:tplc="5F76BEA4">
      <w:start w:val="1"/>
      <w:numFmt w:val="lowerRoman"/>
      <w:lvlText w:val="(%1)"/>
      <w:lvlJc w:val="right"/>
      <w:pPr>
        <w:ind w:left="720" w:hanging="360"/>
      </w:pPr>
    </w:lvl>
    <w:lvl w:ilvl="1" w:tplc="2892BF72">
      <w:start w:val="1"/>
      <w:numFmt w:val="lowerLetter"/>
      <w:lvlText w:val="%2."/>
      <w:lvlJc w:val="left"/>
      <w:pPr>
        <w:ind w:left="1440" w:hanging="360"/>
      </w:pPr>
    </w:lvl>
    <w:lvl w:ilvl="2" w:tplc="05B2D34C">
      <w:start w:val="1"/>
      <w:numFmt w:val="lowerRoman"/>
      <w:lvlText w:val="%3."/>
      <w:lvlJc w:val="right"/>
      <w:pPr>
        <w:ind w:left="2160" w:hanging="180"/>
      </w:pPr>
    </w:lvl>
    <w:lvl w:ilvl="3" w:tplc="858024B4">
      <w:start w:val="1"/>
      <w:numFmt w:val="decimal"/>
      <w:lvlText w:val="%4."/>
      <w:lvlJc w:val="left"/>
      <w:pPr>
        <w:ind w:left="2880" w:hanging="360"/>
      </w:pPr>
    </w:lvl>
    <w:lvl w:ilvl="4" w:tplc="8B920836">
      <w:start w:val="1"/>
      <w:numFmt w:val="lowerLetter"/>
      <w:lvlText w:val="%5."/>
      <w:lvlJc w:val="left"/>
      <w:pPr>
        <w:ind w:left="3600" w:hanging="360"/>
      </w:pPr>
    </w:lvl>
    <w:lvl w:ilvl="5" w:tplc="838059FE">
      <w:start w:val="1"/>
      <w:numFmt w:val="lowerRoman"/>
      <w:lvlText w:val="%6."/>
      <w:lvlJc w:val="right"/>
      <w:pPr>
        <w:ind w:left="4320" w:hanging="180"/>
      </w:pPr>
    </w:lvl>
    <w:lvl w:ilvl="6" w:tplc="F9BC4202">
      <w:start w:val="1"/>
      <w:numFmt w:val="decimal"/>
      <w:lvlText w:val="%7."/>
      <w:lvlJc w:val="left"/>
      <w:pPr>
        <w:ind w:left="5040" w:hanging="360"/>
      </w:pPr>
    </w:lvl>
    <w:lvl w:ilvl="7" w:tplc="D4868EBA">
      <w:start w:val="1"/>
      <w:numFmt w:val="lowerLetter"/>
      <w:lvlText w:val="%8."/>
      <w:lvlJc w:val="left"/>
      <w:pPr>
        <w:ind w:left="5760" w:hanging="360"/>
      </w:pPr>
    </w:lvl>
    <w:lvl w:ilvl="8" w:tplc="EEF012C0">
      <w:start w:val="1"/>
      <w:numFmt w:val="lowerRoman"/>
      <w:lvlText w:val="%9."/>
      <w:lvlJc w:val="right"/>
      <w:pPr>
        <w:ind w:left="6480" w:hanging="180"/>
      </w:pPr>
    </w:lvl>
  </w:abstractNum>
  <w:abstractNum w:abstractNumId="19" w15:restartNumberingAfterBreak="0">
    <w:nsid w:val="63A50211"/>
    <w:multiLevelType w:val="hybridMultilevel"/>
    <w:tmpl w:val="C3E241B2"/>
    <w:lvl w:ilvl="0" w:tplc="12221E94">
      <w:start w:val="1"/>
      <w:numFmt w:val="low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3D52BF7"/>
    <w:multiLevelType w:val="hybridMultilevel"/>
    <w:tmpl w:val="B20C2796"/>
    <w:lvl w:ilvl="0" w:tplc="12221E94">
      <w:start w:val="1"/>
      <w:numFmt w:val="low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4CA6D41"/>
    <w:multiLevelType w:val="hybridMultilevel"/>
    <w:tmpl w:val="633C83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A202A84"/>
    <w:multiLevelType w:val="hybridMultilevel"/>
    <w:tmpl w:val="7C6A5A86"/>
    <w:lvl w:ilvl="0" w:tplc="05B2D34C">
      <w:start w:val="1"/>
      <w:numFmt w:val="low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E92189F"/>
    <w:multiLevelType w:val="hybridMultilevel"/>
    <w:tmpl w:val="5F84A6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0F2323C"/>
    <w:multiLevelType w:val="multilevel"/>
    <w:tmpl w:val="60C86664"/>
    <w:lvl w:ilvl="0">
      <w:start w:val="1"/>
      <w:numFmt w:val="decimal"/>
      <w:pStyle w:val="Nadpis1"/>
      <w:lvlText w:val="%1"/>
      <w:lvlJc w:val="left"/>
      <w:pPr>
        <w:ind w:left="432" w:hanging="432"/>
      </w:pPr>
    </w:lvl>
    <w:lvl w:ilvl="1">
      <w:start w:val="1"/>
      <w:numFmt w:val="decimal"/>
      <w:pStyle w:val="Nadpis2"/>
      <w:lvlText w:val="%1.%2"/>
      <w:lvlJc w:val="left"/>
      <w:pPr>
        <w:ind w:left="1002" w:hanging="576"/>
      </w:pPr>
      <w:rPr>
        <w:specVanish w:val="0"/>
      </w:r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72B43DD6"/>
    <w:multiLevelType w:val="hybridMultilevel"/>
    <w:tmpl w:val="E60CE6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7665919B"/>
    <w:multiLevelType w:val="hybridMultilevel"/>
    <w:tmpl w:val="7AD492C8"/>
    <w:lvl w:ilvl="0" w:tplc="6D3298AC">
      <w:start w:val="1"/>
      <w:numFmt w:val="bullet"/>
      <w:lvlText w:val="-"/>
      <w:lvlJc w:val="left"/>
      <w:pPr>
        <w:ind w:left="720" w:hanging="360"/>
      </w:pPr>
      <w:rPr>
        <w:rFonts w:ascii="Calibri" w:hAnsi="Calibri" w:hint="default"/>
      </w:rPr>
    </w:lvl>
    <w:lvl w:ilvl="1" w:tplc="7A78BC00">
      <w:start w:val="1"/>
      <w:numFmt w:val="bullet"/>
      <w:lvlText w:val="o"/>
      <w:lvlJc w:val="left"/>
      <w:pPr>
        <w:ind w:left="1440" w:hanging="360"/>
      </w:pPr>
      <w:rPr>
        <w:rFonts w:ascii="Courier New" w:hAnsi="Courier New" w:hint="default"/>
      </w:rPr>
    </w:lvl>
    <w:lvl w:ilvl="2" w:tplc="CA721F9A">
      <w:start w:val="1"/>
      <w:numFmt w:val="bullet"/>
      <w:lvlText w:val=""/>
      <w:lvlJc w:val="left"/>
      <w:pPr>
        <w:ind w:left="2160" w:hanging="360"/>
      </w:pPr>
      <w:rPr>
        <w:rFonts w:ascii="Wingdings" w:hAnsi="Wingdings" w:hint="default"/>
      </w:rPr>
    </w:lvl>
    <w:lvl w:ilvl="3" w:tplc="C31C9A56">
      <w:start w:val="1"/>
      <w:numFmt w:val="bullet"/>
      <w:lvlText w:val=""/>
      <w:lvlJc w:val="left"/>
      <w:pPr>
        <w:ind w:left="2880" w:hanging="360"/>
      </w:pPr>
      <w:rPr>
        <w:rFonts w:ascii="Symbol" w:hAnsi="Symbol" w:hint="default"/>
      </w:rPr>
    </w:lvl>
    <w:lvl w:ilvl="4" w:tplc="48D81E9C">
      <w:start w:val="1"/>
      <w:numFmt w:val="bullet"/>
      <w:lvlText w:val="o"/>
      <w:lvlJc w:val="left"/>
      <w:pPr>
        <w:ind w:left="3600" w:hanging="360"/>
      </w:pPr>
      <w:rPr>
        <w:rFonts w:ascii="Courier New" w:hAnsi="Courier New" w:hint="default"/>
      </w:rPr>
    </w:lvl>
    <w:lvl w:ilvl="5" w:tplc="8FBED596">
      <w:start w:val="1"/>
      <w:numFmt w:val="bullet"/>
      <w:lvlText w:val=""/>
      <w:lvlJc w:val="left"/>
      <w:pPr>
        <w:ind w:left="4320" w:hanging="360"/>
      </w:pPr>
      <w:rPr>
        <w:rFonts w:ascii="Wingdings" w:hAnsi="Wingdings" w:hint="default"/>
      </w:rPr>
    </w:lvl>
    <w:lvl w:ilvl="6" w:tplc="7A3249AA">
      <w:start w:val="1"/>
      <w:numFmt w:val="bullet"/>
      <w:lvlText w:val=""/>
      <w:lvlJc w:val="left"/>
      <w:pPr>
        <w:ind w:left="5040" w:hanging="360"/>
      </w:pPr>
      <w:rPr>
        <w:rFonts w:ascii="Symbol" w:hAnsi="Symbol" w:hint="default"/>
      </w:rPr>
    </w:lvl>
    <w:lvl w:ilvl="7" w:tplc="8ACE8504">
      <w:start w:val="1"/>
      <w:numFmt w:val="bullet"/>
      <w:lvlText w:val="o"/>
      <w:lvlJc w:val="left"/>
      <w:pPr>
        <w:ind w:left="5760" w:hanging="360"/>
      </w:pPr>
      <w:rPr>
        <w:rFonts w:ascii="Courier New" w:hAnsi="Courier New" w:hint="default"/>
      </w:rPr>
    </w:lvl>
    <w:lvl w:ilvl="8" w:tplc="84D0A32A">
      <w:start w:val="1"/>
      <w:numFmt w:val="bullet"/>
      <w:lvlText w:val=""/>
      <w:lvlJc w:val="left"/>
      <w:pPr>
        <w:ind w:left="6480" w:hanging="360"/>
      </w:pPr>
      <w:rPr>
        <w:rFonts w:ascii="Wingdings" w:hAnsi="Wingdings" w:hint="default"/>
      </w:rPr>
    </w:lvl>
  </w:abstractNum>
  <w:abstractNum w:abstractNumId="27" w15:restartNumberingAfterBreak="0">
    <w:nsid w:val="7B595513"/>
    <w:multiLevelType w:val="hybridMultilevel"/>
    <w:tmpl w:val="0796496C"/>
    <w:lvl w:ilvl="0" w:tplc="12221E94">
      <w:start w:val="1"/>
      <w:numFmt w:val="low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1"/>
  </w:num>
  <w:num w:numId="3">
    <w:abstractNumId w:val="0"/>
  </w:num>
  <w:num w:numId="4">
    <w:abstractNumId w:val="18"/>
  </w:num>
  <w:num w:numId="5">
    <w:abstractNumId w:val="14"/>
  </w:num>
  <w:num w:numId="6">
    <w:abstractNumId w:val="24"/>
  </w:num>
  <w:num w:numId="7">
    <w:abstractNumId w:val="20"/>
  </w:num>
  <w:num w:numId="8">
    <w:abstractNumId w:val="11"/>
  </w:num>
  <w:num w:numId="9">
    <w:abstractNumId w:val="15"/>
  </w:num>
  <w:num w:numId="10">
    <w:abstractNumId w:val="9"/>
  </w:num>
  <w:num w:numId="11">
    <w:abstractNumId w:val="3"/>
  </w:num>
  <w:num w:numId="12">
    <w:abstractNumId w:val="17"/>
  </w:num>
  <w:num w:numId="13">
    <w:abstractNumId w:val="16"/>
  </w:num>
  <w:num w:numId="14">
    <w:abstractNumId w:val="21"/>
  </w:num>
  <w:num w:numId="15">
    <w:abstractNumId w:val="2"/>
  </w:num>
  <w:num w:numId="16">
    <w:abstractNumId w:val="6"/>
  </w:num>
  <w:num w:numId="17">
    <w:abstractNumId w:val="25"/>
  </w:num>
  <w:num w:numId="18">
    <w:abstractNumId w:val="27"/>
  </w:num>
  <w:num w:numId="19">
    <w:abstractNumId w:val="8"/>
  </w:num>
  <w:num w:numId="20">
    <w:abstractNumId w:val="5"/>
  </w:num>
  <w:num w:numId="21">
    <w:abstractNumId w:val="12"/>
  </w:num>
  <w:num w:numId="22">
    <w:abstractNumId w:val="7"/>
  </w:num>
  <w:num w:numId="23">
    <w:abstractNumId w:val="4"/>
  </w:num>
  <w:num w:numId="24">
    <w:abstractNumId w:val="19"/>
  </w:num>
  <w:num w:numId="25">
    <w:abstractNumId w:val="10"/>
  </w:num>
  <w:num w:numId="26">
    <w:abstractNumId w:val="23"/>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2"/>
    <w:rsid w:val="00006FFC"/>
    <w:rsid w:val="00027369"/>
    <w:rsid w:val="000277DD"/>
    <w:rsid w:val="00035D18"/>
    <w:rsid w:val="000420C4"/>
    <w:rsid w:val="000657F6"/>
    <w:rsid w:val="00065CC0"/>
    <w:rsid w:val="0007459A"/>
    <w:rsid w:val="00081AA1"/>
    <w:rsid w:val="00083789"/>
    <w:rsid w:val="00087976"/>
    <w:rsid w:val="000B4A82"/>
    <w:rsid w:val="000C47F7"/>
    <w:rsid w:val="000D4D66"/>
    <w:rsid w:val="000E205F"/>
    <w:rsid w:val="000E5D23"/>
    <w:rsid w:val="000F7C2C"/>
    <w:rsid w:val="001028B6"/>
    <w:rsid w:val="00105662"/>
    <w:rsid w:val="00106F4D"/>
    <w:rsid w:val="00116796"/>
    <w:rsid w:val="00117D76"/>
    <w:rsid w:val="00117DBA"/>
    <w:rsid w:val="00136E1B"/>
    <w:rsid w:val="00147775"/>
    <w:rsid w:val="00156CF4"/>
    <w:rsid w:val="0016417E"/>
    <w:rsid w:val="00176EAF"/>
    <w:rsid w:val="00186C21"/>
    <w:rsid w:val="001871D3"/>
    <w:rsid w:val="001A4210"/>
    <w:rsid w:val="001B0D24"/>
    <w:rsid w:val="001B3B76"/>
    <w:rsid w:val="001C1411"/>
    <w:rsid w:val="001D7AEE"/>
    <w:rsid w:val="001D7CA0"/>
    <w:rsid w:val="001F1573"/>
    <w:rsid w:val="001F3974"/>
    <w:rsid w:val="001F4D8F"/>
    <w:rsid w:val="001F5A68"/>
    <w:rsid w:val="0020325D"/>
    <w:rsid w:val="00214CA3"/>
    <w:rsid w:val="002215AC"/>
    <w:rsid w:val="00246212"/>
    <w:rsid w:val="00256E69"/>
    <w:rsid w:val="00261126"/>
    <w:rsid w:val="00262F20"/>
    <w:rsid w:val="00264607"/>
    <w:rsid w:val="00270C5E"/>
    <w:rsid w:val="00272EFB"/>
    <w:rsid w:val="002900C9"/>
    <w:rsid w:val="002B34F8"/>
    <w:rsid w:val="002B4AFC"/>
    <w:rsid w:val="002D7469"/>
    <w:rsid w:val="002E212E"/>
    <w:rsid w:val="002E489F"/>
    <w:rsid w:val="002E64FD"/>
    <w:rsid w:val="002F17CA"/>
    <w:rsid w:val="00313BF8"/>
    <w:rsid w:val="003200F0"/>
    <w:rsid w:val="00321237"/>
    <w:rsid w:val="0033001C"/>
    <w:rsid w:val="003309F1"/>
    <w:rsid w:val="003377D7"/>
    <w:rsid w:val="003400E7"/>
    <w:rsid w:val="003416C4"/>
    <w:rsid w:val="00345110"/>
    <w:rsid w:val="003518CC"/>
    <w:rsid w:val="00360F68"/>
    <w:rsid w:val="0039042B"/>
    <w:rsid w:val="00391D58"/>
    <w:rsid w:val="00393F77"/>
    <w:rsid w:val="003A1FE3"/>
    <w:rsid w:val="003A46A1"/>
    <w:rsid w:val="003A4BAF"/>
    <w:rsid w:val="003C460B"/>
    <w:rsid w:val="003C4B0D"/>
    <w:rsid w:val="003D0DDC"/>
    <w:rsid w:val="003D59FF"/>
    <w:rsid w:val="003E2449"/>
    <w:rsid w:val="003F7621"/>
    <w:rsid w:val="003F77A4"/>
    <w:rsid w:val="00426078"/>
    <w:rsid w:val="00432C51"/>
    <w:rsid w:val="00441BF0"/>
    <w:rsid w:val="004506AF"/>
    <w:rsid w:val="0045672D"/>
    <w:rsid w:val="00482ED0"/>
    <w:rsid w:val="004876D5"/>
    <w:rsid w:val="004A5B69"/>
    <w:rsid w:val="004B3220"/>
    <w:rsid w:val="004B57D7"/>
    <w:rsid w:val="004D1621"/>
    <w:rsid w:val="004E1E9B"/>
    <w:rsid w:val="004E2CF8"/>
    <w:rsid w:val="004F0032"/>
    <w:rsid w:val="00502086"/>
    <w:rsid w:val="00505B61"/>
    <w:rsid w:val="00510135"/>
    <w:rsid w:val="00517417"/>
    <w:rsid w:val="0053789A"/>
    <w:rsid w:val="00545505"/>
    <w:rsid w:val="00551E3D"/>
    <w:rsid w:val="00553D32"/>
    <w:rsid w:val="0056025C"/>
    <w:rsid w:val="00563113"/>
    <w:rsid w:val="00563371"/>
    <w:rsid w:val="0056517F"/>
    <w:rsid w:val="00572A7D"/>
    <w:rsid w:val="00572E34"/>
    <w:rsid w:val="00576E4B"/>
    <w:rsid w:val="00581D16"/>
    <w:rsid w:val="00596617"/>
    <w:rsid w:val="005A0A9A"/>
    <w:rsid w:val="005A3212"/>
    <w:rsid w:val="005A5513"/>
    <w:rsid w:val="005A6DE2"/>
    <w:rsid w:val="005B132F"/>
    <w:rsid w:val="005B13AA"/>
    <w:rsid w:val="005C03A7"/>
    <w:rsid w:val="005C682C"/>
    <w:rsid w:val="005D5221"/>
    <w:rsid w:val="005E29E4"/>
    <w:rsid w:val="005F1E64"/>
    <w:rsid w:val="006001D7"/>
    <w:rsid w:val="0060107B"/>
    <w:rsid w:val="006045E3"/>
    <w:rsid w:val="00613224"/>
    <w:rsid w:val="00617C3E"/>
    <w:rsid w:val="00617D70"/>
    <w:rsid w:val="00624455"/>
    <w:rsid w:val="00624DF1"/>
    <w:rsid w:val="0063588C"/>
    <w:rsid w:val="006445B4"/>
    <w:rsid w:val="00651EEA"/>
    <w:rsid w:val="00660505"/>
    <w:rsid w:val="0066182B"/>
    <w:rsid w:val="006647B8"/>
    <w:rsid w:val="00674410"/>
    <w:rsid w:val="006771F6"/>
    <w:rsid w:val="00680E1D"/>
    <w:rsid w:val="006957AD"/>
    <w:rsid w:val="006959D0"/>
    <w:rsid w:val="006976EB"/>
    <w:rsid w:val="006A4EC1"/>
    <w:rsid w:val="006C1A17"/>
    <w:rsid w:val="006C62AC"/>
    <w:rsid w:val="006C67E3"/>
    <w:rsid w:val="006D02F7"/>
    <w:rsid w:val="006D7FF8"/>
    <w:rsid w:val="006E0F89"/>
    <w:rsid w:val="00701766"/>
    <w:rsid w:val="00714CE4"/>
    <w:rsid w:val="0073301F"/>
    <w:rsid w:val="00734C1C"/>
    <w:rsid w:val="00753D69"/>
    <w:rsid w:val="00776164"/>
    <w:rsid w:val="00793BCE"/>
    <w:rsid w:val="007951FB"/>
    <w:rsid w:val="007A1F36"/>
    <w:rsid w:val="007B12CF"/>
    <w:rsid w:val="007B34A3"/>
    <w:rsid w:val="007B6009"/>
    <w:rsid w:val="007B6021"/>
    <w:rsid w:val="007C58FA"/>
    <w:rsid w:val="007C6E57"/>
    <w:rsid w:val="007D3A98"/>
    <w:rsid w:val="007E2170"/>
    <w:rsid w:val="007E2CFC"/>
    <w:rsid w:val="007E75C3"/>
    <w:rsid w:val="00804C1C"/>
    <w:rsid w:val="008113C3"/>
    <w:rsid w:val="008151B0"/>
    <w:rsid w:val="00816194"/>
    <w:rsid w:val="0081707F"/>
    <w:rsid w:val="008272BD"/>
    <w:rsid w:val="00836829"/>
    <w:rsid w:val="008438E5"/>
    <w:rsid w:val="00845386"/>
    <w:rsid w:val="008629B0"/>
    <w:rsid w:val="00862B6B"/>
    <w:rsid w:val="008667E3"/>
    <w:rsid w:val="00866CC4"/>
    <w:rsid w:val="00875126"/>
    <w:rsid w:val="00894B2E"/>
    <w:rsid w:val="008B61A7"/>
    <w:rsid w:val="008C2B05"/>
    <w:rsid w:val="008E5C1B"/>
    <w:rsid w:val="008E60B9"/>
    <w:rsid w:val="00912824"/>
    <w:rsid w:val="00915DA3"/>
    <w:rsid w:val="00915F59"/>
    <w:rsid w:val="0092117F"/>
    <w:rsid w:val="009227BB"/>
    <w:rsid w:val="009367C6"/>
    <w:rsid w:val="009415BB"/>
    <w:rsid w:val="0094799E"/>
    <w:rsid w:val="00951E82"/>
    <w:rsid w:val="00962CDE"/>
    <w:rsid w:val="00963809"/>
    <w:rsid w:val="00970676"/>
    <w:rsid w:val="00975C4D"/>
    <w:rsid w:val="0098F53A"/>
    <w:rsid w:val="0099089E"/>
    <w:rsid w:val="0099219C"/>
    <w:rsid w:val="00994895"/>
    <w:rsid w:val="00994927"/>
    <w:rsid w:val="009A7B2C"/>
    <w:rsid w:val="009C31BD"/>
    <w:rsid w:val="009C4605"/>
    <w:rsid w:val="009E6E98"/>
    <w:rsid w:val="009E71FA"/>
    <w:rsid w:val="00A00813"/>
    <w:rsid w:val="00A01DC0"/>
    <w:rsid w:val="00A14567"/>
    <w:rsid w:val="00A15DCD"/>
    <w:rsid w:val="00A259D2"/>
    <w:rsid w:val="00A266F2"/>
    <w:rsid w:val="00A41856"/>
    <w:rsid w:val="00A43735"/>
    <w:rsid w:val="00A454DC"/>
    <w:rsid w:val="00A60D85"/>
    <w:rsid w:val="00A70FD2"/>
    <w:rsid w:val="00A87D17"/>
    <w:rsid w:val="00A918B0"/>
    <w:rsid w:val="00A96645"/>
    <w:rsid w:val="00A96A85"/>
    <w:rsid w:val="00AA154B"/>
    <w:rsid w:val="00AA413C"/>
    <w:rsid w:val="00AA561F"/>
    <w:rsid w:val="00AB2DA8"/>
    <w:rsid w:val="00AB300D"/>
    <w:rsid w:val="00AB466F"/>
    <w:rsid w:val="00AC55C8"/>
    <w:rsid w:val="00AC6D35"/>
    <w:rsid w:val="00AD3599"/>
    <w:rsid w:val="00AF0515"/>
    <w:rsid w:val="00AF25BF"/>
    <w:rsid w:val="00B010B2"/>
    <w:rsid w:val="00B06460"/>
    <w:rsid w:val="00B206E9"/>
    <w:rsid w:val="00B22745"/>
    <w:rsid w:val="00B303F2"/>
    <w:rsid w:val="00B55501"/>
    <w:rsid w:val="00B573CB"/>
    <w:rsid w:val="00B6336F"/>
    <w:rsid w:val="00B65BB7"/>
    <w:rsid w:val="00B67935"/>
    <w:rsid w:val="00B708B6"/>
    <w:rsid w:val="00B742D7"/>
    <w:rsid w:val="00BA210A"/>
    <w:rsid w:val="00BA2337"/>
    <w:rsid w:val="00BA5A11"/>
    <w:rsid w:val="00BB0E29"/>
    <w:rsid w:val="00BB28FE"/>
    <w:rsid w:val="00BB2F71"/>
    <w:rsid w:val="00BB35F1"/>
    <w:rsid w:val="00BB3D83"/>
    <w:rsid w:val="00BB4923"/>
    <w:rsid w:val="00BC3D45"/>
    <w:rsid w:val="00BC459C"/>
    <w:rsid w:val="00BE0C00"/>
    <w:rsid w:val="00BF4D2B"/>
    <w:rsid w:val="00C00DE3"/>
    <w:rsid w:val="00C024F1"/>
    <w:rsid w:val="00C10597"/>
    <w:rsid w:val="00C24943"/>
    <w:rsid w:val="00C3554F"/>
    <w:rsid w:val="00C44569"/>
    <w:rsid w:val="00C57A72"/>
    <w:rsid w:val="00C62C19"/>
    <w:rsid w:val="00C74149"/>
    <w:rsid w:val="00C8649E"/>
    <w:rsid w:val="00CA0589"/>
    <w:rsid w:val="00CA1F5B"/>
    <w:rsid w:val="00CA242C"/>
    <w:rsid w:val="00CE33BF"/>
    <w:rsid w:val="00CE360A"/>
    <w:rsid w:val="00CF2035"/>
    <w:rsid w:val="00D0053E"/>
    <w:rsid w:val="00D01B7B"/>
    <w:rsid w:val="00D02C17"/>
    <w:rsid w:val="00D1321D"/>
    <w:rsid w:val="00D209CE"/>
    <w:rsid w:val="00D23C77"/>
    <w:rsid w:val="00D2560E"/>
    <w:rsid w:val="00D40B66"/>
    <w:rsid w:val="00D40CC2"/>
    <w:rsid w:val="00D40D8D"/>
    <w:rsid w:val="00D447C5"/>
    <w:rsid w:val="00D57137"/>
    <w:rsid w:val="00D613BC"/>
    <w:rsid w:val="00D6391D"/>
    <w:rsid w:val="00D72DD8"/>
    <w:rsid w:val="00D86E4F"/>
    <w:rsid w:val="00D92AE1"/>
    <w:rsid w:val="00DA101F"/>
    <w:rsid w:val="00DC4392"/>
    <w:rsid w:val="00DC7E19"/>
    <w:rsid w:val="00DD014E"/>
    <w:rsid w:val="00DD16EE"/>
    <w:rsid w:val="00DD3345"/>
    <w:rsid w:val="00DE765A"/>
    <w:rsid w:val="00DF18DA"/>
    <w:rsid w:val="00DF38CF"/>
    <w:rsid w:val="00E05C87"/>
    <w:rsid w:val="00E14859"/>
    <w:rsid w:val="00E16003"/>
    <w:rsid w:val="00E2580F"/>
    <w:rsid w:val="00E27610"/>
    <w:rsid w:val="00E334AA"/>
    <w:rsid w:val="00E34CA4"/>
    <w:rsid w:val="00E43042"/>
    <w:rsid w:val="00E55CEE"/>
    <w:rsid w:val="00E57BB3"/>
    <w:rsid w:val="00E57E0C"/>
    <w:rsid w:val="00E641F7"/>
    <w:rsid w:val="00E756D9"/>
    <w:rsid w:val="00E81BDB"/>
    <w:rsid w:val="00E95B50"/>
    <w:rsid w:val="00EA0D7A"/>
    <w:rsid w:val="00EA42DB"/>
    <w:rsid w:val="00EA5376"/>
    <w:rsid w:val="00EB43B6"/>
    <w:rsid w:val="00EC141E"/>
    <w:rsid w:val="00EC40E8"/>
    <w:rsid w:val="00ED1FA8"/>
    <w:rsid w:val="00EE1C33"/>
    <w:rsid w:val="00EE6002"/>
    <w:rsid w:val="00EF2DEE"/>
    <w:rsid w:val="00F037DB"/>
    <w:rsid w:val="00F07413"/>
    <w:rsid w:val="00F15EA7"/>
    <w:rsid w:val="00F226AD"/>
    <w:rsid w:val="00F23150"/>
    <w:rsid w:val="00F25119"/>
    <w:rsid w:val="00F4059E"/>
    <w:rsid w:val="00F571BE"/>
    <w:rsid w:val="00F66E18"/>
    <w:rsid w:val="00F74B6D"/>
    <w:rsid w:val="00F75D9F"/>
    <w:rsid w:val="00F86507"/>
    <w:rsid w:val="00F95E86"/>
    <w:rsid w:val="00FA3C9D"/>
    <w:rsid w:val="00FA4866"/>
    <w:rsid w:val="00FD2B25"/>
    <w:rsid w:val="00FE1117"/>
    <w:rsid w:val="01599930"/>
    <w:rsid w:val="02387FA7"/>
    <w:rsid w:val="02A1208D"/>
    <w:rsid w:val="02B1B180"/>
    <w:rsid w:val="0336BD7D"/>
    <w:rsid w:val="033918A1"/>
    <w:rsid w:val="03784281"/>
    <w:rsid w:val="0405C7C7"/>
    <w:rsid w:val="042DFE01"/>
    <w:rsid w:val="042F3400"/>
    <w:rsid w:val="045409BF"/>
    <w:rsid w:val="0495D3CB"/>
    <w:rsid w:val="04AF240E"/>
    <w:rsid w:val="052730C7"/>
    <w:rsid w:val="05701C41"/>
    <w:rsid w:val="057717F2"/>
    <w:rsid w:val="065F5B19"/>
    <w:rsid w:val="066FAC3F"/>
    <w:rsid w:val="0697D600"/>
    <w:rsid w:val="06D145B8"/>
    <w:rsid w:val="06E5122F"/>
    <w:rsid w:val="0761DF7E"/>
    <w:rsid w:val="07659EC3"/>
    <w:rsid w:val="07C066C7"/>
    <w:rsid w:val="07E9587A"/>
    <w:rsid w:val="07F4C515"/>
    <w:rsid w:val="08353D14"/>
    <w:rsid w:val="0870E5E1"/>
    <w:rsid w:val="0907B6F1"/>
    <w:rsid w:val="093050A4"/>
    <w:rsid w:val="0968EF71"/>
    <w:rsid w:val="09750301"/>
    <w:rsid w:val="09919C8D"/>
    <w:rsid w:val="099540B5"/>
    <w:rsid w:val="09A39E70"/>
    <w:rsid w:val="0B2D6CEE"/>
    <w:rsid w:val="0B5355F0"/>
    <w:rsid w:val="0B91C83C"/>
    <w:rsid w:val="0C183385"/>
    <w:rsid w:val="0C33E596"/>
    <w:rsid w:val="0C399DB6"/>
    <w:rsid w:val="0C99C780"/>
    <w:rsid w:val="0CB1BB62"/>
    <w:rsid w:val="0CB64589"/>
    <w:rsid w:val="0CC93D4F"/>
    <w:rsid w:val="0D467D73"/>
    <w:rsid w:val="0D59894A"/>
    <w:rsid w:val="0D5C279E"/>
    <w:rsid w:val="0D7AF8C8"/>
    <w:rsid w:val="0DFA191C"/>
    <w:rsid w:val="0E13D439"/>
    <w:rsid w:val="0E22FC18"/>
    <w:rsid w:val="0E650DB0"/>
    <w:rsid w:val="0ECBD0C2"/>
    <w:rsid w:val="0F373B89"/>
    <w:rsid w:val="0F60DB96"/>
    <w:rsid w:val="0FD72216"/>
    <w:rsid w:val="0FEA3E9B"/>
    <w:rsid w:val="1000DE11"/>
    <w:rsid w:val="102B82DC"/>
    <w:rsid w:val="10593E64"/>
    <w:rsid w:val="108D7052"/>
    <w:rsid w:val="10938B20"/>
    <w:rsid w:val="10B62EC0"/>
    <w:rsid w:val="10EFF6B9"/>
    <w:rsid w:val="10F07AA1"/>
    <w:rsid w:val="1130E349"/>
    <w:rsid w:val="122F463F"/>
    <w:rsid w:val="12331B27"/>
    <w:rsid w:val="12799994"/>
    <w:rsid w:val="1291C546"/>
    <w:rsid w:val="12AE7D64"/>
    <w:rsid w:val="1309C930"/>
    <w:rsid w:val="130EC2D8"/>
    <w:rsid w:val="13268865"/>
    <w:rsid w:val="1375A37D"/>
    <w:rsid w:val="13909EB8"/>
    <w:rsid w:val="1399AA54"/>
    <w:rsid w:val="13C16BC0"/>
    <w:rsid w:val="145B00DE"/>
    <w:rsid w:val="14AA9339"/>
    <w:rsid w:val="14C09468"/>
    <w:rsid w:val="14CB23C9"/>
    <w:rsid w:val="14D335EF"/>
    <w:rsid w:val="15649B2F"/>
    <w:rsid w:val="1569FB07"/>
    <w:rsid w:val="1577377F"/>
    <w:rsid w:val="15CC288F"/>
    <w:rsid w:val="1617F12A"/>
    <w:rsid w:val="1624AD31"/>
    <w:rsid w:val="16286189"/>
    <w:rsid w:val="163BD19E"/>
    <w:rsid w:val="1705CB68"/>
    <w:rsid w:val="17154359"/>
    <w:rsid w:val="17D26085"/>
    <w:rsid w:val="17DEDECE"/>
    <w:rsid w:val="182DD106"/>
    <w:rsid w:val="18444517"/>
    <w:rsid w:val="18CD0DAA"/>
    <w:rsid w:val="1901C877"/>
    <w:rsid w:val="1902C6B7"/>
    <w:rsid w:val="1968B846"/>
    <w:rsid w:val="197E045C"/>
    <w:rsid w:val="1991B8F7"/>
    <w:rsid w:val="19D10346"/>
    <w:rsid w:val="1A0D97B8"/>
    <w:rsid w:val="1A4CF258"/>
    <w:rsid w:val="1A72E543"/>
    <w:rsid w:val="1AED671E"/>
    <w:rsid w:val="1AFAF677"/>
    <w:rsid w:val="1B184792"/>
    <w:rsid w:val="1BB84BC0"/>
    <w:rsid w:val="1BC478A2"/>
    <w:rsid w:val="1BC9DA49"/>
    <w:rsid w:val="1BFF96B2"/>
    <w:rsid w:val="1C2A12F2"/>
    <w:rsid w:val="1CAABD8F"/>
    <w:rsid w:val="1D722A04"/>
    <w:rsid w:val="1D7B896B"/>
    <w:rsid w:val="1D7DFE26"/>
    <w:rsid w:val="1D81A9DC"/>
    <w:rsid w:val="1DA9F65B"/>
    <w:rsid w:val="1E4E1062"/>
    <w:rsid w:val="1E51AB3D"/>
    <w:rsid w:val="1ED90678"/>
    <w:rsid w:val="1F180286"/>
    <w:rsid w:val="1F1A7C41"/>
    <w:rsid w:val="1F2963B1"/>
    <w:rsid w:val="1F648230"/>
    <w:rsid w:val="1F9D3238"/>
    <w:rsid w:val="1FBD371E"/>
    <w:rsid w:val="1FC52161"/>
    <w:rsid w:val="1FD74450"/>
    <w:rsid w:val="1FE863DD"/>
    <w:rsid w:val="202A89D2"/>
    <w:rsid w:val="202D3F0B"/>
    <w:rsid w:val="20562A1B"/>
    <w:rsid w:val="20614D42"/>
    <w:rsid w:val="2066F331"/>
    <w:rsid w:val="20B59EE8"/>
    <w:rsid w:val="20DF2B90"/>
    <w:rsid w:val="20E522EE"/>
    <w:rsid w:val="21039E54"/>
    <w:rsid w:val="21D0BEBB"/>
    <w:rsid w:val="21FD3F69"/>
    <w:rsid w:val="22F6722F"/>
    <w:rsid w:val="23053E13"/>
    <w:rsid w:val="232CD428"/>
    <w:rsid w:val="23300844"/>
    <w:rsid w:val="238FF8F8"/>
    <w:rsid w:val="23C5C63B"/>
    <w:rsid w:val="2405223C"/>
    <w:rsid w:val="2426F392"/>
    <w:rsid w:val="2488B060"/>
    <w:rsid w:val="249C67A9"/>
    <w:rsid w:val="24B602C6"/>
    <w:rsid w:val="24B9892E"/>
    <w:rsid w:val="253642DC"/>
    <w:rsid w:val="2554897A"/>
    <w:rsid w:val="25591B6E"/>
    <w:rsid w:val="2595760A"/>
    <w:rsid w:val="25A69568"/>
    <w:rsid w:val="25A7C257"/>
    <w:rsid w:val="26B1B866"/>
    <w:rsid w:val="26B74F15"/>
    <w:rsid w:val="270C3F62"/>
    <w:rsid w:val="2726DF4E"/>
    <w:rsid w:val="273A2CF5"/>
    <w:rsid w:val="27810A90"/>
    <w:rsid w:val="2799F6EB"/>
    <w:rsid w:val="279EEFBE"/>
    <w:rsid w:val="2814FA2C"/>
    <w:rsid w:val="28162EA4"/>
    <w:rsid w:val="283EDFF9"/>
    <w:rsid w:val="291D09B1"/>
    <w:rsid w:val="299C0119"/>
    <w:rsid w:val="29AF3868"/>
    <w:rsid w:val="2A5B3B63"/>
    <w:rsid w:val="2A5D98B8"/>
    <w:rsid w:val="2A9056CB"/>
    <w:rsid w:val="2AFAD888"/>
    <w:rsid w:val="2B37E60D"/>
    <w:rsid w:val="2B7F606A"/>
    <w:rsid w:val="2BA4AF7F"/>
    <w:rsid w:val="2CD3A1DB"/>
    <w:rsid w:val="2D0D683C"/>
    <w:rsid w:val="2D3891ED"/>
    <w:rsid w:val="2DD2DDA1"/>
    <w:rsid w:val="2DE017F2"/>
    <w:rsid w:val="2E3FBB4C"/>
    <w:rsid w:val="2EA7EB87"/>
    <w:rsid w:val="2EA9389D"/>
    <w:rsid w:val="2F19C2D6"/>
    <w:rsid w:val="2F47DF45"/>
    <w:rsid w:val="2F84BC9D"/>
    <w:rsid w:val="2FAA39E2"/>
    <w:rsid w:val="2FDE3AE7"/>
    <w:rsid w:val="301BA199"/>
    <w:rsid w:val="301D4AAE"/>
    <w:rsid w:val="3024E657"/>
    <w:rsid w:val="302D98B2"/>
    <w:rsid w:val="307032AF"/>
    <w:rsid w:val="30C65FAA"/>
    <w:rsid w:val="3102520E"/>
    <w:rsid w:val="318A0811"/>
    <w:rsid w:val="31A578C8"/>
    <w:rsid w:val="31FF15E5"/>
    <w:rsid w:val="320129E2"/>
    <w:rsid w:val="32113F29"/>
    <w:rsid w:val="3221B9E5"/>
    <w:rsid w:val="3232DBEE"/>
    <w:rsid w:val="3285AA24"/>
    <w:rsid w:val="328FD5D0"/>
    <w:rsid w:val="32B08611"/>
    <w:rsid w:val="32DA888F"/>
    <w:rsid w:val="3301659A"/>
    <w:rsid w:val="331B1CDF"/>
    <w:rsid w:val="337CA9C0"/>
    <w:rsid w:val="33A0F575"/>
    <w:rsid w:val="3428F76B"/>
    <w:rsid w:val="345E0C1B"/>
    <w:rsid w:val="34655191"/>
    <w:rsid w:val="34B4BEC1"/>
    <w:rsid w:val="34B8C4E5"/>
    <w:rsid w:val="34C1EBC9"/>
    <w:rsid w:val="34DDFE0A"/>
    <w:rsid w:val="365F9907"/>
    <w:rsid w:val="36AFF44A"/>
    <w:rsid w:val="37152B1A"/>
    <w:rsid w:val="371B784D"/>
    <w:rsid w:val="376346F3"/>
    <w:rsid w:val="3767B75E"/>
    <w:rsid w:val="3790412A"/>
    <w:rsid w:val="37C59424"/>
    <w:rsid w:val="37E11FAC"/>
    <w:rsid w:val="37F93E38"/>
    <w:rsid w:val="380C0F2C"/>
    <w:rsid w:val="38118712"/>
    <w:rsid w:val="38498CD7"/>
    <w:rsid w:val="385426A9"/>
    <w:rsid w:val="3899A654"/>
    <w:rsid w:val="38B96D59"/>
    <w:rsid w:val="3901990A"/>
    <w:rsid w:val="3A469CA4"/>
    <w:rsid w:val="3A559E2D"/>
    <w:rsid w:val="3A800483"/>
    <w:rsid w:val="3A8311D6"/>
    <w:rsid w:val="3AE09BCB"/>
    <w:rsid w:val="3AFA725F"/>
    <w:rsid w:val="3B77D463"/>
    <w:rsid w:val="3C604717"/>
    <w:rsid w:val="3C7C6C2C"/>
    <w:rsid w:val="3C809E33"/>
    <w:rsid w:val="3CB641B6"/>
    <w:rsid w:val="3D146547"/>
    <w:rsid w:val="3D1DBC85"/>
    <w:rsid w:val="3D6F2C29"/>
    <w:rsid w:val="3D9488F5"/>
    <w:rsid w:val="3E24795A"/>
    <w:rsid w:val="3E662316"/>
    <w:rsid w:val="3EDB9F97"/>
    <w:rsid w:val="3EFA6191"/>
    <w:rsid w:val="3F172547"/>
    <w:rsid w:val="3F5C0E0F"/>
    <w:rsid w:val="3FCDE382"/>
    <w:rsid w:val="3FDE254E"/>
    <w:rsid w:val="3FE0C141"/>
    <w:rsid w:val="4084835F"/>
    <w:rsid w:val="40FC00FD"/>
    <w:rsid w:val="411216BF"/>
    <w:rsid w:val="41148098"/>
    <w:rsid w:val="4150061C"/>
    <w:rsid w:val="416290A6"/>
    <w:rsid w:val="41ABEF84"/>
    <w:rsid w:val="41C9BDFC"/>
    <w:rsid w:val="4273612C"/>
    <w:rsid w:val="42F455F0"/>
    <w:rsid w:val="4325E1B6"/>
    <w:rsid w:val="433AB8FC"/>
    <w:rsid w:val="43E2FE07"/>
    <w:rsid w:val="43FC09BE"/>
    <w:rsid w:val="4405BBD4"/>
    <w:rsid w:val="4446CDBC"/>
    <w:rsid w:val="447726ED"/>
    <w:rsid w:val="447DC215"/>
    <w:rsid w:val="45368B71"/>
    <w:rsid w:val="466EB730"/>
    <w:rsid w:val="46F405CE"/>
    <w:rsid w:val="475905D6"/>
    <w:rsid w:val="475F0DD7"/>
    <w:rsid w:val="47847F71"/>
    <w:rsid w:val="47AC223E"/>
    <w:rsid w:val="47B9CCC9"/>
    <w:rsid w:val="47EE4D23"/>
    <w:rsid w:val="480CF563"/>
    <w:rsid w:val="48881B7A"/>
    <w:rsid w:val="48C2DD3B"/>
    <w:rsid w:val="48C5951D"/>
    <w:rsid w:val="491D28A4"/>
    <w:rsid w:val="49491231"/>
    <w:rsid w:val="49759BBB"/>
    <w:rsid w:val="498518F0"/>
    <w:rsid w:val="49F0DD66"/>
    <w:rsid w:val="4A09FC94"/>
    <w:rsid w:val="4A200CBF"/>
    <w:rsid w:val="4A40F407"/>
    <w:rsid w:val="4A5CC5CF"/>
    <w:rsid w:val="4A7CA3B7"/>
    <w:rsid w:val="4A7F3AF0"/>
    <w:rsid w:val="4AA2F7D6"/>
    <w:rsid w:val="4AFF4218"/>
    <w:rsid w:val="4B621D8D"/>
    <w:rsid w:val="4BEEB48F"/>
    <w:rsid w:val="4C039120"/>
    <w:rsid w:val="4C3EC837"/>
    <w:rsid w:val="4C7CC327"/>
    <w:rsid w:val="4CDFA7D0"/>
    <w:rsid w:val="4CE748A2"/>
    <w:rsid w:val="4CFD2F54"/>
    <w:rsid w:val="4D0CE654"/>
    <w:rsid w:val="4DDA9898"/>
    <w:rsid w:val="4E12D77D"/>
    <w:rsid w:val="4E502471"/>
    <w:rsid w:val="4E827FBC"/>
    <w:rsid w:val="4E8B4413"/>
    <w:rsid w:val="4EAF8A65"/>
    <w:rsid w:val="4EC346D7"/>
    <w:rsid w:val="4EF5ACC1"/>
    <w:rsid w:val="4EF878C4"/>
    <w:rsid w:val="4F344BCE"/>
    <w:rsid w:val="4F7A5C32"/>
    <w:rsid w:val="4FB463E9"/>
    <w:rsid w:val="4FBC0ADF"/>
    <w:rsid w:val="500FE984"/>
    <w:rsid w:val="502EA9F3"/>
    <w:rsid w:val="50888742"/>
    <w:rsid w:val="50A8F707"/>
    <w:rsid w:val="510F7BEB"/>
    <w:rsid w:val="5112395A"/>
    <w:rsid w:val="5117A1C2"/>
    <w:rsid w:val="5128E202"/>
    <w:rsid w:val="5150344A"/>
    <w:rsid w:val="51AEAE61"/>
    <w:rsid w:val="51B878CB"/>
    <w:rsid w:val="51BEF54A"/>
    <w:rsid w:val="51F2F03E"/>
    <w:rsid w:val="523DD34C"/>
    <w:rsid w:val="527E69DA"/>
    <w:rsid w:val="531B2D66"/>
    <w:rsid w:val="5338C981"/>
    <w:rsid w:val="535AD898"/>
    <w:rsid w:val="538CFFB7"/>
    <w:rsid w:val="548D77D4"/>
    <w:rsid w:val="54A8FBAD"/>
    <w:rsid w:val="54C1E118"/>
    <w:rsid w:val="55158060"/>
    <w:rsid w:val="555F0F28"/>
    <w:rsid w:val="55DE7CA8"/>
    <w:rsid w:val="55EA77F3"/>
    <w:rsid w:val="5653264E"/>
    <w:rsid w:val="57392A83"/>
    <w:rsid w:val="57402E02"/>
    <w:rsid w:val="581544C5"/>
    <w:rsid w:val="585C1574"/>
    <w:rsid w:val="58FD91A8"/>
    <w:rsid w:val="59A72D8A"/>
    <w:rsid w:val="59E45E7C"/>
    <w:rsid w:val="5A02E4F7"/>
    <w:rsid w:val="5A09658B"/>
    <w:rsid w:val="5A1BD62E"/>
    <w:rsid w:val="5A3A0F38"/>
    <w:rsid w:val="5A7050DB"/>
    <w:rsid w:val="5A717ED0"/>
    <w:rsid w:val="5AB4399D"/>
    <w:rsid w:val="5B67DD88"/>
    <w:rsid w:val="5BB14BED"/>
    <w:rsid w:val="5BC7D6F5"/>
    <w:rsid w:val="5BCB8D35"/>
    <w:rsid w:val="5C0A715D"/>
    <w:rsid w:val="5C1C887C"/>
    <w:rsid w:val="5C736260"/>
    <w:rsid w:val="5D521C18"/>
    <w:rsid w:val="5D827E13"/>
    <w:rsid w:val="5EE15827"/>
    <w:rsid w:val="5FAC341F"/>
    <w:rsid w:val="5FDA758C"/>
    <w:rsid w:val="5FE81B5E"/>
    <w:rsid w:val="6005F649"/>
    <w:rsid w:val="60361898"/>
    <w:rsid w:val="617BFDCC"/>
    <w:rsid w:val="61917B06"/>
    <w:rsid w:val="61DD069A"/>
    <w:rsid w:val="620B4CB8"/>
    <w:rsid w:val="62A49609"/>
    <w:rsid w:val="62A62325"/>
    <w:rsid w:val="62A6EC4A"/>
    <w:rsid w:val="63051D9D"/>
    <w:rsid w:val="630A15FB"/>
    <w:rsid w:val="630DA57D"/>
    <w:rsid w:val="630F593E"/>
    <w:rsid w:val="6396F923"/>
    <w:rsid w:val="63AC3F5C"/>
    <w:rsid w:val="64354D48"/>
    <w:rsid w:val="643848A6"/>
    <w:rsid w:val="64449C50"/>
    <w:rsid w:val="653203BD"/>
    <w:rsid w:val="65377B5D"/>
    <w:rsid w:val="656BA78D"/>
    <w:rsid w:val="6573422A"/>
    <w:rsid w:val="65D77F33"/>
    <w:rsid w:val="66042240"/>
    <w:rsid w:val="660FECB0"/>
    <w:rsid w:val="66359525"/>
    <w:rsid w:val="6650F0F0"/>
    <w:rsid w:val="66A7F46A"/>
    <w:rsid w:val="66AFA448"/>
    <w:rsid w:val="66EE7EF0"/>
    <w:rsid w:val="6742B19B"/>
    <w:rsid w:val="6753139E"/>
    <w:rsid w:val="676FE968"/>
    <w:rsid w:val="67799448"/>
    <w:rsid w:val="67810BE8"/>
    <w:rsid w:val="679ABBDB"/>
    <w:rsid w:val="679ADE54"/>
    <w:rsid w:val="67C5DE7D"/>
    <w:rsid w:val="67EB3F50"/>
    <w:rsid w:val="686F1210"/>
    <w:rsid w:val="690FDD16"/>
    <w:rsid w:val="6986650E"/>
    <w:rsid w:val="6A06DBCA"/>
    <w:rsid w:val="6A2E54A7"/>
    <w:rsid w:val="6A3B0E40"/>
    <w:rsid w:val="6A780398"/>
    <w:rsid w:val="6ABC0225"/>
    <w:rsid w:val="6B1E21C5"/>
    <w:rsid w:val="6B2491C7"/>
    <w:rsid w:val="6B61A191"/>
    <w:rsid w:val="6B630C22"/>
    <w:rsid w:val="6BF13D84"/>
    <w:rsid w:val="6C04DACB"/>
    <w:rsid w:val="6C3F1636"/>
    <w:rsid w:val="6C52961C"/>
    <w:rsid w:val="6C878694"/>
    <w:rsid w:val="6CEDA62D"/>
    <w:rsid w:val="6D222DFC"/>
    <w:rsid w:val="6D91FF72"/>
    <w:rsid w:val="6DA1CF9B"/>
    <w:rsid w:val="6DB412FD"/>
    <w:rsid w:val="6E13F07C"/>
    <w:rsid w:val="6E2356F5"/>
    <w:rsid w:val="6E79F064"/>
    <w:rsid w:val="6E828B4E"/>
    <w:rsid w:val="6F39D793"/>
    <w:rsid w:val="6FE93FFF"/>
    <w:rsid w:val="7007C573"/>
    <w:rsid w:val="70370F14"/>
    <w:rsid w:val="70811B3D"/>
    <w:rsid w:val="70B36556"/>
    <w:rsid w:val="70D7F521"/>
    <w:rsid w:val="70D84BEE"/>
    <w:rsid w:val="70FC43E1"/>
    <w:rsid w:val="71016E31"/>
    <w:rsid w:val="7123D8A0"/>
    <w:rsid w:val="7187134C"/>
    <w:rsid w:val="719A0F1C"/>
    <w:rsid w:val="71E642C0"/>
    <w:rsid w:val="72C43475"/>
    <w:rsid w:val="732D65C0"/>
    <w:rsid w:val="73BCD96B"/>
    <w:rsid w:val="746004D6"/>
    <w:rsid w:val="7464EF90"/>
    <w:rsid w:val="747BFF22"/>
    <w:rsid w:val="74CC4B3A"/>
    <w:rsid w:val="74D1AFDE"/>
    <w:rsid w:val="74EC2DAA"/>
    <w:rsid w:val="75AD1FC2"/>
    <w:rsid w:val="75FBD537"/>
    <w:rsid w:val="765638B1"/>
    <w:rsid w:val="76F47A2D"/>
    <w:rsid w:val="77B39FE4"/>
    <w:rsid w:val="780950A0"/>
    <w:rsid w:val="780FF971"/>
    <w:rsid w:val="781819DA"/>
    <w:rsid w:val="78CB9683"/>
    <w:rsid w:val="7914E704"/>
    <w:rsid w:val="795F3552"/>
    <w:rsid w:val="797842EC"/>
    <w:rsid w:val="79A52101"/>
    <w:rsid w:val="79AB5EB7"/>
    <w:rsid w:val="79E36B17"/>
    <w:rsid w:val="7A061781"/>
    <w:rsid w:val="7A2E5FBA"/>
    <w:rsid w:val="7A8090E5"/>
    <w:rsid w:val="7A8B5532"/>
    <w:rsid w:val="7B27C905"/>
    <w:rsid w:val="7B48DF55"/>
    <w:rsid w:val="7B72F127"/>
    <w:rsid w:val="7B98488A"/>
    <w:rsid w:val="7BAB49EF"/>
    <w:rsid w:val="7C0F93CA"/>
    <w:rsid w:val="7C4F4EC3"/>
    <w:rsid w:val="7C507E1D"/>
    <w:rsid w:val="7CCB8759"/>
    <w:rsid w:val="7D377F17"/>
    <w:rsid w:val="7D3DB843"/>
    <w:rsid w:val="7D63BBB1"/>
    <w:rsid w:val="7DFD4E13"/>
    <w:rsid w:val="7E0840E6"/>
    <w:rsid w:val="7E280EAF"/>
    <w:rsid w:val="7E85A672"/>
    <w:rsid w:val="7EA7D9D4"/>
    <w:rsid w:val="7EC7856F"/>
    <w:rsid w:val="7F21594C"/>
    <w:rsid w:val="7F290E8C"/>
    <w:rsid w:val="7F322CE7"/>
    <w:rsid w:val="7FC3DF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0DD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Law 1. Heading"/>
    <w:basedOn w:val="Normln"/>
    <w:next w:val="Normln"/>
    <w:link w:val="Nadpis1Char"/>
    <w:uiPriority w:val="9"/>
    <w:qFormat/>
    <w:rsid w:val="00CA0589"/>
    <w:pPr>
      <w:keepNext/>
      <w:numPr>
        <w:numId w:val="6"/>
      </w:numPr>
      <w:spacing w:before="240" w:after="60" w:line="288" w:lineRule="auto"/>
      <w:jc w:val="both"/>
      <w:outlineLvl w:val="0"/>
    </w:pPr>
    <w:rPr>
      <w:rFonts w:eastAsiaTheme="majorEastAsia" w:cstheme="majorBidi"/>
      <w:b/>
      <w:bCs/>
      <w:kern w:val="32"/>
      <w:sz w:val="28"/>
      <w:szCs w:val="32"/>
      <w:lang w:val="en-US"/>
      <w14:ligatures w14:val="none"/>
    </w:rPr>
  </w:style>
  <w:style w:type="paragraph" w:styleId="Nadpis2">
    <w:name w:val="heading 2"/>
    <w:basedOn w:val="Normln"/>
    <w:next w:val="Normln"/>
    <w:link w:val="Nadpis2Char"/>
    <w:uiPriority w:val="9"/>
    <w:unhideWhenUsed/>
    <w:qFormat/>
    <w:rsid w:val="00CA0589"/>
    <w:pPr>
      <w:keepNext/>
      <w:numPr>
        <w:ilvl w:val="1"/>
        <w:numId w:val="6"/>
      </w:numPr>
      <w:spacing w:before="240" w:after="60" w:line="288" w:lineRule="auto"/>
      <w:ind w:left="576"/>
      <w:jc w:val="both"/>
      <w:outlineLvl w:val="1"/>
    </w:pPr>
    <w:rPr>
      <w:rFonts w:eastAsia="Times New Roman" w:cs="Times New Roman"/>
      <w:b/>
      <w:bCs/>
      <w:iCs/>
      <w:kern w:val="0"/>
      <w:sz w:val="24"/>
      <w:szCs w:val="28"/>
      <w:lang w:val="en-US"/>
      <w14:ligatures w14:val="none"/>
    </w:rPr>
  </w:style>
  <w:style w:type="paragraph" w:styleId="Nadpis3">
    <w:name w:val="heading 3"/>
    <w:aliases w:val="Law 1.1.1 Heading"/>
    <w:basedOn w:val="Normln"/>
    <w:next w:val="Normln"/>
    <w:link w:val="Nadpis3Char"/>
    <w:uiPriority w:val="9"/>
    <w:unhideWhenUsed/>
    <w:qFormat/>
    <w:rsid w:val="00CA0589"/>
    <w:pPr>
      <w:keepNext/>
      <w:keepLines/>
      <w:numPr>
        <w:ilvl w:val="2"/>
        <w:numId w:val="6"/>
      </w:numPr>
      <w:spacing w:before="200" w:after="240" w:line="288" w:lineRule="auto"/>
      <w:jc w:val="both"/>
      <w:outlineLvl w:val="2"/>
    </w:pPr>
    <w:rPr>
      <w:rFonts w:eastAsiaTheme="majorEastAsia" w:cstheme="majorBidi"/>
      <w:b/>
      <w:bCs/>
      <w:kern w:val="0"/>
      <w:sz w:val="20"/>
      <w:lang w:val="en-US"/>
      <w14:ligatures w14:val="none"/>
    </w:rPr>
  </w:style>
  <w:style w:type="paragraph" w:styleId="Nadpis4">
    <w:name w:val="heading 4"/>
    <w:basedOn w:val="Normln"/>
    <w:next w:val="Normln"/>
    <w:link w:val="Nadpis4Char"/>
    <w:uiPriority w:val="9"/>
    <w:unhideWhenUsed/>
    <w:qFormat/>
    <w:rsid w:val="00CA0589"/>
    <w:pPr>
      <w:keepNext/>
      <w:keepLines/>
      <w:numPr>
        <w:ilvl w:val="3"/>
        <w:numId w:val="6"/>
      </w:numPr>
      <w:spacing w:before="200" w:after="240" w:line="288" w:lineRule="auto"/>
      <w:jc w:val="both"/>
      <w:outlineLvl w:val="3"/>
    </w:pPr>
    <w:rPr>
      <w:rFonts w:eastAsiaTheme="majorEastAsia" w:cstheme="majorBidi"/>
      <w:bCs/>
      <w:iCs/>
      <w:kern w:val="0"/>
      <w:sz w:val="20"/>
      <w:lang w:val="en-US"/>
      <w14:ligatures w14:val="none"/>
    </w:rPr>
  </w:style>
  <w:style w:type="paragraph" w:styleId="Nadpis5">
    <w:name w:val="heading 5"/>
    <w:basedOn w:val="Normln"/>
    <w:next w:val="Normln"/>
    <w:link w:val="Nadpis5Char"/>
    <w:uiPriority w:val="9"/>
    <w:unhideWhenUsed/>
    <w:qFormat/>
    <w:rsid w:val="00CA0589"/>
    <w:pPr>
      <w:keepNext/>
      <w:keepLines/>
      <w:numPr>
        <w:ilvl w:val="4"/>
        <w:numId w:val="6"/>
      </w:numPr>
      <w:spacing w:before="200" w:after="240" w:line="288" w:lineRule="auto"/>
      <w:jc w:val="both"/>
      <w:outlineLvl w:val="4"/>
    </w:pPr>
    <w:rPr>
      <w:rFonts w:eastAsiaTheme="majorEastAsia" w:cstheme="majorBidi"/>
      <w:kern w:val="0"/>
      <w:sz w:val="20"/>
      <w:lang w:val="en-US"/>
      <w14:ligatures w14:val="none"/>
    </w:rPr>
  </w:style>
  <w:style w:type="paragraph" w:styleId="Nadpis6">
    <w:name w:val="heading 6"/>
    <w:basedOn w:val="Normln"/>
    <w:next w:val="Normln"/>
    <w:link w:val="Nadpis6Char"/>
    <w:uiPriority w:val="9"/>
    <w:semiHidden/>
    <w:unhideWhenUsed/>
    <w:qFormat/>
    <w:rsid w:val="00CA0589"/>
    <w:pPr>
      <w:keepNext/>
      <w:keepLines/>
      <w:numPr>
        <w:ilvl w:val="5"/>
        <w:numId w:val="6"/>
      </w:numPr>
      <w:spacing w:before="200" w:after="240" w:line="288" w:lineRule="auto"/>
      <w:jc w:val="both"/>
      <w:outlineLvl w:val="5"/>
    </w:pPr>
    <w:rPr>
      <w:rFonts w:asciiTheme="majorHAnsi" w:eastAsiaTheme="majorEastAsia" w:hAnsiTheme="majorHAnsi" w:cstheme="majorBidi"/>
      <w:i/>
      <w:iCs/>
      <w:color w:val="1F3763" w:themeColor="accent1" w:themeShade="7F"/>
      <w:kern w:val="0"/>
      <w:sz w:val="20"/>
      <w:lang w:val="en-US"/>
      <w14:ligatures w14:val="none"/>
    </w:rPr>
  </w:style>
  <w:style w:type="paragraph" w:styleId="Nadpis7">
    <w:name w:val="heading 7"/>
    <w:basedOn w:val="Normln"/>
    <w:next w:val="Normln"/>
    <w:link w:val="Nadpis7Char"/>
    <w:uiPriority w:val="9"/>
    <w:semiHidden/>
    <w:unhideWhenUsed/>
    <w:qFormat/>
    <w:rsid w:val="00CA0589"/>
    <w:pPr>
      <w:keepNext/>
      <w:keepLines/>
      <w:numPr>
        <w:ilvl w:val="6"/>
        <w:numId w:val="6"/>
      </w:numPr>
      <w:spacing w:before="200" w:after="240" w:line="288" w:lineRule="auto"/>
      <w:jc w:val="both"/>
      <w:outlineLvl w:val="6"/>
    </w:pPr>
    <w:rPr>
      <w:rFonts w:asciiTheme="majorHAnsi" w:eastAsiaTheme="majorEastAsia" w:hAnsiTheme="majorHAnsi" w:cstheme="majorBidi"/>
      <w:i/>
      <w:iCs/>
      <w:color w:val="404040" w:themeColor="text1" w:themeTint="BF"/>
      <w:kern w:val="0"/>
      <w:sz w:val="20"/>
      <w:lang w:val="en-US"/>
      <w14:ligatures w14:val="none"/>
    </w:rPr>
  </w:style>
  <w:style w:type="paragraph" w:styleId="Nadpis8">
    <w:name w:val="heading 8"/>
    <w:basedOn w:val="Normln"/>
    <w:next w:val="Normln"/>
    <w:link w:val="Nadpis8Char"/>
    <w:uiPriority w:val="9"/>
    <w:semiHidden/>
    <w:unhideWhenUsed/>
    <w:qFormat/>
    <w:rsid w:val="00CA0589"/>
    <w:pPr>
      <w:keepNext/>
      <w:keepLines/>
      <w:numPr>
        <w:ilvl w:val="7"/>
        <w:numId w:val="6"/>
      </w:numPr>
      <w:spacing w:before="200" w:after="240" w:line="288" w:lineRule="auto"/>
      <w:jc w:val="both"/>
      <w:outlineLvl w:val="7"/>
    </w:pPr>
    <w:rPr>
      <w:rFonts w:asciiTheme="majorHAnsi" w:eastAsiaTheme="majorEastAsia" w:hAnsiTheme="majorHAnsi" w:cstheme="majorBidi"/>
      <w:color w:val="404040" w:themeColor="text1" w:themeTint="BF"/>
      <w:kern w:val="0"/>
      <w:sz w:val="20"/>
      <w:szCs w:val="20"/>
      <w:lang w:val="en-US"/>
      <w14:ligatures w14:val="none"/>
    </w:rPr>
  </w:style>
  <w:style w:type="paragraph" w:styleId="Nadpis9">
    <w:name w:val="heading 9"/>
    <w:basedOn w:val="Normln"/>
    <w:next w:val="Normln"/>
    <w:link w:val="Nadpis9Char"/>
    <w:uiPriority w:val="9"/>
    <w:semiHidden/>
    <w:unhideWhenUsed/>
    <w:qFormat/>
    <w:rsid w:val="00CA0589"/>
    <w:pPr>
      <w:keepNext/>
      <w:keepLines/>
      <w:numPr>
        <w:ilvl w:val="8"/>
        <w:numId w:val="6"/>
      </w:numPr>
      <w:spacing w:before="200" w:after="240" w:line="288" w:lineRule="auto"/>
      <w:jc w:val="both"/>
      <w:outlineLvl w:val="8"/>
    </w:pPr>
    <w:rPr>
      <w:rFonts w:asciiTheme="majorHAnsi" w:eastAsiaTheme="majorEastAsia" w:hAnsiTheme="majorHAnsi" w:cstheme="majorBidi"/>
      <w:i/>
      <w:iCs/>
      <w:color w:val="404040" w:themeColor="text1" w:themeTint="BF"/>
      <w:kern w:val="0"/>
      <w:sz w:val="20"/>
      <w:szCs w:val="2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FFC"/>
    <w:pPr>
      <w:ind w:left="720"/>
      <w:contextualSpacing/>
    </w:pPr>
  </w:style>
  <w:style w:type="paragraph" w:styleId="Textpoznpodarou">
    <w:name w:val="footnote text"/>
    <w:basedOn w:val="Normln"/>
    <w:link w:val="TextpoznpodarouChar"/>
    <w:uiPriority w:val="99"/>
    <w:semiHidden/>
    <w:unhideWhenUsed/>
    <w:rsid w:val="00006F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06FFC"/>
    <w:rPr>
      <w:sz w:val="20"/>
      <w:szCs w:val="20"/>
    </w:rPr>
  </w:style>
  <w:style w:type="character" w:styleId="Hypertextovodkaz">
    <w:name w:val="Hyperlink"/>
    <w:uiPriority w:val="99"/>
    <w:unhideWhenUsed/>
    <w:rsid w:val="00006FFC"/>
    <w:rPr>
      <w:color w:val="0000FF"/>
      <w:u w:val="single"/>
    </w:rPr>
  </w:style>
  <w:style w:type="character" w:styleId="Znakapoznpodarou">
    <w:name w:val="footnote reference"/>
    <w:basedOn w:val="Standardnpsmoodstavce"/>
    <w:semiHidden/>
    <w:unhideWhenUsed/>
    <w:rsid w:val="00006FFC"/>
    <w:rPr>
      <w:vertAlign w:val="superscript"/>
    </w:rPr>
  </w:style>
  <w:style w:type="character" w:customStyle="1" w:styleId="UnresolvedMention">
    <w:name w:val="Unresolved Mention"/>
    <w:basedOn w:val="Standardnpsmoodstavce"/>
    <w:uiPriority w:val="99"/>
    <w:semiHidden/>
    <w:unhideWhenUsed/>
    <w:rsid w:val="00006FFC"/>
    <w:rPr>
      <w:color w:val="605E5C"/>
      <w:shd w:val="clear" w:color="auto" w:fill="E1DFDD"/>
    </w:rPr>
  </w:style>
  <w:style w:type="character" w:customStyle="1" w:styleId="Nadpis1Char">
    <w:name w:val="Nadpis 1 Char"/>
    <w:aliases w:val="Law 1. Heading Char"/>
    <w:basedOn w:val="Standardnpsmoodstavce"/>
    <w:link w:val="Nadpis1"/>
    <w:uiPriority w:val="9"/>
    <w:rsid w:val="00CA0589"/>
    <w:rPr>
      <w:rFonts w:eastAsiaTheme="majorEastAsia" w:cstheme="majorBidi"/>
      <w:b/>
      <w:bCs/>
      <w:kern w:val="32"/>
      <w:sz w:val="28"/>
      <w:szCs w:val="32"/>
      <w:lang w:val="en-US"/>
      <w14:ligatures w14:val="none"/>
    </w:rPr>
  </w:style>
  <w:style w:type="character" w:customStyle="1" w:styleId="Nadpis2Char">
    <w:name w:val="Nadpis 2 Char"/>
    <w:basedOn w:val="Standardnpsmoodstavce"/>
    <w:link w:val="Nadpis2"/>
    <w:uiPriority w:val="9"/>
    <w:rsid w:val="00CA0589"/>
    <w:rPr>
      <w:rFonts w:eastAsia="Times New Roman" w:cs="Times New Roman"/>
      <w:b/>
      <w:bCs/>
      <w:iCs/>
      <w:kern w:val="0"/>
      <w:sz w:val="24"/>
      <w:szCs w:val="28"/>
      <w:lang w:val="en-US"/>
      <w14:ligatures w14:val="none"/>
    </w:rPr>
  </w:style>
  <w:style w:type="character" w:customStyle="1" w:styleId="Nadpis3Char">
    <w:name w:val="Nadpis 3 Char"/>
    <w:aliases w:val="Law 1.1.1 Heading Char"/>
    <w:basedOn w:val="Standardnpsmoodstavce"/>
    <w:link w:val="Nadpis3"/>
    <w:uiPriority w:val="9"/>
    <w:rsid w:val="00CA0589"/>
    <w:rPr>
      <w:rFonts w:eastAsiaTheme="majorEastAsia" w:cstheme="majorBidi"/>
      <w:b/>
      <w:bCs/>
      <w:kern w:val="0"/>
      <w:sz w:val="20"/>
      <w:lang w:val="en-US"/>
      <w14:ligatures w14:val="none"/>
    </w:rPr>
  </w:style>
  <w:style w:type="character" w:customStyle="1" w:styleId="Nadpis4Char">
    <w:name w:val="Nadpis 4 Char"/>
    <w:basedOn w:val="Standardnpsmoodstavce"/>
    <w:link w:val="Nadpis4"/>
    <w:uiPriority w:val="9"/>
    <w:rsid w:val="00CA0589"/>
    <w:rPr>
      <w:rFonts w:eastAsiaTheme="majorEastAsia" w:cstheme="majorBidi"/>
      <w:bCs/>
      <w:iCs/>
      <w:kern w:val="0"/>
      <w:sz w:val="20"/>
      <w:lang w:val="en-US"/>
      <w14:ligatures w14:val="none"/>
    </w:rPr>
  </w:style>
  <w:style w:type="character" w:customStyle="1" w:styleId="Nadpis5Char">
    <w:name w:val="Nadpis 5 Char"/>
    <w:basedOn w:val="Standardnpsmoodstavce"/>
    <w:link w:val="Nadpis5"/>
    <w:uiPriority w:val="9"/>
    <w:rsid w:val="00CA0589"/>
    <w:rPr>
      <w:rFonts w:eastAsiaTheme="majorEastAsia" w:cstheme="majorBidi"/>
      <w:kern w:val="0"/>
      <w:sz w:val="20"/>
      <w:lang w:val="en-US"/>
      <w14:ligatures w14:val="none"/>
    </w:rPr>
  </w:style>
  <w:style w:type="character" w:customStyle="1" w:styleId="Nadpis6Char">
    <w:name w:val="Nadpis 6 Char"/>
    <w:basedOn w:val="Standardnpsmoodstavce"/>
    <w:link w:val="Nadpis6"/>
    <w:uiPriority w:val="9"/>
    <w:semiHidden/>
    <w:rsid w:val="00CA0589"/>
    <w:rPr>
      <w:rFonts w:asciiTheme="majorHAnsi" w:eastAsiaTheme="majorEastAsia" w:hAnsiTheme="majorHAnsi" w:cstheme="majorBidi"/>
      <w:i/>
      <w:iCs/>
      <w:color w:val="1F3763" w:themeColor="accent1" w:themeShade="7F"/>
      <w:kern w:val="0"/>
      <w:sz w:val="20"/>
      <w:lang w:val="en-US"/>
      <w14:ligatures w14:val="none"/>
    </w:rPr>
  </w:style>
  <w:style w:type="character" w:customStyle="1" w:styleId="Nadpis7Char">
    <w:name w:val="Nadpis 7 Char"/>
    <w:basedOn w:val="Standardnpsmoodstavce"/>
    <w:link w:val="Nadpis7"/>
    <w:uiPriority w:val="9"/>
    <w:semiHidden/>
    <w:rsid w:val="00CA0589"/>
    <w:rPr>
      <w:rFonts w:asciiTheme="majorHAnsi" w:eastAsiaTheme="majorEastAsia" w:hAnsiTheme="majorHAnsi" w:cstheme="majorBidi"/>
      <w:i/>
      <w:iCs/>
      <w:color w:val="404040" w:themeColor="text1" w:themeTint="BF"/>
      <w:kern w:val="0"/>
      <w:sz w:val="20"/>
      <w:lang w:val="en-US"/>
      <w14:ligatures w14:val="none"/>
    </w:rPr>
  </w:style>
  <w:style w:type="character" w:customStyle="1" w:styleId="Nadpis8Char">
    <w:name w:val="Nadpis 8 Char"/>
    <w:basedOn w:val="Standardnpsmoodstavce"/>
    <w:link w:val="Nadpis8"/>
    <w:uiPriority w:val="9"/>
    <w:semiHidden/>
    <w:rsid w:val="00CA0589"/>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Nadpis9Char">
    <w:name w:val="Nadpis 9 Char"/>
    <w:basedOn w:val="Standardnpsmoodstavce"/>
    <w:link w:val="Nadpis9"/>
    <w:uiPriority w:val="9"/>
    <w:semiHidden/>
    <w:rsid w:val="00CA0589"/>
    <w:rPr>
      <w:rFonts w:asciiTheme="majorHAnsi" w:eastAsiaTheme="majorEastAsia" w:hAnsiTheme="majorHAnsi" w:cstheme="majorBidi"/>
      <w:i/>
      <w:iCs/>
      <w:color w:val="404040" w:themeColor="text1" w:themeTint="BF"/>
      <w:kern w:val="0"/>
      <w:sz w:val="20"/>
      <w:szCs w:val="20"/>
      <w:lang w:val="en-US"/>
      <w14:ligatures w14:val="none"/>
    </w:rPr>
  </w:style>
  <w:style w:type="character" w:styleId="Odkaznakoment">
    <w:name w:val="annotation reference"/>
    <w:basedOn w:val="Standardnpsmoodstavce"/>
    <w:uiPriority w:val="99"/>
    <w:semiHidden/>
    <w:unhideWhenUsed/>
    <w:rsid w:val="00CA0589"/>
    <w:rPr>
      <w:sz w:val="16"/>
      <w:szCs w:val="16"/>
    </w:rPr>
  </w:style>
  <w:style w:type="paragraph" w:styleId="Textkomente">
    <w:name w:val="annotation text"/>
    <w:basedOn w:val="Normln"/>
    <w:link w:val="TextkomenteChar"/>
    <w:uiPriority w:val="99"/>
    <w:unhideWhenUsed/>
    <w:rsid w:val="00CA0589"/>
    <w:pPr>
      <w:spacing w:line="240" w:lineRule="auto"/>
    </w:pPr>
    <w:rPr>
      <w:sz w:val="20"/>
      <w:szCs w:val="20"/>
    </w:rPr>
  </w:style>
  <w:style w:type="character" w:customStyle="1" w:styleId="TextkomenteChar">
    <w:name w:val="Text komentáře Char"/>
    <w:basedOn w:val="Standardnpsmoodstavce"/>
    <w:link w:val="Textkomente"/>
    <w:uiPriority w:val="99"/>
    <w:rsid w:val="00CA0589"/>
    <w:rPr>
      <w:sz w:val="20"/>
      <w:szCs w:val="20"/>
    </w:rPr>
  </w:style>
  <w:style w:type="paragraph" w:styleId="Pedmtkomente">
    <w:name w:val="annotation subject"/>
    <w:basedOn w:val="Textkomente"/>
    <w:next w:val="Textkomente"/>
    <w:link w:val="PedmtkomenteChar"/>
    <w:uiPriority w:val="99"/>
    <w:semiHidden/>
    <w:unhideWhenUsed/>
    <w:rsid w:val="00CA0589"/>
    <w:rPr>
      <w:b/>
      <w:bCs/>
    </w:rPr>
  </w:style>
  <w:style w:type="character" w:customStyle="1" w:styleId="PedmtkomenteChar">
    <w:name w:val="Předmět komentáře Char"/>
    <w:basedOn w:val="TextkomenteChar"/>
    <w:link w:val="Pedmtkomente"/>
    <w:uiPriority w:val="99"/>
    <w:semiHidden/>
    <w:rsid w:val="00CA0589"/>
    <w:rPr>
      <w:b/>
      <w:bCs/>
      <w:sz w:val="20"/>
      <w:szCs w:val="20"/>
    </w:rPr>
  </w:style>
  <w:style w:type="table" w:styleId="Mkatabulky">
    <w:name w:val="Table Grid"/>
    <w:basedOn w:val="Normlntabulka"/>
    <w:uiPriority w:val="39"/>
    <w:rsid w:val="0002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277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77DD"/>
  </w:style>
  <w:style w:type="paragraph" w:styleId="Zpat">
    <w:name w:val="footer"/>
    <w:basedOn w:val="Normln"/>
    <w:link w:val="ZpatChar"/>
    <w:uiPriority w:val="99"/>
    <w:unhideWhenUsed/>
    <w:rsid w:val="000277DD"/>
    <w:pPr>
      <w:tabs>
        <w:tab w:val="center" w:pos="4536"/>
        <w:tab w:val="right" w:pos="9072"/>
      </w:tabs>
      <w:spacing w:after="0" w:line="240" w:lineRule="auto"/>
    </w:pPr>
  </w:style>
  <w:style w:type="character" w:customStyle="1" w:styleId="ZpatChar">
    <w:name w:val="Zápatí Char"/>
    <w:basedOn w:val="Standardnpsmoodstavce"/>
    <w:link w:val="Zpat"/>
    <w:uiPriority w:val="99"/>
    <w:rsid w:val="000277DD"/>
  </w:style>
  <w:style w:type="paragraph" w:styleId="Revize">
    <w:name w:val="Revision"/>
    <w:hidden/>
    <w:uiPriority w:val="99"/>
    <w:semiHidden/>
    <w:rsid w:val="00272EFB"/>
    <w:pPr>
      <w:spacing w:after="0" w:line="240" w:lineRule="auto"/>
    </w:pPr>
  </w:style>
  <w:style w:type="character" w:customStyle="1" w:styleId="cf01">
    <w:name w:val="cf01"/>
    <w:basedOn w:val="Standardnpsmoodstavce"/>
    <w:rsid w:val="00BB2F71"/>
    <w:rPr>
      <w:rFonts w:ascii="Segoe UI" w:hAnsi="Segoe UI" w:cs="Segoe UI" w:hint="default"/>
      <w:sz w:val="18"/>
      <w:szCs w:val="18"/>
    </w:rPr>
  </w:style>
  <w:style w:type="paragraph" w:customStyle="1" w:styleId="pf0">
    <w:name w:val="pf0"/>
    <w:basedOn w:val="Normln"/>
    <w:rsid w:val="00D02C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ln"/>
    <w:rsid w:val="00C62C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rdnpsmoodstavce"/>
    <w:rsid w:val="00C62C19"/>
  </w:style>
  <w:style w:type="character" w:customStyle="1" w:styleId="eop">
    <w:name w:val="eop"/>
    <w:basedOn w:val="Standardnpsmoodstavce"/>
    <w:rsid w:val="00C62C19"/>
  </w:style>
  <w:style w:type="character" w:styleId="Sledovanodkaz">
    <w:name w:val="FollowedHyperlink"/>
    <w:basedOn w:val="Standardnpsmoodstavce"/>
    <w:uiPriority w:val="99"/>
    <w:semiHidden/>
    <w:unhideWhenUsed/>
    <w:rsid w:val="00990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5840">
      <w:bodyDiv w:val="1"/>
      <w:marLeft w:val="0"/>
      <w:marRight w:val="0"/>
      <w:marTop w:val="0"/>
      <w:marBottom w:val="0"/>
      <w:divBdr>
        <w:top w:val="none" w:sz="0" w:space="0" w:color="auto"/>
        <w:left w:val="none" w:sz="0" w:space="0" w:color="auto"/>
        <w:bottom w:val="none" w:sz="0" w:space="0" w:color="auto"/>
        <w:right w:val="none" w:sz="0" w:space="0" w:color="auto"/>
      </w:divBdr>
      <w:divsChild>
        <w:div w:id="1620917799">
          <w:marLeft w:val="0"/>
          <w:marRight w:val="0"/>
          <w:marTop w:val="0"/>
          <w:marBottom w:val="0"/>
          <w:divBdr>
            <w:top w:val="none" w:sz="0" w:space="0" w:color="auto"/>
            <w:left w:val="none" w:sz="0" w:space="0" w:color="auto"/>
            <w:bottom w:val="none" w:sz="0" w:space="0" w:color="auto"/>
            <w:right w:val="none" w:sz="0" w:space="0" w:color="auto"/>
          </w:divBdr>
          <w:divsChild>
            <w:div w:id="765342025">
              <w:marLeft w:val="0"/>
              <w:marRight w:val="0"/>
              <w:marTop w:val="0"/>
              <w:marBottom w:val="0"/>
              <w:divBdr>
                <w:top w:val="none" w:sz="0" w:space="0" w:color="auto"/>
                <w:left w:val="none" w:sz="0" w:space="0" w:color="auto"/>
                <w:bottom w:val="none" w:sz="0" w:space="0" w:color="auto"/>
                <w:right w:val="none" w:sz="0" w:space="0" w:color="auto"/>
              </w:divBdr>
              <w:divsChild>
                <w:div w:id="483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6284">
      <w:bodyDiv w:val="1"/>
      <w:marLeft w:val="0"/>
      <w:marRight w:val="0"/>
      <w:marTop w:val="0"/>
      <w:marBottom w:val="0"/>
      <w:divBdr>
        <w:top w:val="none" w:sz="0" w:space="0" w:color="auto"/>
        <w:left w:val="none" w:sz="0" w:space="0" w:color="auto"/>
        <w:bottom w:val="none" w:sz="0" w:space="0" w:color="auto"/>
        <w:right w:val="none" w:sz="0" w:space="0" w:color="auto"/>
      </w:divBdr>
      <w:divsChild>
        <w:div w:id="336275005">
          <w:marLeft w:val="0"/>
          <w:marRight w:val="0"/>
          <w:marTop w:val="0"/>
          <w:marBottom w:val="0"/>
          <w:divBdr>
            <w:top w:val="none" w:sz="0" w:space="0" w:color="auto"/>
            <w:left w:val="none" w:sz="0" w:space="0" w:color="auto"/>
            <w:bottom w:val="none" w:sz="0" w:space="0" w:color="auto"/>
            <w:right w:val="none" w:sz="0" w:space="0" w:color="auto"/>
          </w:divBdr>
        </w:div>
      </w:divsChild>
    </w:div>
    <w:div w:id="204682050">
      <w:bodyDiv w:val="1"/>
      <w:marLeft w:val="0"/>
      <w:marRight w:val="0"/>
      <w:marTop w:val="0"/>
      <w:marBottom w:val="0"/>
      <w:divBdr>
        <w:top w:val="none" w:sz="0" w:space="0" w:color="auto"/>
        <w:left w:val="none" w:sz="0" w:space="0" w:color="auto"/>
        <w:bottom w:val="none" w:sz="0" w:space="0" w:color="auto"/>
        <w:right w:val="none" w:sz="0" w:space="0" w:color="auto"/>
      </w:divBdr>
      <w:divsChild>
        <w:div w:id="357044626">
          <w:marLeft w:val="0"/>
          <w:marRight w:val="0"/>
          <w:marTop w:val="0"/>
          <w:marBottom w:val="0"/>
          <w:divBdr>
            <w:top w:val="none" w:sz="0" w:space="0" w:color="auto"/>
            <w:left w:val="none" w:sz="0" w:space="0" w:color="auto"/>
            <w:bottom w:val="none" w:sz="0" w:space="0" w:color="auto"/>
            <w:right w:val="none" w:sz="0" w:space="0" w:color="auto"/>
          </w:divBdr>
        </w:div>
        <w:div w:id="1468740015">
          <w:marLeft w:val="0"/>
          <w:marRight w:val="0"/>
          <w:marTop w:val="0"/>
          <w:marBottom w:val="0"/>
          <w:divBdr>
            <w:top w:val="none" w:sz="0" w:space="0" w:color="auto"/>
            <w:left w:val="none" w:sz="0" w:space="0" w:color="auto"/>
            <w:bottom w:val="none" w:sz="0" w:space="0" w:color="auto"/>
            <w:right w:val="none" w:sz="0" w:space="0" w:color="auto"/>
          </w:divBdr>
        </w:div>
      </w:divsChild>
    </w:div>
    <w:div w:id="287009366">
      <w:bodyDiv w:val="1"/>
      <w:marLeft w:val="0"/>
      <w:marRight w:val="0"/>
      <w:marTop w:val="0"/>
      <w:marBottom w:val="0"/>
      <w:divBdr>
        <w:top w:val="none" w:sz="0" w:space="0" w:color="auto"/>
        <w:left w:val="none" w:sz="0" w:space="0" w:color="auto"/>
        <w:bottom w:val="none" w:sz="0" w:space="0" w:color="auto"/>
        <w:right w:val="none" w:sz="0" w:space="0" w:color="auto"/>
      </w:divBdr>
    </w:div>
    <w:div w:id="722144717">
      <w:bodyDiv w:val="1"/>
      <w:marLeft w:val="0"/>
      <w:marRight w:val="0"/>
      <w:marTop w:val="0"/>
      <w:marBottom w:val="0"/>
      <w:divBdr>
        <w:top w:val="none" w:sz="0" w:space="0" w:color="auto"/>
        <w:left w:val="none" w:sz="0" w:space="0" w:color="auto"/>
        <w:bottom w:val="none" w:sz="0" w:space="0" w:color="auto"/>
        <w:right w:val="none" w:sz="0" w:space="0" w:color="auto"/>
      </w:divBdr>
    </w:div>
    <w:div w:id="1014263031">
      <w:bodyDiv w:val="1"/>
      <w:marLeft w:val="0"/>
      <w:marRight w:val="0"/>
      <w:marTop w:val="0"/>
      <w:marBottom w:val="0"/>
      <w:divBdr>
        <w:top w:val="none" w:sz="0" w:space="0" w:color="auto"/>
        <w:left w:val="none" w:sz="0" w:space="0" w:color="auto"/>
        <w:bottom w:val="none" w:sz="0" w:space="0" w:color="auto"/>
        <w:right w:val="none" w:sz="0" w:space="0" w:color="auto"/>
      </w:divBdr>
      <w:divsChild>
        <w:div w:id="1709913870">
          <w:marLeft w:val="0"/>
          <w:marRight w:val="0"/>
          <w:marTop w:val="0"/>
          <w:marBottom w:val="0"/>
          <w:divBdr>
            <w:top w:val="none" w:sz="0" w:space="0" w:color="auto"/>
            <w:left w:val="none" w:sz="0" w:space="0" w:color="auto"/>
            <w:bottom w:val="none" w:sz="0" w:space="0" w:color="auto"/>
            <w:right w:val="none" w:sz="0" w:space="0" w:color="auto"/>
          </w:divBdr>
        </w:div>
      </w:divsChild>
    </w:div>
    <w:div w:id="1124230890">
      <w:bodyDiv w:val="1"/>
      <w:marLeft w:val="0"/>
      <w:marRight w:val="0"/>
      <w:marTop w:val="0"/>
      <w:marBottom w:val="0"/>
      <w:divBdr>
        <w:top w:val="none" w:sz="0" w:space="0" w:color="auto"/>
        <w:left w:val="none" w:sz="0" w:space="0" w:color="auto"/>
        <w:bottom w:val="none" w:sz="0" w:space="0" w:color="auto"/>
        <w:right w:val="none" w:sz="0" w:space="0" w:color="auto"/>
      </w:divBdr>
    </w:div>
    <w:div w:id="1209876202">
      <w:bodyDiv w:val="1"/>
      <w:marLeft w:val="0"/>
      <w:marRight w:val="0"/>
      <w:marTop w:val="0"/>
      <w:marBottom w:val="0"/>
      <w:divBdr>
        <w:top w:val="none" w:sz="0" w:space="0" w:color="auto"/>
        <w:left w:val="none" w:sz="0" w:space="0" w:color="auto"/>
        <w:bottom w:val="none" w:sz="0" w:space="0" w:color="auto"/>
        <w:right w:val="none" w:sz="0" w:space="0" w:color="auto"/>
      </w:divBdr>
      <w:divsChild>
        <w:div w:id="1018971129">
          <w:marLeft w:val="0"/>
          <w:marRight w:val="0"/>
          <w:marTop w:val="0"/>
          <w:marBottom w:val="0"/>
          <w:divBdr>
            <w:top w:val="none" w:sz="0" w:space="0" w:color="auto"/>
            <w:left w:val="none" w:sz="0" w:space="0" w:color="auto"/>
            <w:bottom w:val="none" w:sz="0" w:space="0" w:color="auto"/>
            <w:right w:val="none" w:sz="0" w:space="0" w:color="auto"/>
          </w:divBdr>
        </w:div>
      </w:divsChild>
    </w:div>
    <w:div w:id="1262644537">
      <w:bodyDiv w:val="1"/>
      <w:marLeft w:val="0"/>
      <w:marRight w:val="0"/>
      <w:marTop w:val="0"/>
      <w:marBottom w:val="0"/>
      <w:divBdr>
        <w:top w:val="none" w:sz="0" w:space="0" w:color="auto"/>
        <w:left w:val="none" w:sz="0" w:space="0" w:color="auto"/>
        <w:bottom w:val="none" w:sz="0" w:space="0" w:color="auto"/>
        <w:right w:val="none" w:sz="0" w:space="0" w:color="auto"/>
      </w:divBdr>
    </w:div>
    <w:div w:id="1459758430">
      <w:bodyDiv w:val="1"/>
      <w:marLeft w:val="0"/>
      <w:marRight w:val="0"/>
      <w:marTop w:val="0"/>
      <w:marBottom w:val="0"/>
      <w:divBdr>
        <w:top w:val="none" w:sz="0" w:space="0" w:color="auto"/>
        <w:left w:val="none" w:sz="0" w:space="0" w:color="auto"/>
        <w:bottom w:val="none" w:sz="0" w:space="0" w:color="auto"/>
        <w:right w:val="none" w:sz="0" w:space="0" w:color="auto"/>
      </w:divBdr>
    </w:div>
    <w:div w:id="1510482664">
      <w:bodyDiv w:val="1"/>
      <w:marLeft w:val="0"/>
      <w:marRight w:val="0"/>
      <w:marTop w:val="0"/>
      <w:marBottom w:val="0"/>
      <w:divBdr>
        <w:top w:val="none" w:sz="0" w:space="0" w:color="auto"/>
        <w:left w:val="none" w:sz="0" w:space="0" w:color="auto"/>
        <w:bottom w:val="none" w:sz="0" w:space="0" w:color="auto"/>
        <w:right w:val="none" w:sz="0" w:space="0" w:color="auto"/>
      </w:divBdr>
    </w:div>
    <w:div w:id="1810636118">
      <w:bodyDiv w:val="1"/>
      <w:marLeft w:val="0"/>
      <w:marRight w:val="0"/>
      <w:marTop w:val="0"/>
      <w:marBottom w:val="0"/>
      <w:divBdr>
        <w:top w:val="none" w:sz="0" w:space="0" w:color="auto"/>
        <w:left w:val="none" w:sz="0" w:space="0" w:color="auto"/>
        <w:bottom w:val="none" w:sz="0" w:space="0" w:color="auto"/>
        <w:right w:val="none" w:sz="0" w:space="0" w:color="auto"/>
      </w:divBdr>
      <w:divsChild>
        <w:div w:id="1643074128">
          <w:marLeft w:val="0"/>
          <w:marRight w:val="0"/>
          <w:marTop w:val="0"/>
          <w:marBottom w:val="0"/>
          <w:divBdr>
            <w:top w:val="none" w:sz="0" w:space="0" w:color="auto"/>
            <w:left w:val="none" w:sz="0" w:space="0" w:color="auto"/>
            <w:bottom w:val="none" w:sz="0" w:space="0" w:color="auto"/>
            <w:right w:val="none" w:sz="0" w:space="0" w:color="auto"/>
          </w:divBdr>
          <w:divsChild>
            <w:div w:id="1022903183">
              <w:marLeft w:val="0"/>
              <w:marRight w:val="0"/>
              <w:marTop w:val="0"/>
              <w:marBottom w:val="0"/>
              <w:divBdr>
                <w:top w:val="none" w:sz="0" w:space="0" w:color="auto"/>
                <w:left w:val="none" w:sz="0" w:space="0" w:color="auto"/>
                <w:bottom w:val="none" w:sz="0" w:space="0" w:color="auto"/>
                <w:right w:val="none" w:sz="0" w:space="0" w:color="auto"/>
              </w:divBdr>
              <w:divsChild>
                <w:div w:id="7070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8345">
      <w:bodyDiv w:val="1"/>
      <w:marLeft w:val="0"/>
      <w:marRight w:val="0"/>
      <w:marTop w:val="0"/>
      <w:marBottom w:val="0"/>
      <w:divBdr>
        <w:top w:val="none" w:sz="0" w:space="0" w:color="auto"/>
        <w:left w:val="none" w:sz="0" w:space="0" w:color="auto"/>
        <w:bottom w:val="none" w:sz="0" w:space="0" w:color="auto"/>
        <w:right w:val="none" w:sz="0" w:space="0" w:color="auto"/>
      </w:divBdr>
    </w:div>
    <w:div w:id="19712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awinsider.com/clause/payment-te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ectory.canserv.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unit-cost-decision-research-infrastructures_horizon-euratom_en.pdf" TargetMode="External"/><Relationship Id="rId1" Type="http://schemas.openxmlformats.org/officeDocument/2006/relationships/hyperlink" Target="https://op.europa.eu/en/publication-detail/-/publication/78e87306-48bc-11e6-9c64-01aa75ed71a1/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1FB078FCA434AAC5951F0D74AF0D7" ma:contentTypeVersion="19" ma:contentTypeDescription="Create a new document." ma:contentTypeScope="" ma:versionID="bfde630e78a3b7d94d80ebeeb0e5529c">
  <xsd:schema xmlns:xsd="http://www.w3.org/2001/XMLSchema" xmlns:xs="http://www.w3.org/2001/XMLSchema" xmlns:p="http://schemas.microsoft.com/office/2006/metadata/properties" xmlns:ns2="241f5ab7-bf61-4d6a-b32a-205d6104ab1b" xmlns:ns3="b8910abd-afb4-4a17-8383-ef574f22d2a6" targetNamespace="http://schemas.microsoft.com/office/2006/metadata/properties" ma:root="true" ma:fieldsID="0789740756884c11e2e8bd22c2dc5d55" ns2:_="" ns3:_="">
    <xsd:import namespace="241f5ab7-bf61-4d6a-b32a-205d6104ab1b"/>
    <xsd:import namespace="b8910abd-afb4-4a17-8383-ef574f22d2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Catalogueavailable" minOccurs="0"/>
                <xsd:element ref="ns2:DemonstratorCall" minOccurs="0"/>
                <xsd:element ref="ns2:MediaLengthInSeconds" minOccurs="0"/>
                <xsd:element ref="ns2:MediaServiceObjectDetectorVersions" minOccurs="0"/>
                <xsd:element ref="ns2:Priority" minOccurs="0"/>
                <xsd:element ref="ns2:Approvalproc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5ab7-bf61-4d6a-b32a-205d6104a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61f28d-28e5-4a52-877e-178e4614e9b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atalogueavailable" ma:index="20" nillable="true" ma:displayName="Catalogue available" ma:default="0" ma:description="mark with YES if the catalogue is uploaded" ma:format="Dropdown" ma:internalName="Catalogueavailable">
      <xsd:simpleType>
        <xsd:restriction base="dms:Boolean"/>
      </xsd:simpleType>
    </xsd:element>
    <xsd:element name="DemonstratorCall" ma:index="21" nillable="true" ma:displayName="Demonstrator Call" ma:format="Dropdown" ma:internalName="DemonstratorCall">
      <xsd:simpleType>
        <xsd:restriction base="dms:Choice">
          <xsd:enumeration value="Choice 1"/>
          <xsd:enumeration value="Choice 2"/>
          <xsd:enumeration value="Choice 3"/>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riority" ma:index="24" nillable="true" ma:displayName="Priority" ma:description="Colours indicate priority" ma:format="Dropdown" ma:internalName="Priority">
      <xsd:simpleType>
        <xsd:restriction base="dms:Choice">
          <xsd:enumeration value="High"/>
          <xsd:enumeration value="Intermediate"/>
          <xsd:enumeration value="Low"/>
        </xsd:restriction>
      </xsd:simpleType>
    </xsd:element>
    <xsd:element name="Approvalprocess" ma:index="25" nillable="true" ma:displayName="Status" ma:description="Versioning stages up to approval" ma:format="Dropdown" ma:internalName="Approvalprocess">
      <xsd:simpleType>
        <xsd:restriction base="dms:Choice">
          <xsd:enumeration value="For Revision_ Coordination"/>
          <xsd:enumeration value="For Revision_WP12"/>
          <xsd:enumeration value="Approve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10abd-afb4-4a17-8383-ef574f22d2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2ee3c2-5e68-4755-8ce0-686cdeb7922f}" ma:internalName="TaxCatchAll" ma:showField="CatchAllData" ma:web="b8910abd-afb4-4a17-8383-ef574f22d2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910abd-afb4-4a17-8383-ef574f22d2a6" xsi:nil="true"/>
    <lcf76f155ced4ddcb4097134ff3c332f xmlns="241f5ab7-bf61-4d6a-b32a-205d6104ab1b">
      <Terms xmlns="http://schemas.microsoft.com/office/infopath/2007/PartnerControls"/>
    </lcf76f155ced4ddcb4097134ff3c332f>
    <DemonstratorCall xmlns="241f5ab7-bf61-4d6a-b32a-205d6104ab1b" xsi:nil="true"/>
    <Approvalprocess xmlns="241f5ab7-bf61-4d6a-b32a-205d6104ab1b" xsi:nil="true"/>
    <Priority xmlns="241f5ab7-bf61-4d6a-b32a-205d6104ab1b" xsi:nil="true"/>
    <Catalogueavailable xmlns="241f5ab7-bf61-4d6a-b32a-205d6104ab1b">false</Catalogueavailable>
    <MediaLengthInSeconds xmlns="241f5ab7-bf61-4d6a-b32a-205d6104ab1b" xsi:nil="true"/>
    <SharedWithUsers xmlns="b8910abd-afb4-4a17-8383-ef574f22d2a6">
      <UserInfo>
        <DisplayName>Manuela Pausan</DisplayName>
        <AccountId>91</AccountId>
        <AccountType/>
      </UserInfo>
      <UserInfo>
        <DisplayName>Grazia Malovan</DisplayName>
        <AccountId>518</AccountId>
        <AccountType/>
      </UserInfo>
      <UserInfo>
        <DisplayName>Saba Abdulghani</DisplayName>
        <AccountId>119</AccountId>
        <AccountType/>
      </UserInfo>
      <UserInfo>
        <DisplayName>Judit Balogh</DisplayName>
        <AccountId>20</AccountId>
        <AccountType/>
      </UserInfo>
      <UserInfo>
        <DisplayName>Aurel Morina</DisplayName>
        <AccountId>501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86C6-0158-4F66-8196-B486869B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f5ab7-bf61-4d6a-b32a-205d6104ab1b"/>
    <ds:schemaRef ds:uri="b8910abd-afb4-4a17-8383-ef574f22d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309A9-A547-4B8A-A4C1-0E9B5F8105EF}">
  <ds:schemaRefs>
    <ds:schemaRef ds:uri="http://schemas.microsoft.com/sharepoint/v3/contenttype/forms"/>
  </ds:schemaRefs>
</ds:datastoreItem>
</file>

<file path=customXml/itemProps3.xml><?xml version="1.0" encoding="utf-8"?>
<ds:datastoreItem xmlns:ds="http://schemas.openxmlformats.org/officeDocument/2006/customXml" ds:itemID="{C5197918-442E-451A-966F-BDE33DAE5919}">
  <ds:schemaRefs>
    <ds:schemaRef ds:uri="http://schemas.microsoft.com/office/2006/metadata/properties"/>
    <ds:schemaRef ds:uri="b8910abd-afb4-4a17-8383-ef574f22d2a6"/>
    <ds:schemaRef ds:uri="http://purl.org/dc/terms/"/>
    <ds:schemaRef ds:uri="http://schemas.openxmlformats.org/package/2006/metadata/core-properties"/>
    <ds:schemaRef ds:uri="241f5ab7-bf61-4d6a-b32a-205d6104ab1b"/>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F749DBD-7DFE-461E-8C3C-E127772B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3054</Words>
  <Characters>18020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2024-11-27T06:50:00Z</dcterms:created>
  <dcterms:modified xsi:type="dcterms:W3CDTF">2024-11-27T06:52:00Z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0x01010096F1FB078FCA434AAC5951F0D74AF0D7</vt:lpwstr>
  </property>
  <property fmtid="{D5CDD505-2E9C-101B-9397-08002B2CF9AE}" pid="3" name="MediaServiceImageTags">
    <vt:lpwstr/>
  </property>
  <property fmtid="{D5CDD505-2E9C-101B-9397-08002B2CF9AE}" pid="4" name="Order">
    <vt:r8>5016400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