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7819B" w14:textId="2EE2645A" w:rsidR="00B45BBE" w:rsidRPr="009B48EE" w:rsidRDefault="00CA2433" w:rsidP="009B48EE">
      <w:pPr>
        <w:pStyle w:val="SubHead"/>
        <w:spacing w:line="312" w:lineRule="auto"/>
        <w:ind w:left="57" w:right="57"/>
        <w:jc w:val="center"/>
        <w:rPr>
          <w:rFonts w:cs="Arial"/>
          <w:color w:val="404040" w:themeColor="text1" w:themeTint="BF"/>
          <w:sz w:val="28"/>
          <w:szCs w:val="28"/>
        </w:rPr>
      </w:pPr>
      <w:r w:rsidRPr="009B48EE">
        <w:rPr>
          <w:rFonts w:cs="Arial"/>
          <w:color w:val="404040" w:themeColor="text1" w:themeTint="BF"/>
          <w:sz w:val="28"/>
          <w:szCs w:val="28"/>
        </w:rPr>
        <w:t>D</w:t>
      </w:r>
      <w:r w:rsidR="00A774CA" w:rsidRPr="009B48EE">
        <w:rPr>
          <w:rFonts w:cs="Arial"/>
          <w:color w:val="404040" w:themeColor="text1" w:themeTint="BF"/>
          <w:sz w:val="28"/>
          <w:szCs w:val="28"/>
        </w:rPr>
        <w:t>odatek</w:t>
      </w:r>
      <w:r w:rsidRPr="009B48EE">
        <w:rPr>
          <w:rFonts w:cs="Arial"/>
          <w:color w:val="404040" w:themeColor="text1" w:themeTint="BF"/>
          <w:sz w:val="28"/>
          <w:szCs w:val="28"/>
        </w:rPr>
        <w:t xml:space="preserve"> č.</w:t>
      </w:r>
      <w:r w:rsidR="009E45C5">
        <w:rPr>
          <w:rFonts w:cs="Arial"/>
          <w:color w:val="404040" w:themeColor="text1" w:themeTint="BF"/>
          <w:sz w:val="28"/>
          <w:szCs w:val="28"/>
        </w:rPr>
        <w:t>3</w:t>
      </w:r>
      <w:r w:rsidRPr="009B48EE">
        <w:rPr>
          <w:rFonts w:cs="Arial"/>
          <w:color w:val="404040" w:themeColor="text1" w:themeTint="BF"/>
          <w:sz w:val="28"/>
          <w:szCs w:val="28"/>
        </w:rPr>
        <w:t xml:space="preserve"> ke </w:t>
      </w:r>
      <w:r w:rsidR="00B45BBE" w:rsidRPr="009B48EE">
        <w:rPr>
          <w:rFonts w:cs="Arial"/>
          <w:color w:val="404040" w:themeColor="text1" w:themeTint="BF"/>
          <w:sz w:val="28"/>
          <w:szCs w:val="28"/>
        </w:rPr>
        <w:t>Smlouv</w:t>
      </w:r>
      <w:r w:rsidR="00A774CA" w:rsidRPr="009B48EE">
        <w:rPr>
          <w:rFonts w:cs="Arial"/>
          <w:color w:val="404040" w:themeColor="text1" w:themeTint="BF"/>
          <w:sz w:val="28"/>
          <w:szCs w:val="28"/>
        </w:rPr>
        <w:t>ě</w:t>
      </w:r>
      <w:r w:rsidR="00B45BBE" w:rsidRPr="009B48EE">
        <w:rPr>
          <w:rFonts w:cs="Arial"/>
          <w:color w:val="404040" w:themeColor="text1" w:themeTint="BF"/>
          <w:sz w:val="28"/>
          <w:szCs w:val="28"/>
        </w:rPr>
        <w:t xml:space="preserve"> o pořízení licence SW a poskytování souvisejících služeb </w:t>
      </w:r>
    </w:p>
    <w:p w14:paraId="2E008A0D" w14:textId="7A859355" w:rsidR="00CA2433" w:rsidRPr="001D6A54" w:rsidRDefault="00A774CA" w:rsidP="009B48EE">
      <w:pPr>
        <w:pStyle w:val="SubHead"/>
        <w:spacing w:before="0" w:after="0" w:line="312" w:lineRule="auto"/>
        <w:ind w:left="57" w:right="57"/>
        <w:jc w:val="center"/>
        <w:rPr>
          <w:rFonts w:cs="Arial"/>
          <w:color w:val="404040" w:themeColor="text1" w:themeTint="BF"/>
          <w:sz w:val="22"/>
          <w:szCs w:val="22"/>
        </w:rPr>
      </w:pPr>
      <w:r w:rsidRPr="001D6A54">
        <w:rPr>
          <w:rFonts w:cs="Arial"/>
          <w:color w:val="404040" w:themeColor="text1" w:themeTint="BF"/>
          <w:sz w:val="22"/>
          <w:szCs w:val="22"/>
        </w:rPr>
        <w:t>č</w:t>
      </w:r>
      <w:r w:rsidR="00B45BBE" w:rsidRPr="001D6A54">
        <w:rPr>
          <w:rFonts w:cs="Arial"/>
          <w:color w:val="404040" w:themeColor="text1" w:themeTint="BF"/>
          <w:sz w:val="22"/>
          <w:szCs w:val="22"/>
        </w:rPr>
        <w:t>íslo 2024/019 NAKIT</w:t>
      </w:r>
      <w:r w:rsidR="009B48EE" w:rsidRPr="001D6A54">
        <w:rPr>
          <w:rFonts w:cs="Arial"/>
          <w:color w:val="404040" w:themeColor="text1" w:themeTint="BF"/>
          <w:sz w:val="22"/>
          <w:szCs w:val="22"/>
        </w:rPr>
        <w:t>,</w:t>
      </w:r>
      <w:r w:rsidR="00CA2433" w:rsidRPr="001D6A54">
        <w:rPr>
          <w:rFonts w:cs="Arial"/>
          <w:color w:val="404040" w:themeColor="text1" w:themeTint="BF"/>
          <w:sz w:val="22"/>
          <w:szCs w:val="22"/>
        </w:rPr>
        <w:t xml:space="preserve"> uzavřené dne </w:t>
      </w:r>
      <w:r w:rsidR="004E124D" w:rsidRPr="001D6A54">
        <w:rPr>
          <w:rFonts w:cs="Arial"/>
          <w:color w:val="404040" w:themeColor="text1" w:themeTint="BF"/>
          <w:sz w:val="22"/>
          <w:szCs w:val="22"/>
        </w:rPr>
        <w:t>12.1.</w:t>
      </w:r>
      <w:r w:rsidRPr="001D6A54">
        <w:rPr>
          <w:rFonts w:cs="Arial"/>
          <w:color w:val="404040" w:themeColor="text1" w:themeTint="BF"/>
          <w:sz w:val="22"/>
          <w:szCs w:val="22"/>
        </w:rPr>
        <w:t>2024</w:t>
      </w:r>
      <w:r w:rsidR="001E7E8F">
        <w:rPr>
          <w:rFonts w:cs="Arial"/>
          <w:color w:val="404040" w:themeColor="text1" w:themeTint="BF"/>
          <w:sz w:val="22"/>
          <w:szCs w:val="22"/>
        </w:rPr>
        <w:t xml:space="preserve"> </w:t>
      </w:r>
    </w:p>
    <w:p w14:paraId="65BCE605" w14:textId="77777777" w:rsidR="00CA2433" w:rsidRPr="009B48EE" w:rsidRDefault="00CA2433" w:rsidP="009B48EE">
      <w:pPr>
        <w:pStyle w:val="SubHead"/>
        <w:spacing w:before="0" w:after="0" w:line="312" w:lineRule="auto"/>
        <w:ind w:left="57" w:right="57" w:firstLine="57"/>
        <w:jc w:val="center"/>
        <w:rPr>
          <w:rFonts w:cs="Arial"/>
          <w:b w:val="0"/>
          <w:bCs/>
          <w:color w:val="404040" w:themeColor="text1" w:themeTint="BF"/>
          <w:sz w:val="22"/>
          <w:szCs w:val="22"/>
        </w:rPr>
      </w:pPr>
    </w:p>
    <w:p w14:paraId="5B4C40D3" w14:textId="77777777" w:rsidR="00A774CA" w:rsidRPr="009B48EE" w:rsidRDefault="00A774CA" w:rsidP="009B48EE">
      <w:pPr>
        <w:pStyle w:val="SubHead"/>
        <w:spacing w:before="0" w:after="0" w:line="312" w:lineRule="auto"/>
        <w:ind w:left="57" w:right="57" w:firstLine="57"/>
        <w:rPr>
          <w:rFonts w:cs="Arial"/>
          <w:b w:val="0"/>
          <w:bCs/>
          <w:color w:val="404040" w:themeColor="text1" w:themeTint="BF"/>
          <w:sz w:val="22"/>
          <w:szCs w:val="22"/>
        </w:rPr>
      </w:pPr>
    </w:p>
    <w:p w14:paraId="65610466" w14:textId="1E41BF15" w:rsidR="00CA2433" w:rsidRPr="00E3273D" w:rsidRDefault="00CA2433" w:rsidP="00E3273D">
      <w:pPr>
        <w:pStyle w:val="SubHead"/>
        <w:spacing w:before="0" w:after="0" w:line="312" w:lineRule="auto"/>
        <w:ind w:right="57"/>
        <w:rPr>
          <w:rFonts w:cs="Arial"/>
          <w:b w:val="0"/>
          <w:bCs/>
          <w:color w:val="404040" w:themeColor="text1" w:themeTint="BF"/>
          <w:sz w:val="22"/>
          <w:szCs w:val="22"/>
        </w:rPr>
      </w:pPr>
      <w:r w:rsidRPr="00E3273D">
        <w:rPr>
          <w:rFonts w:cs="Arial"/>
          <w:b w:val="0"/>
          <w:bCs/>
          <w:color w:val="404040" w:themeColor="text1" w:themeTint="BF"/>
          <w:sz w:val="22"/>
          <w:szCs w:val="22"/>
        </w:rPr>
        <w:t>Smluvní strany:</w:t>
      </w:r>
    </w:p>
    <w:p w14:paraId="08C5CFB9" w14:textId="77777777" w:rsidR="000473EA" w:rsidRPr="009B48EE" w:rsidRDefault="000473EA" w:rsidP="009B48EE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</w:p>
    <w:p w14:paraId="24BF862D" w14:textId="77777777" w:rsidR="00A774CA" w:rsidRPr="009B48EE" w:rsidRDefault="00A774CA" w:rsidP="009B48EE">
      <w:pPr>
        <w:spacing w:line="312" w:lineRule="auto"/>
        <w:rPr>
          <w:rFonts w:cs="Arial"/>
          <w:b/>
          <w:bCs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b/>
          <w:bCs/>
          <w:color w:val="404040" w:themeColor="text1" w:themeTint="BF"/>
          <w:kern w:val="20"/>
          <w:sz w:val="22"/>
          <w:szCs w:val="22"/>
        </w:rPr>
        <w:t xml:space="preserve">Národní agentura pro komunikační a informační technologie, s. p. </w:t>
      </w:r>
    </w:p>
    <w:p w14:paraId="628B3AF2" w14:textId="6A328E63" w:rsidR="00A774CA" w:rsidRPr="009B48EE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se sídlem </w:t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Kodaňská 1441/46, Vršovice, 101 00 Praha 10 </w:t>
      </w:r>
    </w:p>
    <w:p w14:paraId="12614483" w14:textId="4F8BB2D5" w:rsidR="00A774CA" w:rsidRPr="009B48EE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IČO: </w:t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04767543 </w:t>
      </w:r>
    </w:p>
    <w:p w14:paraId="388E0CF6" w14:textId="22417455" w:rsidR="00A774CA" w:rsidRPr="009B48EE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DIČ: </w:t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CZ04767543 </w:t>
      </w:r>
    </w:p>
    <w:p w14:paraId="1907BA8A" w14:textId="4B09E811" w:rsidR="00A774CA" w:rsidRPr="009B48EE" w:rsidRDefault="00A774CA" w:rsidP="00464346">
      <w:pPr>
        <w:spacing w:line="312" w:lineRule="auto"/>
        <w:ind w:left="2120" w:hanging="2120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zastoupen: </w:t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735FC5">
        <w:rPr>
          <w:rFonts w:cs="Arial"/>
          <w:color w:val="404040" w:themeColor="text1" w:themeTint="BF"/>
          <w:kern w:val="20"/>
          <w:sz w:val="22"/>
          <w:szCs w:val="22"/>
        </w:rPr>
        <w:t>xxx</w:t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 </w:t>
      </w:r>
    </w:p>
    <w:p w14:paraId="588BFB7A" w14:textId="4A2240E5" w:rsidR="00A774CA" w:rsidRPr="009B48EE" w:rsidRDefault="00A774CA" w:rsidP="000C2C2E">
      <w:pPr>
        <w:spacing w:line="312" w:lineRule="auto"/>
        <w:ind w:left="2120" w:hanging="2120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zapsán </w:t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v obchodním rejstříku vedeném Městským soudem v Praze oddíl A vložka 77322 </w:t>
      </w:r>
    </w:p>
    <w:p w14:paraId="0D3B4BC5" w14:textId="1773EC9D" w:rsidR="00A774CA" w:rsidRPr="009B48EE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bankovní spojení </w:t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735FC5">
        <w:rPr>
          <w:rFonts w:cs="Arial"/>
          <w:color w:val="404040" w:themeColor="text1" w:themeTint="BF"/>
          <w:kern w:val="20"/>
          <w:sz w:val="22"/>
          <w:szCs w:val="22"/>
        </w:rPr>
        <w:t>xxx</w:t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 </w:t>
      </w:r>
    </w:p>
    <w:p w14:paraId="36D66CE1" w14:textId="5921CCA8" w:rsidR="00A774CA" w:rsidRPr="009B48EE" w:rsidRDefault="00A774CA" w:rsidP="000C2C2E">
      <w:pPr>
        <w:spacing w:line="312" w:lineRule="auto"/>
        <w:ind w:left="1416" w:firstLine="708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>č.ú.</w:t>
      </w:r>
      <w:r w:rsidR="00735FC5">
        <w:rPr>
          <w:rFonts w:cs="Arial"/>
          <w:color w:val="404040" w:themeColor="text1" w:themeTint="BF"/>
          <w:kern w:val="20"/>
          <w:sz w:val="22"/>
          <w:szCs w:val="22"/>
        </w:rPr>
        <w:t>xxx</w:t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 </w:t>
      </w:r>
    </w:p>
    <w:p w14:paraId="1F8AEEAD" w14:textId="6815CA9D" w:rsidR="00A774CA" w:rsidRPr="009B48EE" w:rsidRDefault="00A774CA" w:rsidP="00E3273D">
      <w:pPr>
        <w:spacing w:after="120"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ID datové schránky: </w:t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hkrkpwn </w:t>
      </w:r>
    </w:p>
    <w:p w14:paraId="4F88BC2F" w14:textId="77777777" w:rsidR="00A774CA" w:rsidRPr="009B48EE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>(dále jen „</w:t>
      </w:r>
      <w:r w:rsidRPr="00E3273D">
        <w:rPr>
          <w:rFonts w:cs="Arial"/>
          <w:b/>
          <w:bCs/>
          <w:color w:val="404040" w:themeColor="text1" w:themeTint="BF"/>
          <w:kern w:val="20"/>
          <w:sz w:val="22"/>
          <w:szCs w:val="22"/>
        </w:rPr>
        <w:t>Objednatel</w:t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>“)</w:t>
      </w:r>
    </w:p>
    <w:p w14:paraId="53124ACD" w14:textId="175FC156" w:rsidR="00A774CA" w:rsidRPr="009B48EE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 </w:t>
      </w:r>
    </w:p>
    <w:p w14:paraId="10353DFE" w14:textId="2F5CD0A5" w:rsidR="00A774CA" w:rsidRPr="00EF2CB1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EF2CB1">
        <w:rPr>
          <w:rFonts w:cs="Arial"/>
          <w:color w:val="404040" w:themeColor="text1" w:themeTint="BF"/>
          <w:kern w:val="20"/>
          <w:sz w:val="22"/>
          <w:szCs w:val="22"/>
        </w:rPr>
        <w:t>a</w:t>
      </w:r>
    </w:p>
    <w:p w14:paraId="7FCC7D99" w14:textId="4BA83CE7" w:rsidR="00A774CA" w:rsidRPr="009B48EE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 </w:t>
      </w:r>
    </w:p>
    <w:p w14:paraId="62FB62B2" w14:textId="77777777" w:rsidR="00A774CA" w:rsidRPr="009B48EE" w:rsidRDefault="00A774CA" w:rsidP="009B48EE">
      <w:pPr>
        <w:spacing w:line="312" w:lineRule="auto"/>
        <w:rPr>
          <w:rFonts w:cs="Arial"/>
          <w:b/>
          <w:bCs/>
          <w:color w:val="404040" w:themeColor="text1" w:themeTint="BF"/>
          <w:kern w:val="20"/>
          <w:sz w:val="22"/>
          <w:szCs w:val="22"/>
        </w:rPr>
      </w:pPr>
      <w:bookmarkStart w:id="0" w:name="_Hlk182824102"/>
      <w:r w:rsidRPr="009B48EE">
        <w:rPr>
          <w:rFonts w:cs="Arial"/>
          <w:b/>
          <w:bCs/>
          <w:color w:val="404040" w:themeColor="text1" w:themeTint="BF"/>
          <w:kern w:val="20"/>
          <w:sz w:val="22"/>
          <w:szCs w:val="22"/>
        </w:rPr>
        <w:t xml:space="preserve">ALVAO s.r.o. </w:t>
      </w:r>
    </w:p>
    <w:bookmarkEnd w:id="0"/>
    <w:p w14:paraId="61063A47" w14:textId="259114FD" w:rsidR="00A774CA" w:rsidRPr="009B48EE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se sídlem </w:t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Hlohová 1455/10, 591 01 Žďár nad Sázavou </w:t>
      </w:r>
    </w:p>
    <w:p w14:paraId="46F69A0C" w14:textId="53F7D2AA" w:rsidR="00A774CA" w:rsidRPr="009B48EE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IČO: </w:t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25561561 </w:t>
      </w:r>
    </w:p>
    <w:p w14:paraId="7D80998B" w14:textId="4BF47474" w:rsidR="00A774CA" w:rsidRPr="009B48EE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DIČ: </w:t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CZ25561561 </w:t>
      </w:r>
    </w:p>
    <w:p w14:paraId="498F6BDF" w14:textId="403AE076" w:rsidR="00A774CA" w:rsidRPr="009B48EE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zastoupen: </w:t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735FC5">
        <w:rPr>
          <w:rFonts w:cs="Arial"/>
          <w:color w:val="404040" w:themeColor="text1" w:themeTint="BF"/>
          <w:kern w:val="20"/>
          <w:sz w:val="22"/>
          <w:szCs w:val="22"/>
        </w:rPr>
        <w:t>xxx</w:t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 </w:t>
      </w:r>
    </w:p>
    <w:p w14:paraId="1E2A25F3" w14:textId="66F35724" w:rsidR="00A774CA" w:rsidRPr="009B48EE" w:rsidRDefault="00A774CA" w:rsidP="000C2C2E">
      <w:pPr>
        <w:spacing w:line="312" w:lineRule="auto"/>
        <w:ind w:left="2120" w:hanging="2120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zapsán </w:t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v obchodním rejstříku vedeném u Krajského soudu v Brně oddíl C vložka 33290 </w:t>
      </w:r>
    </w:p>
    <w:p w14:paraId="51FEB03F" w14:textId="511AB401" w:rsidR="00A774CA" w:rsidRPr="009B48EE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bankovní spojení </w:t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735FC5">
        <w:rPr>
          <w:rFonts w:cs="Arial"/>
          <w:color w:val="404040" w:themeColor="text1" w:themeTint="BF"/>
          <w:kern w:val="20"/>
          <w:sz w:val="22"/>
          <w:szCs w:val="22"/>
        </w:rPr>
        <w:t>xxx</w:t>
      </w:r>
    </w:p>
    <w:p w14:paraId="32BC39FA" w14:textId="472483A8" w:rsidR="00A774CA" w:rsidRPr="009B48EE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č.ú. </w:t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="00735FC5">
        <w:rPr>
          <w:rFonts w:cs="Arial"/>
          <w:color w:val="404040" w:themeColor="text1" w:themeTint="BF"/>
          <w:kern w:val="20"/>
          <w:sz w:val="22"/>
          <w:szCs w:val="22"/>
        </w:rPr>
        <w:t>xxx</w:t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 </w:t>
      </w:r>
    </w:p>
    <w:p w14:paraId="7A090488" w14:textId="240FB641" w:rsidR="00A774CA" w:rsidRPr="009B48EE" w:rsidRDefault="00A774CA" w:rsidP="00E3273D">
      <w:pPr>
        <w:spacing w:after="120"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ID datové schránky: </w:t>
      </w:r>
      <w:r w:rsidR="000C2C2E">
        <w:rPr>
          <w:rFonts w:cs="Arial"/>
          <w:color w:val="404040" w:themeColor="text1" w:themeTint="BF"/>
          <w:kern w:val="20"/>
          <w:sz w:val="22"/>
          <w:szCs w:val="22"/>
        </w:rPr>
        <w:tab/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>4qakexh</w:t>
      </w:r>
    </w:p>
    <w:p w14:paraId="46FFD802" w14:textId="77777777" w:rsidR="00A774CA" w:rsidRPr="009B48EE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>(dále jen „</w:t>
      </w:r>
      <w:r w:rsidRPr="00E3273D">
        <w:rPr>
          <w:rFonts w:cs="Arial"/>
          <w:b/>
          <w:bCs/>
          <w:color w:val="404040" w:themeColor="text1" w:themeTint="BF"/>
          <w:kern w:val="20"/>
          <w:sz w:val="22"/>
          <w:szCs w:val="22"/>
        </w:rPr>
        <w:t>Dodavatel</w:t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“) </w:t>
      </w:r>
    </w:p>
    <w:p w14:paraId="4EA07A4C" w14:textId="77777777" w:rsidR="00A774CA" w:rsidRPr="009B48EE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</w:p>
    <w:p w14:paraId="600E8F47" w14:textId="6730019F" w:rsidR="00A774CA" w:rsidRPr="009B48EE" w:rsidRDefault="0075639F" w:rsidP="000E1868">
      <w:pPr>
        <w:spacing w:line="312" w:lineRule="auto"/>
        <w:jc w:val="both"/>
        <w:rPr>
          <w:rFonts w:cs="Arial"/>
          <w:color w:val="404040" w:themeColor="text1" w:themeTint="BF"/>
          <w:kern w:val="20"/>
          <w:sz w:val="22"/>
          <w:szCs w:val="22"/>
        </w:rPr>
      </w:pPr>
      <w:r>
        <w:rPr>
          <w:rFonts w:cs="Arial"/>
          <w:color w:val="404040" w:themeColor="text1" w:themeTint="BF"/>
          <w:kern w:val="20"/>
          <w:sz w:val="22"/>
          <w:szCs w:val="22"/>
        </w:rPr>
        <w:t>[</w:t>
      </w:r>
      <w:r w:rsidR="00A774CA" w:rsidRPr="009B48EE">
        <w:rPr>
          <w:rFonts w:cs="Arial"/>
          <w:color w:val="404040" w:themeColor="text1" w:themeTint="BF"/>
          <w:kern w:val="20"/>
          <w:sz w:val="22"/>
          <w:szCs w:val="22"/>
        </w:rPr>
        <w:t>dále jednotlivě jako „</w:t>
      </w:r>
      <w:r w:rsidR="00A774CA" w:rsidRPr="00E3273D">
        <w:rPr>
          <w:rFonts w:cs="Arial"/>
          <w:b/>
          <w:bCs/>
          <w:color w:val="404040" w:themeColor="text1" w:themeTint="BF"/>
          <w:kern w:val="20"/>
          <w:sz w:val="22"/>
          <w:szCs w:val="22"/>
        </w:rPr>
        <w:t>Smluvní strana</w:t>
      </w:r>
      <w:r w:rsidR="00A774CA" w:rsidRPr="009B48EE">
        <w:rPr>
          <w:rFonts w:cs="Arial"/>
          <w:color w:val="404040" w:themeColor="text1" w:themeTint="BF"/>
          <w:kern w:val="20"/>
          <w:sz w:val="22"/>
          <w:szCs w:val="22"/>
        </w:rPr>
        <w:t>“, nebo společně jako „</w:t>
      </w:r>
      <w:r w:rsidR="00A774CA" w:rsidRPr="00E3273D">
        <w:rPr>
          <w:rFonts w:cs="Arial"/>
          <w:b/>
          <w:bCs/>
          <w:color w:val="404040" w:themeColor="text1" w:themeTint="BF"/>
          <w:kern w:val="20"/>
          <w:sz w:val="22"/>
          <w:szCs w:val="22"/>
        </w:rPr>
        <w:t>Smluvní strany</w:t>
      </w:r>
      <w:r w:rsidR="00A774CA" w:rsidRPr="009B48EE">
        <w:rPr>
          <w:rFonts w:cs="Arial"/>
          <w:color w:val="404040" w:themeColor="text1" w:themeTint="BF"/>
          <w:kern w:val="20"/>
          <w:sz w:val="22"/>
          <w:szCs w:val="22"/>
        </w:rPr>
        <w:t>“</w:t>
      </w:r>
      <w:r w:rsidR="000E1868">
        <w:rPr>
          <w:rFonts w:cs="Arial"/>
          <w:color w:val="404040" w:themeColor="text1" w:themeTint="BF"/>
          <w:kern w:val="20"/>
          <w:sz w:val="22"/>
          <w:szCs w:val="22"/>
        </w:rPr>
        <w:t xml:space="preserve">, a </w:t>
      </w:r>
      <w:r w:rsidR="000E1868" w:rsidRPr="009B48EE">
        <w:rPr>
          <w:rFonts w:cs="Arial"/>
          <w:color w:val="404040" w:themeColor="text1" w:themeTint="BF"/>
          <w:kern w:val="20"/>
          <w:sz w:val="22"/>
          <w:szCs w:val="22"/>
        </w:rPr>
        <w:t>Smlouv</w:t>
      </w:r>
      <w:r w:rsidR="000E1868">
        <w:rPr>
          <w:rFonts w:cs="Arial"/>
          <w:color w:val="404040" w:themeColor="text1" w:themeTint="BF"/>
          <w:kern w:val="20"/>
          <w:sz w:val="22"/>
          <w:szCs w:val="22"/>
        </w:rPr>
        <w:t>a</w:t>
      </w:r>
      <w:r w:rsidR="000E1868"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 o</w:t>
      </w:r>
      <w:r w:rsidR="000E1868">
        <w:rPr>
          <w:rFonts w:cs="Arial"/>
          <w:color w:val="404040" w:themeColor="text1" w:themeTint="BF"/>
          <w:kern w:val="20"/>
          <w:sz w:val="22"/>
          <w:szCs w:val="22"/>
        </w:rPr>
        <w:t> </w:t>
      </w:r>
      <w:r w:rsidR="000E1868" w:rsidRPr="009B48EE">
        <w:rPr>
          <w:rFonts w:cs="Arial"/>
          <w:color w:val="404040" w:themeColor="text1" w:themeTint="BF"/>
          <w:kern w:val="20"/>
          <w:sz w:val="22"/>
          <w:szCs w:val="22"/>
        </w:rPr>
        <w:t>pořízení licence SW a poskytování souvisejících služeb číslo 2024/019 NAKIT</w:t>
      </w:r>
      <w:r w:rsidR="000E1868">
        <w:rPr>
          <w:rFonts w:cs="Arial"/>
          <w:color w:val="404040" w:themeColor="text1" w:themeTint="BF"/>
          <w:kern w:val="20"/>
          <w:sz w:val="22"/>
          <w:szCs w:val="22"/>
        </w:rPr>
        <w:t xml:space="preserve">, ze dne </w:t>
      </w:r>
      <w:r w:rsidR="000E1868" w:rsidRPr="009B48EE">
        <w:rPr>
          <w:rFonts w:cs="Arial"/>
          <w:color w:val="404040" w:themeColor="text1" w:themeTint="BF"/>
          <w:kern w:val="20"/>
          <w:sz w:val="22"/>
          <w:szCs w:val="22"/>
        </w:rPr>
        <w:t>12.1.2024</w:t>
      </w:r>
      <w:r w:rsidR="000E1868">
        <w:rPr>
          <w:rFonts w:cs="Arial"/>
          <w:color w:val="404040" w:themeColor="text1" w:themeTint="BF"/>
          <w:kern w:val="20"/>
          <w:sz w:val="22"/>
          <w:szCs w:val="22"/>
        </w:rPr>
        <w:t xml:space="preserve"> </w:t>
      </w:r>
      <w:r>
        <w:rPr>
          <w:rFonts w:cs="Arial"/>
          <w:color w:val="404040" w:themeColor="text1" w:themeTint="BF"/>
          <w:kern w:val="20"/>
          <w:sz w:val="22"/>
          <w:szCs w:val="22"/>
        </w:rPr>
        <w:t>ve znění jej</w:t>
      </w:r>
      <w:r w:rsidR="001025BF">
        <w:rPr>
          <w:rFonts w:cs="Arial"/>
          <w:color w:val="404040" w:themeColor="text1" w:themeTint="BF"/>
          <w:kern w:val="20"/>
          <w:sz w:val="22"/>
          <w:szCs w:val="22"/>
        </w:rPr>
        <w:t>í</w:t>
      </w:r>
      <w:r>
        <w:rPr>
          <w:rFonts w:cs="Arial"/>
          <w:color w:val="404040" w:themeColor="text1" w:themeTint="BF"/>
          <w:kern w:val="20"/>
          <w:sz w:val="22"/>
          <w:szCs w:val="22"/>
        </w:rPr>
        <w:t xml:space="preserve">ch dodatků </w:t>
      </w:r>
      <w:r w:rsidRPr="00F654AA">
        <w:rPr>
          <w:rFonts w:cs="Arial"/>
          <w:color w:val="404040" w:themeColor="text1" w:themeTint="BF"/>
          <w:kern w:val="20"/>
          <w:sz w:val="22"/>
          <w:szCs w:val="22"/>
        </w:rPr>
        <w:t>č. 1 ze dne 1.5.2024 a č. 2 ze dne 28.5.2024</w:t>
      </w:r>
      <w:r>
        <w:rPr>
          <w:rFonts w:cs="Arial"/>
          <w:color w:val="404040" w:themeColor="text1" w:themeTint="BF"/>
          <w:kern w:val="20"/>
          <w:sz w:val="22"/>
          <w:szCs w:val="22"/>
        </w:rPr>
        <w:t xml:space="preserve"> (</w:t>
      </w:r>
      <w:r w:rsidR="000E1868">
        <w:rPr>
          <w:rFonts w:cs="Arial"/>
          <w:color w:val="404040" w:themeColor="text1" w:themeTint="BF"/>
          <w:kern w:val="20"/>
          <w:sz w:val="22"/>
          <w:szCs w:val="22"/>
        </w:rPr>
        <w:t>dále jen „</w:t>
      </w:r>
      <w:r w:rsidR="000E1868" w:rsidRPr="000E1868">
        <w:rPr>
          <w:rFonts w:cs="Arial"/>
          <w:b/>
          <w:bCs/>
          <w:color w:val="404040" w:themeColor="text1" w:themeTint="BF"/>
          <w:kern w:val="20"/>
          <w:sz w:val="22"/>
          <w:szCs w:val="22"/>
        </w:rPr>
        <w:t>Smlouva</w:t>
      </w:r>
      <w:r w:rsidR="000E1868">
        <w:rPr>
          <w:rFonts w:cs="Arial"/>
          <w:color w:val="404040" w:themeColor="text1" w:themeTint="BF"/>
          <w:kern w:val="20"/>
          <w:sz w:val="22"/>
          <w:szCs w:val="22"/>
        </w:rPr>
        <w:t>“</w:t>
      </w:r>
      <w:r w:rsidR="00A774CA" w:rsidRPr="009B48EE">
        <w:rPr>
          <w:rFonts w:cs="Arial"/>
          <w:color w:val="404040" w:themeColor="text1" w:themeTint="BF"/>
          <w:kern w:val="20"/>
          <w:sz w:val="22"/>
          <w:szCs w:val="22"/>
        </w:rPr>
        <w:t>)</w:t>
      </w:r>
      <w:r>
        <w:rPr>
          <w:rFonts w:cs="Arial"/>
          <w:color w:val="404040" w:themeColor="text1" w:themeTint="BF"/>
          <w:kern w:val="20"/>
          <w:sz w:val="22"/>
          <w:szCs w:val="22"/>
        </w:rPr>
        <w:t>]</w:t>
      </w:r>
      <w:r w:rsidR="00A774CA"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 </w:t>
      </w:r>
    </w:p>
    <w:p w14:paraId="4936F300" w14:textId="77777777" w:rsidR="00A774CA" w:rsidRPr="009B48EE" w:rsidRDefault="00A774CA" w:rsidP="009B48EE">
      <w:pPr>
        <w:spacing w:line="312" w:lineRule="auto"/>
        <w:rPr>
          <w:rFonts w:cs="Arial"/>
          <w:color w:val="404040" w:themeColor="text1" w:themeTint="BF"/>
          <w:kern w:val="20"/>
          <w:sz w:val="22"/>
          <w:szCs w:val="22"/>
        </w:rPr>
      </w:pPr>
    </w:p>
    <w:p w14:paraId="3FECA18B" w14:textId="3F6B9EBC" w:rsidR="00087270" w:rsidRDefault="00A774CA" w:rsidP="001E444E">
      <w:pPr>
        <w:spacing w:line="312" w:lineRule="auto"/>
        <w:jc w:val="both"/>
        <w:rPr>
          <w:rFonts w:cs="Arial"/>
          <w:color w:val="404040" w:themeColor="text1" w:themeTint="BF"/>
          <w:sz w:val="22"/>
          <w:szCs w:val="22"/>
        </w:rPr>
      </w:pP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uzavírají </w:t>
      </w:r>
      <w:r w:rsidR="00EF3CE5">
        <w:rPr>
          <w:rFonts w:cs="Arial"/>
          <w:color w:val="404040" w:themeColor="text1" w:themeTint="BF"/>
          <w:kern w:val="20"/>
          <w:sz w:val="22"/>
          <w:szCs w:val="22"/>
        </w:rPr>
        <w:t>tento d</w:t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>odatek č.</w:t>
      </w:r>
      <w:r w:rsidR="00A65D1D">
        <w:rPr>
          <w:rFonts w:cs="Arial"/>
          <w:color w:val="404040" w:themeColor="text1" w:themeTint="BF"/>
          <w:kern w:val="20"/>
          <w:sz w:val="22"/>
          <w:szCs w:val="22"/>
        </w:rPr>
        <w:t>3</w:t>
      </w:r>
      <w:r w:rsidRPr="009B48EE">
        <w:rPr>
          <w:rFonts w:cs="Arial"/>
          <w:color w:val="404040" w:themeColor="text1" w:themeTint="BF"/>
          <w:kern w:val="20"/>
          <w:sz w:val="22"/>
          <w:szCs w:val="22"/>
        </w:rPr>
        <w:t xml:space="preserve"> ke Smlouvě tohoto znění</w:t>
      </w:r>
      <w:r w:rsidR="00EF3CE5">
        <w:rPr>
          <w:rFonts w:cs="Arial"/>
          <w:color w:val="404040" w:themeColor="text1" w:themeTint="BF"/>
          <w:kern w:val="20"/>
          <w:sz w:val="22"/>
          <w:szCs w:val="22"/>
        </w:rPr>
        <w:t xml:space="preserve"> (dále jen „</w:t>
      </w:r>
      <w:r w:rsidR="00EF3CE5" w:rsidRPr="00EF3CE5">
        <w:rPr>
          <w:rFonts w:cs="Arial"/>
          <w:b/>
          <w:bCs/>
          <w:color w:val="404040" w:themeColor="text1" w:themeTint="BF"/>
          <w:kern w:val="20"/>
          <w:sz w:val="22"/>
          <w:szCs w:val="22"/>
        </w:rPr>
        <w:t>Dodatek</w:t>
      </w:r>
      <w:r w:rsidR="00EF3CE5">
        <w:rPr>
          <w:rFonts w:cs="Arial"/>
          <w:color w:val="404040" w:themeColor="text1" w:themeTint="BF"/>
          <w:kern w:val="20"/>
          <w:sz w:val="22"/>
          <w:szCs w:val="22"/>
        </w:rPr>
        <w:t>“)</w:t>
      </w:r>
      <w:r w:rsidR="000473EA" w:rsidRPr="009B48EE">
        <w:rPr>
          <w:rFonts w:cs="Arial"/>
          <w:color w:val="404040" w:themeColor="text1" w:themeTint="BF"/>
          <w:sz w:val="22"/>
          <w:szCs w:val="22"/>
        </w:rPr>
        <w:t>:</w:t>
      </w:r>
    </w:p>
    <w:p w14:paraId="150F328D" w14:textId="77777777" w:rsidR="00464346" w:rsidRPr="001E444E" w:rsidRDefault="00464346" w:rsidP="001E444E">
      <w:pPr>
        <w:spacing w:line="312" w:lineRule="auto"/>
        <w:jc w:val="both"/>
        <w:rPr>
          <w:rFonts w:cs="Arial"/>
          <w:color w:val="404040" w:themeColor="text1" w:themeTint="BF"/>
          <w:kern w:val="20"/>
          <w:sz w:val="22"/>
          <w:szCs w:val="22"/>
        </w:rPr>
      </w:pPr>
    </w:p>
    <w:p w14:paraId="6CFF44C8" w14:textId="0BE889D3" w:rsidR="000473EA" w:rsidRPr="00AB0D78" w:rsidRDefault="000473EA" w:rsidP="00AB0D78">
      <w:pPr>
        <w:pStyle w:val="Odstavecseseznamem"/>
        <w:numPr>
          <w:ilvl w:val="0"/>
          <w:numId w:val="5"/>
        </w:numPr>
        <w:spacing w:line="312" w:lineRule="auto"/>
        <w:jc w:val="center"/>
        <w:rPr>
          <w:rFonts w:cs="Arial"/>
          <w:b/>
          <w:bCs/>
          <w:color w:val="404040" w:themeColor="text1" w:themeTint="BF"/>
          <w:sz w:val="22"/>
          <w:szCs w:val="22"/>
        </w:rPr>
      </w:pPr>
      <w:r w:rsidRPr="00AB0D78">
        <w:rPr>
          <w:rFonts w:cs="Arial"/>
          <w:b/>
          <w:bCs/>
          <w:color w:val="404040" w:themeColor="text1" w:themeTint="BF"/>
          <w:sz w:val="22"/>
          <w:szCs w:val="22"/>
        </w:rPr>
        <w:lastRenderedPageBreak/>
        <w:t xml:space="preserve">Předmět </w:t>
      </w:r>
      <w:r w:rsidR="00175CA6" w:rsidRPr="00AB0D78">
        <w:rPr>
          <w:rFonts w:cs="Arial"/>
          <w:b/>
          <w:bCs/>
          <w:color w:val="404040" w:themeColor="text1" w:themeTint="BF"/>
          <w:sz w:val="22"/>
          <w:szCs w:val="22"/>
        </w:rPr>
        <w:t>D</w:t>
      </w:r>
      <w:r w:rsidRPr="00AB0D78">
        <w:rPr>
          <w:rFonts w:cs="Arial"/>
          <w:b/>
          <w:bCs/>
          <w:color w:val="404040" w:themeColor="text1" w:themeTint="BF"/>
          <w:sz w:val="22"/>
          <w:szCs w:val="22"/>
        </w:rPr>
        <w:t>odatku</w:t>
      </w:r>
    </w:p>
    <w:p w14:paraId="2AEF3EB9" w14:textId="77777777" w:rsidR="000473EA" w:rsidRPr="009B48EE" w:rsidRDefault="000473EA" w:rsidP="009B48EE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</w:p>
    <w:p w14:paraId="5BA8BF69" w14:textId="058BE299" w:rsidR="00AB0D78" w:rsidRPr="00BB29B0" w:rsidRDefault="000D423C" w:rsidP="00E66117">
      <w:pPr>
        <w:pStyle w:val="Odstavecseseznamem"/>
        <w:numPr>
          <w:ilvl w:val="1"/>
          <w:numId w:val="11"/>
        </w:numPr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AB0D78">
        <w:rPr>
          <w:rFonts w:cs="Arial"/>
          <w:color w:val="404040" w:themeColor="text1" w:themeTint="BF"/>
          <w:sz w:val="22"/>
          <w:szCs w:val="22"/>
        </w:rPr>
        <w:t xml:space="preserve">Předmětem </w:t>
      </w:r>
      <w:r w:rsidR="006B720B">
        <w:rPr>
          <w:rFonts w:cs="Arial"/>
          <w:color w:val="404040" w:themeColor="text1" w:themeTint="BF"/>
          <w:sz w:val="22"/>
          <w:szCs w:val="22"/>
        </w:rPr>
        <w:t>tohoto D</w:t>
      </w:r>
      <w:r w:rsidRPr="00AB0D78">
        <w:rPr>
          <w:rFonts w:cs="Arial"/>
          <w:color w:val="404040" w:themeColor="text1" w:themeTint="BF"/>
          <w:sz w:val="22"/>
          <w:szCs w:val="22"/>
        </w:rPr>
        <w:t xml:space="preserve">odatku je </w:t>
      </w:r>
      <w:r w:rsidR="000102D7">
        <w:rPr>
          <w:rFonts w:cs="Arial"/>
          <w:color w:val="404040" w:themeColor="text1" w:themeTint="BF"/>
          <w:sz w:val="22"/>
          <w:szCs w:val="22"/>
        </w:rPr>
        <w:t xml:space="preserve">prodloužení doby trvání </w:t>
      </w:r>
      <w:r w:rsidR="002E6F2B">
        <w:rPr>
          <w:rFonts w:cs="Arial"/>
          <w:color w:val="404040" w:themeColor="text1" w:themeTint="BF"/>
          <w:sz w:val="22"/>
          <w:szCs w:val="22"/>
        </w:rPr>
        <w:t xml:space="preserve">Smlouvy, tedy prodloužení doby poskytování </w:t>
      </w:r>
      <w:r w:rsidR="00D44CD2" w:rsidRPr="005F741A">
        <w:rPr>
          <w:rFonts w:cs="Arial"/>
          <w:b/>
          <w:bCs/>
          <w:color w:val="404040" w:themeColor="text1" w:themeTint="BF"/>
          <w:sz w:val="22"/>
          <w:szCs w:val="22"/>
        </w:rPr>
        <w:t>Licence</w:t>
      </w:r>
      <w:r w:rsidR="003E6764">
        <w:rPr>
          <w:rFonts w:cs="Arial"/>
          <w:color w:val="404040" w:themeColor="text1" w:themeTint="BF"/>
          <w:sz w:val="22"/>
          <w:szCs w:val="22"/>
        </w:rPr>
        <w:t xml:space="preserve"> ze strany Dodavatele</w:t>
      </w:r>
      <w:r w:rsidR="005629EC">
        <w:rPr>
          <w:rFonts w:cs="Arial"/>
          <w:color w:val="404040" w:themeColor="text1" w:themeTint="BF"/>
          <w:sz w:val="22"/>
          <w:szCs w:val="22"/>
        </w:rPr>
        <w:t xml:space="preserve"> Objednateli</w:t>
      </w:r>
      <w:r w:rsidR="00205518">
        <w:rPr>
          <w:rFonts w:cs="Arial"/>
          <w:color w:val="404040" w:themeColor="text1" w:themeTint="BF"/>
          <w:sz w:val="22"/>
          <w:szCs w:val="22"/>
        </w:rPr>
        <w:t xml:space="preserve">, tj. </w:t>
      </w:r>
      <w:r w:rsidR="00525A99">
        <w:rPr>
          <w:rFonts w:cs="Arial"/>
          <w:color w:val="404040" w:themeColor="text1" w:themeTint="BF"/>
          <w:sz w:val="22"/>
          <w:szCs w:val="22"/>
        </w:rPr>
        <w:t xml:space="preserve">poskytování </w:t>
      </w:r>
      <w:r w:rsidR="00525A99" w:rsidRPr="00525A99">
        <w:rPr>
          <w:rFonts w:cs="Arial"/>
          <w:color w:val="404040" w:themeColor="text1" w:themeTint="BF"/>
          <w:sz w:val="22"/>
          <w:szCs w:val="22"/>
        </w:rPr>
        <w:t>oprávnění k</w:t>
      </w:r>
      <w:r w:rsidR="00F96522">
        <w:rPr>
          <w:rFonts w:cs="Arial"/>
          <w:color w:val="404040" w:themeColor="text1" w:themeTint="BF"/>
          <w:sz w:val="22"/>
          <w:szCs w:val="22"/>
        </w:rPr>
        <w:t> </w:t>
      </w:r>
      <w:r w:rsidR="00525A99" w:rsidRPr="00525A99">
        <w:rPr>
          <w:rFonts w:cs="Arial"/>
          <w:color w:val="404040" w:themeColor="text1" w:themeTint="BF"/>
          <w:sz w:val="22"/>
          <w:szCs w:val="22"/>
        </w:rPr>
        <w:t>výkonu práva užít systém ServiceDesk pro podporu systému e-Sbírka a e-Legislativa Ministerstva vnitra České republiky úrovně L1 až L2, jehož specifikace je obsažena v</w:t>
      </w:r>
      <w:r w:rsidR="00F96522">
        <w:rPr>
          <w:rFonts w:cs="Arial"/>
          <w:color w:val="404040" w:themeColor="text1" w:themeTint="BF"/>
          <w:sz w:val="22"/>
          <w:szCs w:val="22"/>
        </w:rPr>
        <w:t> </w:t>
      </w:r>
      <w:r w:rsidR="00525A99" w:rsidRPr="00525A99">
        <w:rPr>
          <w:rFonts w:cs="Arial"/>
          <w:color w:val="404040" w:themeColor="text1" w:themeTint="BF"/>
          <w:sz w:val="22"/>
          <w:szCs w:val="22"/>
        </w:rPr>
        <w:t>Příloze č. 1 Smlouvy</w:t>
      </w:r>
      <w:r w:rsidR="00FA4125">
        <w:rPr>
          <w:rFonts w:cs="Arial"/>
          <w:color w:val="404040" w:themeColor="text1" w:themeTint="BF"/>
          <w:sz w:val="22"/>
          <w:szCs w:val="22"/>
        </w:rPr>
        <w:t xml:space="preserve"> a dále </w:t>
      </w:r>
      <w:r w:rsidR="005A174C">
        <w:rPr>
          <w:rFonts w:cs="Arial"/>
          <w:color w:val="404040" w:themeColor="text1" w:themeTint="BF"/>
          <w:sz w:val="22"/>
          <w:szCs w:val="22"/>
        </w:rPr>
        <w:t xml:space="preserve">prodloužení doby poskytování </w:t>
      </w:r>
      <w:r w:rsidR="00FA4125" w:rsidRPr="005F741A">
        <w:rPr>
          <w:rFonts w:cs="Arial"/>
          <w:b/>
          <w:bCs/>
          <w:color w:val="404040" w:themeColor="text1" w:themeTint="BF"/>
          <w:sz w:val="22"/>
          <w:szCs w:val="22"/>
        </w:rPr>
        <w:t>Podpory</w:t>
      </w:r>
      <w:r w:rsidR="005629EC">
        <w:rPr>
          <w:rFonts w:cs="Arial"/>
          <w:color w:val="404040" w:themeColor="text1" w:themeTint="BF"/>
          <w:sz w:val="22"/>
          <w:szCs w:val="22"/>
        </w:rPr>
        <w:t xml:space="preserve"> ze strany Dodavatele Objednateli</w:t>
      </w:r>
      <w:r w:rsidR="00FA4125">
        <w:rPr>
          <w:rFonts w:cs="Arial"/>
          <w:color w:val="404040" w:themeColor="text1" w:themeTint="BF"/>
          <w:sz w:val="22"/>
          <w:szCs w:val="22"/>
        </w:rPr>
        <w:t xml:space="preserve">, tj. </w:t>
      </w:r>
      <w:r w:rsidR="00C4089C" w:rsidRPr="00C4089C">
        <w:rPr>
          <w:rFonts w:cs="Arial"/>
          <w:color w:val="404040" w:themeColor="text1" w:themeTint="BF"/>
          <w:sz w:val="22"/>
          <w:szCs w:val="22"/>
        </w:rPr>
        <w:t xml:space="preserve">poskytování služby podpory k Software v rozsahu uvedeném v Příloze č. 2 </w:t>
      </w:r>
      <w:r w:rsidR="00B70DCD">
        <w:rPr>
          <w:rFonts w:cs="Arial"/>
          <w:color w:val="404040" w:themeColor="text1" w:themeTint="BF"/>
          <w:sz w:val="22"/>
          <w:szCs w:val="22"/>
        </w:rPr>
        <w:t>Sml</w:t>
      </w:r>
      <w:r w:rsidR="00C4089C" w:rsidRPr="00C4089C">
        <w:rPr>
          <w:rFonts w:cs="Arial"/>
          <w:color w:val="404040" w:themeColor="text1" w:themeTint="BF"/>
          <w:sz w:val="22"/>
          <w:szCs w:val="22"/>
        </w:rPr>
        <w:t>ouvy</w:t>
      </w:r>
      <w:r w:rsidR="00BB29B0">
        <w:rPr>
          <w:rFonts w:cs="Arial"/>
          <w:color w:val="404040" w:themeColor="text1" w:themeTint="BF"/>
          <w:sz w:val="22"/>
          <w:szCs w:val="22"/>
        </w:rPr>
        <w:t xml:space="preserve">, a to do </w:t>
      </w:r>
      <w:r w:rsidR="00DA0595">
        <w:rPr>
          <w:rFonts w:cs="Arial"/>
          <w:color w:val="404040" w:themeColor="text1" w:themeTint="BF"/>
          <w:sz w:val="22"/>
          <w:szCs w:val="22"/>
        </w:rPr>
        <w:t>dne</w:t>
      </w:r>
      <w:r w:rsidR="00A53A0F">
        <w:rPr>
          <w:rFonts w:cs="Arial"/>
          <w:color w:val="404040" w:themeColor="text1" w:themeTint="BF"/>
          <w:sz w:val="22"/>
          <w:szCs w:val="22"/>
        </w:rPr>
        <w:t xml:space="preserve"> 28.2.2025</w:t>
      </w:r>
      <w:r w:rsidR="005E6E4C" w:rsidRPr="00BB29B0">
        <w:rPr>
          <w:rFonts w:cs="Arial"/>
          <w:color w:val="404040" w:themeColor="text1" w:themeTint="BF"/>
          <w:sz w:val="22"/>
          <w:szCs w:val="22"/>
        </w:rPr>
        <w:t xml:space="preserve"> s</w:t>
      </w:r>
      <w:r w:rsidR="006B720B" w:rsidRPr="00BB29B0">
        <w:rPr>
          <w:rFonts w:cs="Arial"/>
          <w:color w:val="404040" w:themeColor="text1" w:themeTint="BF"/>
          <w:sz w:val="22"/>
          <w:szCs w:val="22"/>
        </w:rPr>
        <w:t> </w:t>
      </w:r>
      <w:r w:rsidR="005E6E4C" w:rsidRPr="00BB29B0">
        <w:rPr>
          <w:rFonts w:cs="Arial"/>
          <w:color w:val="404040" w:themeColor="text1" w:themeTint="BF"/>
          <w:sz w:val="22"/>
          <w:szCs w:val="22"/>
        </w:rPr>
        <w:t>tím</w:t>
      </w:r>
      <w:r w:rsidR="006B720B" w:rsidRPr="00BB29B0">
        <w:rPr>
          <w:rFonts w:cs="Arial"/>
          <w:color w:val="404040" w:themeColor="text1" w:themeTint="BF"/>
          <w:sz w:val="22"/>
          <w:szCs w:val="22"/>
        </w:rPr>
        <w:t>, </w:t>
      </w:r>
      <w:r w:rsidR="005E6E4C" w:rsidRPr="00BB29B0">
        <w:rPr>
          <w:rFonts w:cs="Arial"/>
          <w:color w:val="404040" w:themeColor="text1" w:themeTint="BF"/>
          <w:sz w:val="22"/>
          <w:szCs w:val="22"/>
        </w:rPr>
        <w:t xml:space="preserve">že změna bude účinná počínaje dnem </w:t>
      </w:r>
      <w:r w:rsidR="0053770D" w:rsidRPr="00BB29B0">
        <w:rPr>
          <w:rFonts w:cs="Arial"/>
          <w:color w:val="404040" w:themeColor="text1" w:themeTint="BF"/>
          <w:sz w:val="22"/>
          <w:szCs w:val="22"/>
        </w:rPr>
        <w:t>1.</w:t>
      </w:r>
      <w:r w:rsidR="00D80BD6">
        <w:rPr>
          <w:rFonts w:cs="Arial"/>
          <w:color w:val="404040" w:themeColor="text1" w:themeTint="BF"/>
          <w:sz w:val="22"/>
          <w:szCs w:val="22"/>
        </w:rPr>
        <w:t>12.</w:t>
      </w:r>
      <w:r w:rsidR="0053770D" w:rsidRPr="00BB29B0">
        <w:rPr>
          <w:rFonts w:cs="Arial"/>
          <w:color w:val="404040" w:themeColor="text1" w:themeTint="BF"/>
          <w:sz w:val="22"/>
          <w:szCs w:val="22"/>
        </w:rPr>
        <w:t>2024</w:t>
      </w:r>
      <w:r w:rsidR="00194FA4" w:rsidRPr="00BB29B0">
        <w:rPr>
          <w:rFonts w:cs="Arial"/>
          <w:color w:val="404040" w:themeColor="text1" w:themeTint="BF"/>
          <w:sz w:val="22"/>
          <w:szCs w:val="22"/>
        </w:rPr>
        <w:t>, za s</w:t>
      </w:r>
      <w:r w:rsidR="008C523D" w:rsidRPr="00BB29B0">
        <w:rPr>
          <w:rFonts w:cs="Arial"/>
          <w:color w:val="404040" w:themeColor="text1" w:themeTint="BF"/>
          <w:sz w:val="22"/>
          <w:szCs w:val="22"/>
        </w:rPr>
        <w:t>tejných podmínek jako byl</w:t>
      </w:r>
      <w:r w:rsidR="00D80BD6">
        <w:rPr>
          <w:rFonts w:cs="Arial"/>
          <w:color w:val="404040" w:themeColor="text1" w:themeTint="BF"/>
          <w:sz w:val="22"/>
          <w:szCs w:val="22"/>
        </w:rPr>
        <w:t>a</w:t>
      </w:r>
      <w:r w:rsidR="008C523D" w:rsidRPr="00BB29B0">
        <w:rPr>
          <w:rFonts w:cs="Arial"/>
          <w:color w:val="404040" w:themeColor="text1" w:themeTint="BF"/>
          <w:sz w:val="22"/>
          <w:szCs w:val="22"/>
        </w:rPr>
        <w:t xml:space="preserve"> poskytnut</w:t>
      </w:r>
      <w:r w:rsidR="00D80BD6">
        <w:rPr>
          <w:rFonts w:cs="Arial"/>
          <w:color w:val="404040" w:themeColor="text1" w:themeTint="BF"/>
          <w:sz w:val="22"/>
          <w:szCs w:val="22"/>
        </w:rPr>
        <w:t>a</w:t>
      </w:r>
      <w:r w:rsidR="008C523D" w:rsidRPr="00BB29B0">
        <w:rPr>
          <w:rFonts w:cs="Arial"/>
          <w:color w:val="404040" w:themeColor="text1" w:themeTint="BF"/>
          <w:sz w:val="22"/>
          <w:szCs w:val="22"/>
        </w:rPr>
        <w:t xml:space="preserve"> původní </w:t>
      </w:r>
      <w:r w:rsidR="00D80BD6">
        <w:rPr>
          <w:rFonts w:cs="Arial"/>
          <w:color w:val="404040" w:themeColor="text1" w:themeTint="BF"/>
          <w:sz w:val="22"/>
          <w:szCs w:val="22"/>
        </w:rPr>
        <w:t>L</w:t>
      </w:r>
      <w:r w:rsidR="008C523D" w:rsidRPr="00BB29B0">
        <w:rPr>
          <w:rFonts w:cs="Arial"/>
          <w:color w:val="404040" w:themeColor="text1" w:themeTint="BF"/>
          <w:sz w:val="22"/>
          <w:szCs w:val="22"/>
        </w:rPr>
        <w:t>icence</w:t>
      </w:r>
      <w:r w:rsidR="009525AA">
        <w:rPr>
          <w:rFonts w:cs="Arial"/>
          <w:color w:val="404040" w:themeColor="text1" w:themeTint="BF"/>
          <w:sz w:val="22"/>
          <w:szCs w:val="22"/>
        </w:rPr>
        <w:t xml:space="preserve"> a</w:t>
      </w:r>
      <w:r w:rsidR="00B9068F">
        <w:rPr>
          <w:rFonts w:cs="Arial"/>
          <w:color w:val="404040" w:themeColor="text1" w:themeTint="BF"/>
          <w:sz w:val="22"/>
          <w:szCs w:val="22"/>
        </w:rPr>
        <w:t> </w:t>
      </w:r>
      <w:r w:rsidR="009525AA">
        <w:rPr>
          <w:rFonts w:cs="Arial"/>
          <w:color w:val="404040" w:themeColor="text1" w:themeTint="BF"/>
          <w:sz w:val="22"/>
          <w:szCs w:val="22"/>
        </w:rPr>
        <w:t>Podpora</w:t>
      </w:r>
      <w:r w:rsidR="008C523D" w:rsidRPr="00BB29B0">
        <w:rPr>
          <w:rFonts w:cs="Arial"/>
          <w:color w:val="404040" w:themeColor="text1" w:themeTint="BF"/>
          <w:sz w:val="22"/>
          <w:szCs w:val="22"/>
        </w:rPr>
        <w:t>.</w:t>
      </w:r>
      <w:r w:rsidR="007C4B0B" w:rsidRPr="00BB29B0">
        <w:rPr>
          <w:rFonts w:cs="Arial"/>
          <w:color w:val="404040" w:themeColor="text1" w:themeTint="BF"/>
          <w:sz w:val="22"/>
          <w:szCs w:val="22"/>
        </w:rPr>
        <w:t xml:space="preserve"> V souvislosti s</w:t>
      </w:r>
      <w:r w:rsidR="002018A2">
        <w:rPr>
          <w:rFonts w:cs="Arial"/>
          <w:color w:val="404040" w:themeColor="text1" w:themeTint="BF"/>
          <w:sz w:val="22"/>
          <w:szCs w:val="22"/>
        </w:rPr>
        <w:t xml:space="preserve"> prodloužením </w:t>
      </w:r>
      <w:r w:rsidR="00B9068F">
        <w:rPr>
          <w:rFonts w:cs="Arial"/>
          <w:color w:val="404040" w:themeColor="text1" w:themeTint="BF"/>
          <w:sz w:val="22"/>
          <w:szCs w:val="22"/>
        </w:rPr>
        <w:t>doby trvání Smlouvy</w:t>
      </w:r>
      <w:r w:rsidR="00B9068F" w:rsidRPr="00BB29B0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7C4B0B" w:rsidRPr="00BB29B0">
        <w:rPr>
          <w:rFonts w:cs="Arial"/>
          <w:color w:val="404040" w:themeColor="text1" w:themeTint="BF"/>
          <w:sz w:val="22"/>
          <w:szCs w:val="22"/>
        </w:rPr>
        <w:t>dojde i k</w:t>
      </w:r>
      <w:r w:rsidR="00E86F9D" w:rsidRPr="00BB29B0">
        <w:rPr>
          <w:rFonts w:cs="Arial"/>
          <w:color w:val="404040" w:themeColor="text1" w:themeTint="BF"/>
          <w:sz w:val="22"/>
          <w:szCs w:val="22"/>
        </w:rPr>
        <w:t xml:space="preserve"> poměrnému navýšení ceny </w:t>
      </w:r>
      <w:r w:rsidR="00550572">
        <w:rPr>
          <w:rFonts w:cs="Arial"/>
          <w:color w:val="404040" w:themeColor="text1" w:themeTint="BF"/>
          <w:sz w:val="22"/>
          <w:szCs w:val="22"/>
        </w:rPr>
        <w:t>uvedené v</w:t>
      </w:r>
      <w:r w:rsidR="00B96F7B">
        <w:rPr>
          <w:rFonts w:cs="Arial"/>
          <w:color w:val="404040" w:themeColor="text1" w:themeTint="BF"/>
          <w:sz w:val="22"/>
          <w:szCs w:val="22"/>
        </w:rPr>
        <w:t xml:space="preserve"> čl. 4 odst. 4.1 Smlouvy </w:t>
      </w:r>
      <w:r w:rsidR="00E86F9D" w:rsidRPr="00BB29B0">
        <w:rPr>
          <w:rFonts w:cs="Arial"/>
          <w:color w:val="404040" w:themeColor="text1" w:themeTint="BF"/>
          <w:sz w:val="22"/>
          <w:szCs w:val="22"/>
        </w:rPr>
        <w:t xml:space="preserve">o částku </w:t>
      </w:r>
      <w:r w:rsidR="0ADEB217" w:rsidRPr="0DCCB429">
        <w:rPr>
          <w:rFonts w:cs="Arial"/>
          <w:color w:val="404040" w:themeColor="text1" w:themeTint="BF"/>
          <w:sz w:val="22"/>
          <w:szCs w:val="22"/>
        </w:rPr>
        <w:t>130</w:t>
      </w:r>
      <w:r w:rsidR="00464346">
        <w:rPr>
          <w:rFonts w:cs="Arial"/>
          <w:color w:val="404040" w:themeColor="text1" w:themeTint="BF"/>
          <w:sz w:val="22"/>
          <w:szCs w:val="22"/>
        </w:rPr>
        <w:t> </w:t>
      </w:r>
      <w:r w:rsidR="0ADEB217" w:rsidRPr="0DCCB429">
        <w:rPr>
          <w:rFonts w:cs="Arial"/>
          <w:color w:val="404040" w:themeColor="text1" w:themeTint="BF"/>
          <w:sz w:val="22"/>
          <w:szCs w:val="22"/>
        </w:rPr>
        <w:t>998</w:t>
      </w:r>
      <w:r w:rsidR="00464346">
        <w:rPr>
          <w:rFonts w:cs="Arial"/>
          <w:color w:val="404040" w:themeColor="text1" w:themeTint="BF"/>
          <w:sz w:val="22"/>
          <w:szCs w:val="22"/>
        </w:rPr>
        <w:t>,-</w:t>
      </w:r>
      <w:r w:rsidR="0ADEB217" w:rsidRPr="0DCCB429">
        <w:rPr>
          <w:rFonts w:cs="Arial"/>
          <w:color w:val="404040" w:themeColor="text1" w:themeTint="BF"/>
          <w:sz w:val="22"/>
          <w:szCs w:val="22"/>
        </w:rPr>
        <w:t xml:space="preserve"> Kč</w:t>
      </w:r>
      <w:r w:rsidR="00464346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FA30C3" w:rsidRPr="00BB29B0">
        <w:rPr>
          <w:rFonts w:cs="Arial"/>
          <w:color w:val="404040" w:themeColor="text1" w:themeTint="BF"/>
          <w:sz w:val="22"/>
          <w:szCs w:val="22"/>
        </w:rPr>
        <w:t>bez DPH, přičemž</w:t>
      </w:r>
      <w:r w:rsidR="00E66117">
        <w:rPr>
          <w:rFonts w:cs="Arial"/>
          <w:color w:val="404040" w:themeColor="text1" w:themeTint="BF"/>
          <w:sz w:val="22"/>
          <w:szCs w:val="22"/>
        </w:rPr>
        <w:t> </w:t>
      </w:r>
      <w:r w:rsidR="00FA30C3" w:rsidRPr="00BB29B0">
        <w:rPr>
          <w:rFonts w:cs="Arial"/>
          <w:color w:val="404040" w:themeColor="text1" w:themeTint="BF"/>
          <w:sz w:val="22"/>
          <w:szCs w:val="22"/>
        </w:rPr>
        <w:t xml:space="preserve">celková cena pak bude činit částku </w:t>
      </w:r>
      <w:r w:rsidR="7FFC6C45" w:rsidRPr="0DCCB429">
        <w:rPr>
          <w:rFonts w:cs="Arial"/>
          <w:color w:val="404040" w:themeColor="text1" w:themeTint="BF"/>
          <w:sz w:val="22"/>
          <w:szCs w:val="22"/>
        </w:rPr>
        <w:t>633</w:t>
      </w:r>
      <w:r w:rsidR="00464346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7A10F9">
        <w:rPr>
          <w:rFonts w:cs="Arial"/>
          <w:color w:val="404040" w:themeColor="text1" w:themeTint="BF"/>
          <w:sz w:val="22"/>
          <w:szCs w:val="22"/>
        </w:rPr>
        <w:t>0</w:t>
      </w:r>
      <w:r w:rsidR="7FFC6C45" w:rsidRPr="0DCCB429">
        <w:rPr>
          <w:rFonts w:cs="Arial"/>
          <w:color w:val="404040" w:themeColor="text1" w:themeTint="BF"/>
          <w:sz w:val="22"/>
          <w:szCs w:val="22"/>
        </w:rPr>
        <w:t>00</w:t>
      </w:r>
      <w:r w:rsidR="5E5D166E" w:rsidRPr="0DCCB429">
        <w:rPr>
          <w:rFonts w:cs="Arial"/>
          <w:color w:val="404040" w:themeColor="text1" w:themeTint="BF"/>
          <w:sz w:val="22"/>
          <w:szCs w:val="22"/>
        </w:rPr>
        <w:t>,-</w:t>
      </w:r>
      <w:r w:rsidR="00DF58B7" w:rsidRPr="00BB29B0">
        <w:rPr>
          <w:rFonts w:cs="Arial"/>
          <w:color w:val="404040" w:themeColor="text1" w:themeTint="BF"/>
          <w:sz w:val="22"/>
          <w:szCs w:val="22"/>
        </w:rPr>
        <w:t xml:space="preserve"> Kč bez DPH. </w:t>
      </w:r>
      <w:r w:rsidR="007C4B0B" w:rsidRPr="00BB29B0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8C523D" w:rsidRPr="00BB29B0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5E6E4C" w:rsidRPr="00BB29B0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2D59F6" w:rsidRPr="00BB29B0">
        <w:rPr>
          <w:rFonts w:cs="Arial"/>
          <w:color w:val="404040" w:themeColor="text1" w:themeTint="BF"/>
          <w:sz w:val="22"/>
          <w:szCs w:val="22"/>
        </w:rPr>
        <w:t xml:space="preserve"> </w:t>
      </w:r>
    </w:p>
    <w:p w14:paraId="061AFBB6" w14:textId="77777777" w:rsidR="00F51192" w:rsidRDefault="00ED7B64" w:rsidP="00F51192">
      <w:pPr>
        <w:pStyle w:val="Odstavecseseznamem"/>
        <w:numPr>
          <w:ilvl w:val="1"/>
          <w:numId w:val="11"/>
        </w:numPr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AB0D78">
        <w:rPr>
          <w:rFonts w:cs="Arial"/>
          <w:color w:val="404040" w:themeColor="text1" w:themeTint="BF"/>
          <w:sz w:val="22"/>
          <w:szCs w:val="22"/>
        </w:rPr>
        <w:t xml:space="preserve">Na základě shora uvedeného se článek </w:t>
      </w:r>
      <w:r w:rsidR="00A53308">
        <w:rPr>
          <w:rFonts w:cs="Arial"/>
          <w:color w:val="404040" w:themeColor="text1" w:themeTint="BF"/>
          <w:sz w:val="22"/>
          <w:szCs w:val="22"/>
        </w:rPr>
        <w:t>2</w:t>
      </w:r>
      <w:r w:rsidRPr="00AB0D78">
        <w:rPr>
          <w:rFonts w:cs="Arial"/>
          <w:color w:val="404040" w:themeColor="text1" w:themeTint="BF"/>
          <w:sz w:val="22"/>
          <w:szCs w:val="22"/>
        </w:rPr>
        <w:t xml:space="preserve"> odst. </w:t>
      </w:r>
      <w:r w:rsidR="007425D6">
        <w:rPr>
          <w:rFonts w:cs="Arial"/>
          <w:color w:val="404040" w:themeColor="text1" w:themeTint="BF"/>
          <w:sz w:val="22"/>
          <w:szCs w:val="22"/>
        </w:rPr>
        <w:t>2.1</w:t>
      </w:r>
      <w:r w:rsidRPr="00AB0D78">
        <w:rPr>
          <w:rFonts w:cs="Arial"/>
          <w:color w:val="404040" w:themeColor="text1" w:themeTint="BF"/>
          <w:sz w:val="22"/>
          <w:szCs w:val="22"/>
        </w:rPr>
        <w:t xml:space="preserve">. </w:t>
      </w:r>
      <w:r w:rsidR="00125A99" w:rsidRPr="00AB0D78">
        <w:rPr>
          <w:rFonts w:cs="Arial"/>
          <w:color w:val="404040" w:themeColor="text1" w:themeTint="BF"/>
          <w:sz w:val="22"/>
          <w:szCs w:val="22"/>
        </w:rPr>
        <w:t xml:space="preserve">Smlouvy </w:t>
      </w:r>
      <w:r w:rsidRPr="00AB0D78">
        <w:rPr>
          <w:rFonts w:cs="Arial"/>
          <w:color w:val="404040" w:themeColor="text1" w:themeTint="BF"/>
          <w:sz w:val="22"/>
          <w:szCs w:val="22"/>
        </w:rPr>
        <w:t>mění a nově zní takto:</w:t>
      </w:r>
    </w:p>
    <w:p w14:paraId="607C7F27" w14:textId="07A842C1" w:rsidR="00F51192" w:rsidRPr="0065253E" w:rsidRDefault="00B720DA" w:rsidP="00B720DA">
      <w:pPr>
        <w:spacing w:after="120" w:line="312" w:lineRule="auto"/>
        <w:ind w:left="1701" w:hanging="567"/>
        <w:jc w:val="both"/>
        <w:rPr>
          <w:rFonts w:cs="Arial"/>
          <w:i/>
          <w:iCs/>
          <w:color w:val="404040" w:themeColor="text1" w:themeTint="BF"/>
          <w:sz w:val="22"/>
          <w:szCs w:val="22"/>
        </w:rPr>
      </w:pPr>
      <w:r>
        <w:rPr>
          <w:rFonts w:cs="Arial"/>
          <w:i/>
          <w:iCs/>
          <w:color w:val="404040" w:themeColor="text1" w:themeTint="BF"/>
          <w:sz w:val="22"/>
          <w:szCs w:val="22"/>
        </w:rPr>
        <w:t>„</w:t>
      </w:r>
      <w:r w:rsidR="0065253E" w:rsidRPr="0065253E">
        <w:rPr>
          <w:rFonts w:cs="Arial"/>
          <w:i/>
          <w:iCs/>
          <w:color w:val="404040" w:themeColor="text1" w:themeTint="BF"/>
          <w:sz w:val="22"/>
          <w:szCs w:val="22"/>
        </w:rPr>
        <w:t xml:space="preserve">2.1 </w:t>
      </w:r>
      <w:r>
        <w:rPr>
          <w:rFonts w:cs="Arial"/>
          <w:i/>
          <w:iCs/>
          <w:color w:val="404040" w:themeColor="text1" w:themeTint="BF"/>
          <w:sz w:val="22"/>
          <w:szCs w:val="22"/>
        </w:rPr>
        <w:tab/>
      </w:r>
      <w:r w:rsidR="0065253E" w:rsidRPr="0065253E">
        <w:rPr>
          <w:rFonts w:cs="Arial"/>
          <w:i/>
          <w:iCs/>
          <w:color w:val="404040" w:themeColor="text1" w:themeTint="BF"/>
          <w:sz w:val="22"/>
          <w:szCs w:val="22"/>
        </w:rPr>
        <w:t>Předmětem této Smlouvy je závazek Dodavatele poskytnout Objednateli oprávnění k výkonu práva užít systém ServiceDesk pro podporu systému e-Sbírka a e-Legislativa Ministerstva vnitra České republiky úrovně L1 až L2, jehož specifikace je obsažena v Příloze č. 1 Smlouvy (včetně dokumentace) (dále jen „</w:t>
      </w:r>
      <w:r w:rsidR="0065253E" w:rsidRPr="00B8724F">
        <w:rPr>
          <w:rFonts w:cs="Arial"/>
          <w:b/>
          <w:bCs/>
          <w:i/>
          <w:iCs/>
          <w:color w:val="404040" w:themeColor="text1" w:themeTint="BF"/>
          <w:sz w:val="22"/>
          <w:szCs w:val="22"/>
        </w:rPr>
        <w:t>Software</w:t>
      </w:r>
      <w:r w:rsidR="0065253E" w:rsidRPr="0065253E">
        <w:rPr>
          <w:rFonts w:cs="Arial"/>
          <w:i/>
          <w:iCs/>
          <w:color w:val="404040" w:themeColor="text1" w:themeTint="BF"/>
          <w:sz w:val="22"/>
          <w:szCs w:val="22"/>
        </w:rPr>
        <w:t>“ nebo „</w:t>
      </w:r>
      <w:r w:rsidR="0065253E" w:rsidRPr="00B8724F">
        <w:rPr>
          <w:rFonts w:cs="Arial"/>
          <w:b/>
          <w:bCs/>
          <w:i/>
          <w:iCs/>
          <w:color w:val="404040" w:themeColor="text1" w:themeTint="BF"/>
          <w:sz w:val="22"/>
          <w:szCs w:val="22"/>
        </w:rPr>
        <w:t>ServiceDesk</w:t>
      </w:r>
      <w:r w:rsidR="0065253E" w:rsidRPr="0065253E">
        <w:rPr>
          <w:rFonts w:cs="Arial"/>
          <w:i/>
          <w:iCs/>
          <w:color w:val="404040" w:themeColor="text1" w:themeTint="BF"/>
          <w:sz w:val="22"/>
          <w:szCs w:val="22"/>
        </w:rPr>
        <w:t>“), v souladu s článkem 6. Smlouvy (oprávnění k výkonu práva užít Software bude v této Smlouvě dále označováno také jako „</w:t>
      </w:r>
      <w:r w:rsidR="0065253E" w:rsidRPr="00074B97">
        <w:rPr>
          <w:rFonts w:cs="Arial"/>
          <w:b/>
          <w:bCs/>
          <w:i/>
          <w:iCs/>
          <w:color w:val="404040" w:themeColor="text1" w:themeTint="BF"/>
          <w:sz w:val="22"/>
          <w:szCs w:val="22"/>
        </w:rPr>
        <w:t>Licence</w:t>
      </w:r>
      <w:r w:rsidR="0065253E" w:rsidRPr="0065253E">
        <w:rPr>
          <w:rFonts w:cs="Arial"/>
          <w:i/>
          <w:iCs/>
          <w:color w:val="404040" w:themeColor="text1" w:themeTint="BF"/>
          <w:sz w:val="22"/>
          <w:szCs w:val="22"/>
        </w:rPr>
        <w:t>“), přičemž součástí Licence je poskytování služby podpory k Software v rozsahu uvedeném v Příloze č. 2 Smlouvy, a</w:t>
      </w:r>
      <w:r w:rsidR="00074B97">
        <w:rPr>
          <w:rFonts w:cs="Arial"/>
          <w:i/>
          <w:iCs/>
          <w:color w:val="404040" w:themeColor="text1" w:themeTint="BF"/>
          <w:sz w:val="22"/>
          <w:szCs w:val="22"/>
        </w:rPr>
        <w:t> </w:t>
      </w:r>
      <w:r w:rsidR="0065253E" w:rsidRPr="0065253E">
        <w:rPr>
          <w:rFonts w:cs="Arial"/>
          <w:i/>
          <w:iCs/>
          <w:color w:val="404040" w:themeColor="text1" w:themeTint="BF"/>
          <w:sz w:val="22"/>
          <w:szCs w:val="22"/>
        </w:rPr>
        <w:t>to</w:t>
      </w:r>
      <w:r w:rsidR="00074B97">
        <w:rPr>
          <w:rFonts w:cs="Arial"/>
          <w:i/>
          <w:iCs/>
          <w:color w:val="404040" w:themeColor="text1" w:themeTint="BF"/>
          <w:sz w:val="22"/>
          <w:szCs w:val="22"/>
        </w:rPr>
        <w:t> </w:t>
      </w:r>
      <w:r w:rsidR="0065253E" w:rsidRPr="0065253E">
        <w:rPr>
          <w:rFonts w:cs="Arial"/>
          <w:i/>
          <w:iCs/>
          <w:color w:val="404040" w:themeColor="text1" w:themeTint="BF"/>
          <w:sz w:val="22"/>
          <w:szCs w:val="22"/>
        </w:rPr>
        <w:t xml:space="preserve">do </w:t>
      </w:r>
      <w:r w:rsidR="00A53A0F">
        <w:rPr>
          <w:rFonts w:cs="Arial"/>
          <w:i/>
          <w:iCs/>
          <w:color w:val="404040" w:themeColor="text1" w:themeTint="BF"/>
          <w:sz w:val="22"/>
          <w:szCs w:val="22"/>
        </w:rPr>
        <w:t>28.2.2025</w:t>
      </w:r>
      <w:r w:rsidR="0065253E" w:rsidRPr="0065253E">
        <w:rPr>
          <w:rFonts w:cs="Arial"/>
          <w:i/>
          <w:iCs/>
          <w:color w:val="404040" w:themeColor="text1" w:themeTint="BF"/>
          <w:sz w:val="22"/>
          <w:szCs w:val="22"/>
        </w:rPr>
        <w:t xml:space="preserve"> (dále jen „</w:t>
      </w:r>
      <w:r w:rsidR="0065253E" w:rsidRPr="00074B97">
        <w:rPr>
          <w:rFonts w:cs="Arial"/>
          <w:b/>
          <w:bCs/>
          <w:i/>
          <w:iCs/>
          <w:color w:val="404040" w:themeColor="text1" w:themeTint="BF"/>
          <w:sz w:val="22"/>
          <w:szCs w:val="22"/>
        </w:rPr>
        <w:t>Podpora</w:t>
      </w:r>
      <w:r w:rsidR="0065253E" w:rsidRPr="0065253E">
        <w:rPr>
          <w:rFonts w:cs="Arial"/>
          <w:i/>
          <w:iCs/>
          <w:color w:val="404040" w:themeColor="text1" w:themeTint="BF"/>
          <w:sz w:val="22"/>
          <w:szCs w:val="22"/>
        </w:rPr>
        <w:t>“). Předmět Smlouvy specifikovaný v</w:t>
      </w:r>
      <w:r w:rsidR="00074B97">
        <w:rPr>
          <w:rFonts w:cs="Arial"/>
          <w:i/>
          <w:iCs/>
          <w:color w:val="404040" w:themeColor="text1" w:themeTint="BF"/>
          <w:sz w:val="22"/>
          <w:szCs w:val="22"/>
        </w:rPr>
        <w:t> </w:t>
      </w:r>
      <w:r w:rsidR="0065253E" w:rsidRPr="0065253E">
        <w:rPr>
          <w:rFonts w:cs="Arial"/>
          <w:i/>
          <w:iCs/>
          <w:color w:val="404040" w:themeColor="text1" w:themeTint="BF"/>
          <w:sz w:val="22"/>
          <w:szCs w:val="22"/>
        </w:rPr>
        <w:t>tomto odst. 2.1 Smlouvy bude dále nazýván jako „</w:t>
      </w:r>
      <w:r w:rsidR="0065253E" w:rsidRPr="00B8724F">
        <w:rPr>
          <w:rFonts w:cs="Arial"/>
          <w:b/>
          <w:bCs/>
          <w:i/>
          <w:iCs/>
          <w:color w:val="404040" w:themeColor="text1" w:themeTint="BF"/>
          <w:sz w:val="22"/>
          <w:szCs w:val="22"/>
        </w:rPr>
        <w:t>Předmět plnění</w:t>
      </w:r>
      <w:r w:rsidR="0065253E" w:rsidRPr="0065253E">
        <w:rPr>
          <w:rFonts w:cs="Arial"/>
          <w:i/>
          <w:iCs/>
          <w:color w:val="404040" w:themeColor="text1" w:themeTint="BF"/>
          <w:sz w:val="22"/>
          <w:szCs w:val="22"/>
        </w:rPr>
        <w:t>“. Smluvní strany sjednávají, že součástí Předmětu plnění je rovněž zaškolení administrátorů a uživatelů Softwar</w:t>
      </w:r>
      <w:r w:rsidR="0065253E">
        <w:rPr>
          <w:rFonts w:cs="Arial"/>
          <w:i/>
          <w:iCs/>
          <w:color w:val="404040" w:themeColor="text1" w:themeTint="BF"/>
          <w:sz w:val="22"/>
          <w:szCs w:val="22"/>
        </w:rPr>
        <w:t>e.</w:t>
      </w:r>
      <w:r>
        <w:rPr>
          <w:rFonts w:cs="Arial"/>
          <w:i/>
          <w:iCs/>
          <w:color w:val="404040" w:themeColor="text1" w:themeTint="BF"/>
          <w:sz w:val="22"/>
          <w:szCs w:val="22"/>
        </w:rPr>
        <w:t>“</w:t>
      </w:r>
    </w:p>
    <w:p w14:paraId="77765F59" w14:textId="3A666AC6" w:rsidR="0090034D" w:rsidRDefault="007C61E1" w:rsidP="00F51192">
      <w:pPr>
        <w:pStyle w:val="Odstavecseseznamem"/>
        <w:numPr>
          <w:ilvl w:val="1"/>
          <w:numId w:val="11"/>
        </w:numPr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F51192">
        <w:rPr>
          <w:rFonts w:cs="Arial"/>
          <w:color w:val="404040" w:themeColor="text1" w:themeTint="BF"/>
          <w:sz w:val="22"/>
          <w:szCs w:val="22"/>
        </w:rPr>
        <w:t xml:space="preserve">Dále se </w:t>
      </w:r>
      <w:r w:rsidR="00AB180D" w:rsidRPr="00F51192">
        <w:rPr>
          <w:rFonts w:cs="Arial"/>
          <w:color w:val="404040" w:themeColor="text1" w:themeTint="BF"/>
          <w:sz w:val="22"/>
          <w:szCs w:val="22"/>
        </w:rPr>
        <w:t>mění a nově zní čl</w:t>
      </w:r>
      <w:r w:rsidR="00267F4B" w:rsidRPr="00F51192">
        <w:rPr>
          <w:rFonts w:cs="Arial"/>
          <w:color w:val="404040" w:themeColor="text1" w:themeTint="BF"/>
          <w:sz w:val="22"/>
          <w:szCs w:val="22"/>
        </w:rPr>
        <w:t xml:space="preserve">ánek </w:t>
      </w:r>
      <w:r w:rsidR="00A94738" w:rsidRPr="00F51192">
        <w:rPr>
          <w:rFonts w:cs="Arial"/>
          <w:color w:val="404040" w:themeColor="text1" w:themeTint="BF"/>
          <w:sz w:val="22"/>
          <w:szCs w:val="22"/>
        </w:rPr>
        <w:t>3</w:t>
      </w:r>
      <w:r w:rsidR="00C100B0" w:rsidRPr="00F51192">
        <w:rPr>
          <w:rFonts w:cs="Arial"/>
          <w:color w:val="404040" w:themeColor="text1" w:themeTint="BF"/>
          <w:sz w:val="22"/>
          <w:szCs w:val="22"/>
        </w:rPr>
        <w:t xml:space="preserve"> odst. </w:t>
      </w:r>
      <w:r w:rsidR="00A94738" w:rsidRPr="00F51192">
        <w:rPr>
          <w:rFonts w:cs="Arial"/>
          <w:color w:val="404040" w:themeColor="text1" w:themeTint="BF"/>
          <w:sz w:val="22"/>
          <w:szCs w:val="22"/>
        </w:rPr>
        <w:t>3</w:t>
      </w:r>
      <w:r w:rsidR="00C100B0" w:rsidRPr="00F51192">
        <w:rPr>
          <w:rFonts w:cs="Arial"/>
          <w:color w:val="404040" w:themeColor="text1" w:themeTint="BF"/>
          <w:sz w:val="22"/>
          <w:szCs w:val="22"/>
        </w:rPr>
        <w:t>.</w:t>
      </w:r>
      <w:r w:rsidR="00A94738" w:rsidRPr="00F51192">
        <w:rPr>
          <w:rFonts w:cs="Arial"/>
          <w:color w:val="404040" w:themeColor="text1" w:themeTint="BF"/>
          <w:sz w:val="22"/>
          <w:szCs w:val="22"/>
        </w:rPr>
        <w:t>2</w:t>
      </w:r>
      <w:r w:rsidR="00C100B0" w:rsidRPr="00F51192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125A99" w:rsidRPr="00F51192">
        <w:rPr>
          <w:rFonts w:cs="Arial"/>
          <w:color w:val="404040" w:themeColor="text1" w:themeTint="BF"/>
          <w:sz w:val="22"/>
          <w:szCs w:val="22"/>
        </w:rPr>
        <w:t xml:space="preserve">Smlouvy </w:t>
      </w:r>
      <w:r w:rsidR="00C100B0" w:rsidRPr="00F51192">
        <w:rPr>
          <w:rFonts w:cs="Arial"/>
          <w:color w:val="404040" w:themeColor="text1" w:themeTint="BF"/>
          <w:sz w:val="22"/>
          <w:szCs w:val="22"/>
        </w:rPr>
        <w:t xml:space="preserve">takto: </w:t>
      </w:r>
    </w:p>
    <w:p w14:paraId="3B95A7C5" w14:textId="2C4A5C91" w:rsidR="00EC7D71" w:rsidRPr="00074456" w:rsidRDefault="00C552D1" w:rsidP="00C552D1">
      <w:pPr>
        <w:spacing w:after="120" w:line="312" w:lineRule="auto"/>
        <w:ind w:left="1701" w:hanging="567"/>
        <w:jc w:val="both"/>
        <w:rPr>
          <w:rFonts w:cs="Arial"/>
          <w:i/>
          <w:iCs/>
          <w:color w:val="404040" w:themeColor="text1" w:themeTint="BF"/>
          <w:sz w:val="22"/>
          <w:szCs w:val="22"/>
        </w:rPr>
      </w:pPr>
      <w:r>
        <w:rPr>
          <w:rFonts w:cs="Arial"/>
          <w:i/>
          <w:iCs/>
          <w:color w:val="404040" w:themeColor="text1" w:themeTint="BF"/>
          <w:sz w:val="22"/>
          <w:szCs w:val="22"/>
        </w:rPr>
        <w:t>„</w:t>
      </w:r>
      <w:r w:rsidR="007E5CAC" w:rsidRPr="001D2362">
        <w:rPr>
          <w:rFonts w:cs="Arial"/>
          <w:i/>
          <w:iCs/>
          <w:color w:val="404040" w:themeColor="text1" w:themeTint="BF"/>
          <w:sz w:val="22"/>
          <w:szCs w:val="22"/>
        </w:rPr>
        <w:t xml:space="preserve">3.2 </w:t>
      </w:r>
      <w:r>
        <w:rPr>
          <w:rFonts w:cs="Arial"/>
          <w:i/>
          <w:iCs/>
          <w:color w:val="404040" w:themeColor="text1" w:themeTint="BF"/>
          <w:sz w:val="22"/>
          <w:szCs w:val="22"/>
        </w:rPr>
        <w:tab/>
      </w:r>
      <w:r w:rsidR="007E5CAC" w:rsidRPr="001D2362">
        <w:rPr>
          <w:rFonts w:cs="Arial"/>
          <w:i/>
          <w:iCs/>
          <w:color w:val="404040" w:themeColor="text1" w:themeTint="BF"/>
          <w:sz w:val="22"/>
          <w:szCs w:val="22"/>
        </w:rPr>
        <w:t>Předmět plnění je Poskytovatelem poskytován po dobu určitou, od 1.12.202</w:t>
      </w:r>
      <w:r w:rsidR="00436813" w:rsidRPr="001D2362">
        <w:rPr>
          <w:rFonts w:cs="Arial"/>
          <w:i/>
          <w:iCs/>
          <w:color w:val="404040" w:themeColor="text1" w:themeTint="BF"/>
          <w:sz w:val="22"/>
          <w:szCs w:val="22"/>
        </w:rPr>
        <w:t>3</w:t>
      </w:r>
      <w:r w:rsidR="007E5CAC" w:rsidRPr="001D2362">
        <w:rPr>
          <w:rFonts w:cs="Arial"/>
          <w:i/>
          <w:iCs/>
          <w:color w:val="404040" w:themeColor="text1" w:themeTint="BF"/>
          <w:sz w:val="22"/>
          <w:szCs w:val="22"/>
        </w:rPr>
        <w:t xml:space="preserve"> do </w:t>
      </w:r>
      <w:r w:rsidR="0018475D">
        <w:rPr>
          <w:rFonts w:cs="Arial"/>
          <w:i/>
          <w:iCs/>
          <w:color w:val="404040" w:themeColor="text1" w:themeTint="BF"/>
          <w:sz w:val="22"/>
          <w:szCs w:val="22"/>
        </w:rPr>
        <w:t>28.2.2025</w:t>
      </w:r>
      <w:r w:rsidR="00C2079D" w:rsidRPr="001D2362">
        <w:rPr>
          <w:rFonts w:cs="Arial"/>
          <w:i/>
          <w:iCs/>
          <w:color w:val="404040" w:themeColor="text1" w:themeTint="BF"/>
          <w:sz w:val="22"/>
          <w:szCs w:val="22"/>
        </w:rPr>
        <w:t>,</w:t>
      </w:r>
      <w:r w:rsidR="00E90D73" w:rsidRPr="001D2362">
        <w:rPr>
          <w:rFonts w:cs="Arial"/>
          <w:i/>
          <w:iCs/>
          <w:color w:val="404040" w:themeColor="text1" w:themeTint="BF"/>
          <w:sz w:val="22"/>
          <w:szCs w:val="22"/>
        </w:rPr>
        <w:t xml:space="preserve"> </w:t>
      </w:r>
      <w:r w:rsidR="008322DD" w:rsidRPr="00302C3E">
        <w:rPr>
          <w:rFonts w:cs="Arial"/>
          <w:i/>
          <w:iCs/>
          <w:color w:val="404040" w:themeColor="text1" w:themeTint="BF"/>
          <w:sz w:val="22"/>
          <w:szCs w:val="22"/>
        </w:rPr>
        <w:t>není-li Smlouvou stanoveno jinak</w:t>
      </w:r>
      <w:r w:rsidR="003B25FE">
        <w:rPr>
          <w:rFonts w:cs="Arial"/>
          <w:i/>
          <w:iCs/>
          <w:color w:val="404040" w:themeColor="text1" w:themeTint="BF"/>
          <w:sz w:val="22"/>
          <w:szCs w:val="22"/>
        </w:rPr>
        <w:t>.</w:t>
      </w:r>
      <w:r w:rsidR="002904BC">
        <w:rPr>
          <w:rFonts w:cs="Arial"/>
          <w:i/>
          <w:iCs/>
          <w:color w:val="404040" w:themeColor="text1" w:themeTint="BF"/>
          <w:sz w:val="22"/>
          <w:szCs w:val="22"/>
        </w:rPr>
        <w:t>“</w:t>
      </w:r>
    </w:p>
    <w:p w14:paraId="7AD71544" w14:textId="69A02E90" w:rsidR="00074456" w:rsidRDefault="00074456" w:rsidP="00074456">
      <w:pPr>
        <w:pStyle w:val="Odstavecseseznamem"/>
        <w:numPr>
          <w:ilvl w:val="1"/>
          <w:numId w:val="11"/>
        </w:numPr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F51192">
        <w:rPr>
          <w:rFonts w:cs="Arial"/>
          <w:color w:val="404040" w:themeColor="text1" w:themeTint="BF"/>
          <w:sz w:val="22"/>
          <w:szCs w:val="22"/>
        </w:rPr>
        <w:t xml:space="preserve">Dále se mění a nově zní článek </w:t>
      </w:r>
      <w:r w:rsidR="00DA42F4">
        <w:rPr>
          <w:rFonts w:cs="Arial"/>
          <w:color w:val="404040" w:themeColor="text1" w:themeTint="BF"/>
          <w:sz w:val="22"/>
          <w:szCs w:val="22"/>
        </w:rPr>
        <w:t>4</w:t>
      </w:r>
      <w:r w:rsidRPr="00F51192">
        <w:rPr>
          <w:rFonts w:cs="Arial"/>
          <w:color w:val="404040" w:themeColor="text1" w:themeTint="BF"/>
          <w:sz w:val="22"/>
          <w:szCs w:val="22"/>
        </w:rPr>
        <w:t xml:space="preserve"> odst. </w:t>
      </w:r>
      <w:r w:rsidR="00DA42F4">
        <w:rPr>
          <w:rFonts w:cs="Arial"/>
          <w:color w:val="404040" w:themeColor="text1" w:themeTint="BF"/>
          <w:sz w:val="22"/>
          <w:szCs w:val="22"/>
        </w:rPr>
        <w:t>4</w:t>
      </w:r>
      <w:r w:rsidRPr="00F51192">
        <w:rPr>
          <w:rFonts w:cs="Arial"/>
          <w:color w:val="404040" w:themeColor="text1" w:themeTint="BF"/>
          <w:sz w:val="22"/>
          <w:szCs w:val="22"/>
        </w:rPr>
        <w:t>.</w:t>
      </w:r>
      <w:r w:rsidR="00DA42F4">
        <w:rPr>
          <w:rFonts w:cs="Arial"/>
          <w:color w:val="404040" w:themeColor="text1" w:themeTint="BF"/>
          <w:sz w:val="22"/>
          <w:szCs w:val="22"/>
        </w:rPr>
        <w:t>1</w:t>
      </w:r>
      <w:r w:rsidRPr="00F51192">
        <w:rPr>
          <w:rFonts w:cs="Arial"/>
          <w:color w:val="404040" w:themeColor="text1" w:themeTint="BF"/>
          <w:sz w:val="22"/>
          <w:szCs w:val="22"/>
        </w:rPr>
        <w:t xml:space="preserve"> Smlouvy takto: </w:t>
      </w:r>
    </w:p>
    <w:p w14:paraId="58DF62FE" w14:textId="71DD5AEA" w:rsidR="0015517E" w:rsidRDefault="002904BC" w:rsidP="002904BC">
      <w:pPr>
        <w:pStyle w:val="Odstavecseseznamem"/>
        <w:spacing w:after="120" w:line="312" w:lineRule="auto"/>
        <w:ind w:left="1701" w:hanging="567"/>
        <w:contextualSpacing w:val="0"/>
        <w:jc w:val="both"/>
        <w:rPr>
          <w:rFonts w:cs="Arial"/>
          <w:i/>
          <w:iCs/>
          <w:color w:val="404040" w:themeColor="text1" w:themeTint="BF"/>
          <w:sz w:val="22"/>
          <w:szCs w:val="22"/>
        </w:rPr>
      </w:pPr>
      <w:r>
        <w:rPr>
          <w:rFonts w:cs="Arial"/>
          <w:i/>
          <w:iCs/>
          <w:color w:val="404040" w:themeColor="text1" w:themeTint="BF"/>
          <w:sz w:val="22"/>
          <w:szCs w:val="22"/>
        </w:rPr>
        <w:t>„</w:t>
      </w:r>
      <w:r w:rsidR="0015517E" w:rsidRPr="0015517E">
        <w:rPr>
          <w:rFonts w:cs="Arial"/>
          <w:i/>
          <w:iCs/>
          <w:color w:val="404040" w:themeColor="text1" w:themeTint="BF"/>
          <w:sz w:val="22"/>
          <w:szCs w:val="22"/>
        </w:rPr>
        <w:t xml:space="preserve">4.1 </w:t>
      </w:r>
      <w:r>
        <w:rPr>
          <w:rFonts w:cs="Arial"/>
          <w:i/>
          <w:iCs/>
          <w:color w:val="404040" w:themeColor="text1" w:themeTint="BF"/>
          <w:sz w:val="22"/>
          <w:szCs w:val="22"/>
        </w:rPr>
        <w:tab/>
      </w:r>
      <w:r w:rsidR="0015517E" w:rsidRPr="0015517E">
        <w:rPr>
          <w:rFonts w:cs="Arial"/>
          <w:i/>
          <w:iCs/>
          <w:color w:val="404040" w:themeColor="text1" w:themeTint="BF"/>
          <w:sz w:val="22"/>
          <w:szCs w:val="22"/>
        </w:rPr>
        <w:t>Cena za poskytování Předmětu plnění (tj. odměna za poskytnutí Licence a</w:t>
      </w:r>
      <w:r w:rsidR="00D448D0">
        <w:rPr>
          <w:rFonts w:cs="Arial"/>
          <w:i/>
          <w:iCs/>
          <w:color w:val="404040" w:themeColor="text1" w:themeTint="BF"/>
          <w:sz w:val="22"/>
          <w:szCs w:val="22"/>
        </w:rPr>
        <w:t> </w:t>
      </w:r>
      <w:r w:rsidR="0015517E" w:rsidRPr="0015517E">
        <w:rPr>
          <w:rFonts w:cs="Arial"/>
          <w:i/>
          <w:iCs/>
          <w:color w:val="404040" w:themeColor="text1" w:themeTint="BF"/>
          <w:sz w:val="22"/>
          <w:szCs w:val="22"/>
        </w:rPr>
        <w:t xml:space="preserve">cena za poskytování Podpory) činí </w:t>
      </w:r>
      <w:r w:rsidR="3DCCF1DA" w:rsidRPr="0DCCB429">
        <w:rPr>
          <w:rFonts w:cs="Arial"/>
          <w:i/>
          <w:iCs/>
          <w:color w:val="404040" w:themeColor="text1" w:themeTint="BF"/>
          <w:sz w:val="22"/>
          <w:szCs w:val="22"/>
        </w:rPr>
        <w:t>633</w:t>
      </w:r>
      <w:r w:rsidR="00D36A81">
        <w:rPr>
          <w:rFonts w:cs="Arial"/>
          <w:i/>
          <w:iCs/>
          <w:color w:val="404040" w:themeColor="text1" w:themeTint="BF"/>
          <w:sz w:val="22"/>
          <w:szCs w:val="22"/>
        </w:rPr>
        <w:t>.</w:t>
      </w:r>
      <w:r w:rsidR="007A10F9">
        <w:rPr>
          <w:rFonts w:cs="Arial"/>
          <w:i/>
          <w:iCs/>
          <w:color w:val="404040" w:themeColor="text1" w:themeTint="BF"/>
          <w:sz w:val="22"/>
          <w:szCs w:val="22"/>
        </w:rPr>
        <w:t>0</w:t>
      </w:r>
      <w:r w:rsidR="3DCCF1DA" w:rsidRPr="0DCCB429">
        <w:rPr>
          <w:rFonts w:cs="Arial"/>
          <w:i/>
          <w:iCs/>
          <w:color w:val="404040" w:themeColor="text1" w:themeTint="BF"/>
          <w:sz w:val="22"/>
          <w:szCs w:val="22"/>
        </w:rPr>
        <w:t>00</w:t>
      </w:r>
      <w:r w:rsidR="1E8808C2" w:rsidRPr="0DCCB429">
        <w:rPr>
          <w:rFonts w:cs="Arial"/>
          <w:i/>
          <w:iCs/>
          <w:color w:val="404040" w:themeColor="text1" w:themeTint="BF"/>
          <w:sz w:val="22"/>
          <w:szCs w:val="22"/>
        </w:rPr>
        <w:t>,-</w:t>
      </w:r>
      <w:r w:rsidR="0015517E" w:rsidRPr="0015517E">
        <w:rPr>
          <w:rFonts w:cs="Arial"/>
          <w:i/>
          <w:iCs/>
          <w:color w:val="404040" w:themeColor="text1" w:themeTint="BF"/>
          <w:sz w:val="22"/>
          <w:szCs w:val="22"/>
        </w:rPr>
        <w:t xml:space="preserve"> Kč (slovy: </w:t>
      </w:r>
      <w:r w:rsidR="00D448D0">
        <w:rPr>
          <w:rFonts w:cs="Arial"/>
          <w:i/>
          <w:iCs/>
          <w:color w:val="404040" w:themeColor="text1" w:themeTint="BF"/>
          <w:sz w:val="22"/>
          <w:szCs w:val="22"/>
        </w:rPr>
        <w:t>šestsettřicettřitisíc</w:t>
      </w:r>
      <w:r w:rsidR="0015517E" w:rsidRPr="0015517E">
        <w:rPr>
          <w:rFonts w:cs="Arial"/>
          <w:i/>
          <w:iCs/>
          <w:color w:val="404040" w:themeColor="text1" w:themeTint="BF"/>
          <w:sz w:val="22"/>
          <w:szCs w:val="22"/>
        </w:rPr>
        <w:t xml:space="preserve"> korun českých) bez DPH, tj. </w:t>
      </w:r>
      <w:r w:rsidR="17932F3F" w:rsidRPr="0DCCB429">
        <w:rPr>
          <w:rFonts w:cs="Arial"/>
          <w:i/>
          <w:iCs/>
          <w:color w:val="404040" w:themeColor="text1" w:themeTint="BF"/>
          <w:sz w:val="22"/>
          <w:szCs w:val="22"/>
        </w:rPr>
        <w:t>43.666</w:t>
      </w:r>
      <w:r w:rsidR="0015517E" w:rsidRPr="0015517E">
        <w:rPr>
          <w:rFonts w:cs="Arial"/>
          <w:i/>
          <w:iCs/>
          <w:color w:val="404040" w:themeColor="text1" w:themeTint="BF"/>
          <w:sz w:val="22"/>
          <w:szCs w:val="22"/>
        </w:rPr>
        <w:t xml:space="preserve">,- Kč (slovy: </w:t>
      </w:r>
      <w:r w:rsidR="00140236">
        <w:rPr>
          <w:rFonts w:cs="Arial"/>
          <w:i/>
          <w:iCs/>
          <w:color w:val="404040" w:themeColor="text1" w:themeTint="BF"/>
          <w:sz w:val="22"/>
          <w:szCs w:val="22"/>
        </w:rPr>
        <w:t>čtyřicettřitisícšest</w:t>
      </w:r>
      <w:r w:rsidR="00400769">
        <w:rPr>
          <w:rFonts w:cs="Arial"/>
          <w:i/>
          <w:iCs/>
          <w:color w:val="404040" w:themeColor="text1" w:themeTint="BF"/>
          <w:sz w:val="22"/>
          <w:szCs w:val="22"/>
        </w:rPr>
        <w:t xml:space="preserve">setšedesátšest </w:t>
      </w:r>
      <w:r w:rsidR="0015517E" w:rsidRPr="0015517E">
        <w:rPr>
          <w:rFonts w:cs="Arial"/>
          <w:i/>
          <w:iCs/>
          <w:color w:val="404040" w:themeColor="text1" w:themeTint="BF"/>
          <w:sz w:val="22"/>
          <w:szCs w:val="22"/>
        </w:rPr>
        <w:t>korun českých) bez DPH / měsíc.</w:t>
      </w:r>
      <w:r>
        <w:rPr>
          <w:rFonts w:cs="Arial"/>
          <w:i/>
          <w:iCs/>
          <w:color w:val="404040" w:themeColor="text1" w:themeTint="BF"/>
          <w:sz w:val="22"/>
          <w:szCs w:val="22"/>
        </w:rPr>
        <w:t>“</w:t>
      </w:r>
    </w:p>
    <w:p w14:paraId="5D563227" w14:textId="61568290" w:rsidR="0015517E" w:rsidRDefault="0015517E" w:rsidP="0015517E">
      <w:pPr>
        <w:pStyle w:val="Odstavecseseznamem"/>
        <w:numPr>
          <w:ilvl w:val="1"/>
          <w:numId w:val="11"/>
        </w:numPr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sz w:val="22"/>
          <w:szCs w:val="22"/>
        </w:rPr>
      </w:pPr>
      <w:r w:rsidRPr="00F51192">
        <w:rPr>
          <w:rFonts w:cs="Arial"/>
          <w:color w:val="404040" w:themeColor="text1" w:themeTint="BF"/>
          <w:sz w:val="22"/>
          <w:szCs w:val="22"/>
        </w:rPr>
        <w:t xml:space="preserve">Dále se mění a nově zní článek </w:t>
      </w:r>
      <w:r>
        <w:rPr>
          <w:rFonts w:cs="Arial"/>
          <w:color w:val="404040" w:themeColor="text1" w:themeTint="BF"/>
          <w:sz w:val="22"/>
          <w:szCs w:val="22"/>
        </w:rPr>
        <w:t>6</w:t>
      </w:r>
      <w:r w:rsidRPr="00F51192">
        <w:rPr>
          <w:rFonts w:cs="Arial"/>
          <w:color w:val="404040" w:themeColor="text1" w:themeTint="BF"/>
          <w:sz w:val="22"/>
          <w:szCs w:val="22"/>
        </w:rPr>
        <w:t xml:space="preserve"> odst. </w:t>
      </w:r>
      <w:r>
        <w:rPr>
          <w:rFonts w:cs="Arial"/>
          <w:color w:val="404040" w:themeColor="text1" w:themeTint="BF"/>
          <w:sz w:val="22"/>
          <w:szCs w:val="22"/>
        </w:rPr>
        <w:t>6</w:t>
      </w:r>
      <w:r w:rsidRPr="00F51192">
        <w:rPr>
          <w:rFonts w:cs="Arial"/>
          <w:color w:val="404040" w:themeColor="text1" w:themeTint="BF"/>
          <w:sz w:val="22"/>
          <w:szCs w:val="22"/>
        </w:rPr>
        <w:t>.</w:t>
      </w:r>
      <w:r>
        <w:rPr>
          <w:rFonts w:cs="Arial"/>
          <w:color w:val="404040" w:themeColor="text1" w:themeTint="BF"/>
          <w:sz w:val="22"/>
          <w:szCs w:val="22"/>
        </w:rPr>
        <w:t>1</w:t>
      </w:r>
      <w:r w:rsidRPr="00F51192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83289E" w:rsidRPr="006921A2">
        <w:rPr>
          <w:rFonts w:cs="Arial"/>
          <w:color w:val="404040" w:themeColor="text1" w:themeTint="BF"/>
          <w:sz w:val="22"/>
          <w:szCs w:val="22"/>
        </w:rPr>
        <w:t xml:space="preserve">písm. a) </w:t>
      </w:r>
      <w:r w:rsidRPr="00F51192">
        <w:rPr>
          <w:rFonts w:cs="Arial"/>
          <w:color w:val="404040" w:themeColor="text1" w:themeTint="BF"/>
          <w:sz w:val="22"/>
          <w:szCs w:val="22"/>
        </w:rPr>
        <w:t xml:space="preserve">Smlouvy takto: </w:t>
      </w:r>
    </w:p>
    <w:p w14:paraId="0EC1227B" w14:textId="7B0F88B1" w:rsidR="00F37314" w:rsidRPr="00C53E54" w:rsidRDefault="00C53E54" w:rsidP="00C53E54">
      <w:pPr>
        <w:spacing w:after="120" w:line="312" w:lineRule="auto"/>
        <w:ind w:left="1701" w:hanging="633"/>
        <w:jc w:val="both"/>
        <w:rPr>
          <w:rFonts w:cs="Arial"/>
          <w:i/>
          <w:iCs/>
          <w:color w:val="404040" w:themeColor="text1" w:themeTint="BF"/>
          <w:sz w:val="22"/>
          <w:szCs w:val="22"/>
        </w:rPr>
      </w:pPr>
      <w:r>
        <w:rPr>
          <w:rFonts w:cs="Arial"/>
          <w:i/>
          <w:iCs/>
          <w:color w:val="404040" w:themeColor="text1" w:themeTint="BF"/>
          <w:sz w:val="22"/>
          <w:szCs w:val="22"/>
        </w:rPr>
        <w:t>„a)</w:t>
      </w:r>
      <w:r>
        <w:rPr>
          <w:rFonts w:cs="Arial"/>
          <w:i/>
          <w:iCs/>
          <w:color w:val="404040" w:themeColor="text1" w:themeTint="BF"/>
          <w:sz w:val="22"/>
          <w:szCs w:val="22"/>
        </w:rPr>
        <w:tab/>
      </w:r>
      <w:r w:rsidR="00682014" w:rsidRPr="00C53E54">
        <w:rPr>
          <w:rFonts w:cs="Arial"/>
          <w:i/>
          <w:iCs/>
          <w:color w:val="404040" w:themeColor="text1" w:themeTint="BF"/>
          <w:sz w:val="22"/>
          <w:szCs w:val="22"/>
        </w:rPr>
        <w:t xml:space="preserve">na dobu určitou, od 1.12.2023 do </w:t>
      </w:r>
      <w:r w:rsidR="0018475D" w:rsidRPr="00C53E54">
        <w:rPr>
          <w:rFonts w:cs="Arial"/>
          <w:i/>
          <w:iCs/>
          <w:color w:val="404040" w:themeColor="text1" w:themeTint="BF"/>
          <w:sz w:val="22"/>
          <w:szCs w:val="22"/>
        </w:rPr>
        <w:t>28.2.2025</w:t>
      </w:r>
      <w:r w:rsidR="00682014" w:rsidRPr="00C53E54">
        <w:rPr>
          <w:rFonts w:cs="Arial"/>
          <w:i/>
          <w:iCs/>
          <w:color w:val="404040" w:themeColor="text1" w:themeTint="BF"/>
          <w:sz w:val="22"/>
          <w:szCs w:val="22"/>
        </w:rPr>
        <w:t>, dodatečná licence na Servi</w:t>
      </w:r>
      <w:r w:rsidR="0064097C" w:rsidRPr="00C53E54">
        <w:rPr>
          <w:rFonts w:cs="Arial"/>
          <w:i/>
          <w:iCs/>
          <w:color w:val="404040" w:themeColor="text1" w:themeTint="BF"/>
          <w:sz w:val="22"/>
          <w:szCs w:val="22"/>
        </w:rPr>
        <w:t>ce</w:t>
      </w:r>
      <w:r w:rsidR="00682014" w:rsidRPr="00C53E54">
        <w:rPr>
          <w:rFonts w:cs="Arial"/>
          <w:i/>
          <w:iCs/>
          <w:color w:val="404040" w:themeColor="text1" w:themeTint="BF"/>
          <w:sz w:val="22"/>
          <w:szCs w:val="22"/>
        </w:rPr>
        <w:t xml:space="preserve"> Desk External uveden</w:t>
      </w:r>
      <w:r w:rsidR="0073213F" w:rsidRPr="00C53E54">
        <w:rPr>
          <w:rFonts w:cs="Arial"/>
          <w:i/>
          <w:iCs/>
          <w:color w:val="404040" w:themeColor="text1" w:themeTint="BF"/>
          <w:sz w:val="22"/>
          <w:szCs w:val="22"/>
        </w:rPr>
        <w:t>á</w:t>
      </w:r>
      <w:r w:rsidR="00682014" w:rsidRPr="00C53E54">
        <w:rPr>
          <w:rFonts w:cs="Arial"/>
          <w:i/>
          <w:iCs/>
          <w:color w:val="404040" w:themeColor="text1" w:themeTint="BF"/>
          <w:sz w:val="22"/>
          <w:szCs w:val="22"/>
        </w:rPr>
        <w:t xml:space="preserve"> v Příloze č. 1 Smlouvy navýšená o 3 řešitele je</w:t>
      </w:r>
      <w:r w:rsidR="00C66FE0">
        <w:rPr>
          <w:rFonts w:cs="Arial"/>
          <w:i/>
          <w:iCs/>
          <w:color w:val="404040" w:themeColor="text1" w:themeTint="BF"/>
          <w:sz w:val="22"/>
          <w:szCs w:val="22"/>
        </w:rPr>
        <w:t> </w:t>
      </w:r>
      <w:r w:rsidR="00682014" w:rsidRPr="00C53E54">
        <w:rPr>
          <w:rFonts w:cs="Arial"/>
          <w:i/>
          <w:iCs/>
          <w:color w:val="404040" w:themeColor="text1" w:themeTint="BF"/>
          <w:sz w:val="22"/>
          <w:szCs w:val="22"/>
        </w:rPr>
        <w:t>poskytována počínaje dnem 1.5.2024;</w:t>
      </w:r>
      <w:r w:rsidR="00C66FE0">
        <w:rPr>
          <w:rFonts w:cs="Arial"/>
          <w:i/>
          <w:iCs/>
          <w:color w:val="404040" w:themeColor="text1" w:themeTint="BF"/>
          <w:sz w:val="22"/>
          <w:szCs w:val="22"/>
        </w:rPr>
        <w:t>“</w:t>
      </w:r>
    </w:p>
    <w:p w14:paraId="20E3DE1E" w14:textId="24DB43D7" w:rsidR="000473EA" w:rsidRPr="00582377" w:rsidRDefault="000473EA" w:rsidP="00582377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</w:p>
    <w:p w14:paraId="663E58FD" w14:textId="20085356" w:rsidR="007917F9" w:rsidRPr="00C2079D" w:rsidRDefault="007917F9" w:rsidP="00582377">
      <w:pPr>
        <w:pStyle w:val="Odstavecseseznamem"/>
        <w:numPr>
          <w:ilvl w:val="0"/>
          <w:numId w:val="5"/>
        </w:numPr>
        <w:spacing w:line="312" w:lineRule="auto"/>
        <w:jc w:val="center"/>
        <w:rPr>
          <w:rFonts w:cs="Arial"/>
          <w:b/>
          <w:bCs/>
          <w:color w:val="404040" w:themeColor="text1" w:themeTint="BF"/>
          <w:sz w:val="22"/>
          <w:szCs w:val="22"/>
        </w:rPr>
      </w:pPr>
      <w:r w:rsidRPr="00C2079D">
        <w:rPr>
          <w:rFonts w:cs="Arial"/>
          <w:b/>
          <w:bCs/>
          <w:color w:val="404040" w:themeColor="text1" w:themeTint="BF"/>
          <w:sz w:val="22"/>
          <w:szCs w:val="22"/>
        </w:rPr>
        <w:lastRenderedPageBreak/>
        <w:t>Závěrečná ustanovení</w:t>
      </w:r>
    </w:p>
    <w:p w14:paraId="465ADBDB" w14:textId="77777777" w:rsidR="00B842FF" w:rsidRPr="009B48EE" w:rsidRDefault="00B842FF" w:rsidP="009B48EE">
      <w:pPr>
        <w:spacing w:line="312" w:lineRule="auto"/>
        <w:jc w:val="center"/>
        <w:rPr>
          <w:rFonts w:cs="Arial"/>
          <w:color w:val="404040" w:themeColor="text1" w:themeTint="BF"/>
          <w:sz w:val="22"/>
          <w:szCs w:val="22"/>
        </w:rPr>
      </w:pPr>
    </w:p>
    <w:p w14:paraId="009DF8F2" w14:textId="5E74CC04" w:rsidR="00582377" w:rsidRPr="00D41F54" w:rsidRDefault="007917F9" w:rsidP="00582377">
      <w:pPr>
        <w:pStyle w:val="Odstavecseseznamem"/>
        <w:numPr>
          <w:ilvl w:val="1"/>
          <w:numId w:val="13"/>
        </w:numPr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kern w:val="20"/>
          <w:sz w:val="22"/>
          <w:szCs w:val="22"/>
        </w:rPr>
      </w:pPr>
      <w:r w:rsidRPr="00582377">
        <w:rPr>
          <w:rFonts w:cs="Arial"/>
          <w:color w:val="404040" w:themeColor="text1" w:themeTint="BF"/>
          <w:sz w:val="22"/>
          <w:szCs w:val="22"/>
        </w:rPr>
        <w:t xml:space="preserve">Tento Dodatek je nedílnou součástí </w:t>
      </w:r>
      <w:r w:rsidR="007F7657" w:rsidRPr="00582377">
        <w:rPr>
          <w:rFonts w:cs="Arial"/>
          <w:color w:val="404040" w:themeColor="text1" w:themeTint="BF"/>
          <w:sz w:val="22"/>
          <w:szCs w:val="22"/>
        </w:rPr>
        <w:t xml:space="preserve">Smlouvy </w:t>
      </w:r>
      <w:r w:rsidR="00AD257E" w:rsidRPr="00582377">
        <w:rPr>
          <w:rFonts w:cs="Arial"/>
          <w:color w:val="404040" w:themeColor="text1" w:themeTint="BF"/>
          <w:kern w:val="20"/>
          <w:sz w:val="22"/>
          <w:szCs w:val="22"/>
        </w:rPr>
        <w:t>o pořízení licence SW a poskytování souvisejících služeb číslo 2024/019 NAKIT uzavřené dne 12.1.2024</w:t>
      </w:r>
      <w:r w:rsidR="005C7477">
        <w:rPr>
          <w:rFonts w:cs="Arial"/>
          <w:color w:val="404040" w:themeColor="text1" w:themeTint="BF"/>
          <w:kern w:val="20"/>
          <w:sz w:val="22"/>
          <w:szCs w:val="22"/>
        </w:rPr>
        <w:t xml:space="preserve"> </w:t>
      </w:r>
      <w:bookmarkStart w:id="1" w:name="_Hlk182389251"/>
      <w:r w:rsidR="005C7477">
        <w:rPr>
          <w:rFonts w:cs="Arial"/>
          <w:color w:val="404040" w:themeColor="text1" w:themeTint="BF"/>
          <w:kern w:val="20"/>
          <w:sz w:val="22"/>
          <w:szCs w:val="22"/>
        </w:rPr>
        <w:t>včetně jejích dodatků č</w:t>
      </w:r>
      <w:r w:rsidR="00AD257E" w:rsidRPr="00D41F54">
        <w:rPr>
          <w:rFonts w:cs="Arial"/>
          <w:color w:val="404040" w:themeColor="text1" w:themeTint="BF"/>
          <w:kern w:val="20"/>
          <w:sz w:val="22"/>
          <w:szCs w:val="22"/>
        </w:rPr>
        <w:t>.</w:t>
      </w:r>
      <w:r w:rsidR="005C7477" w:rsidRPr="00D41F54">
        <w:rPr>
          <w:rFonts w:cs="Arial"/>
          <w:color w:val="404040" w:themeColor="text1" w:themeTint="BF"/>
          <w:kern w:val="20"/>
          <w:sz w:val="22"/>
          <w:szCs w:val="22"/>
        </w:rPr>
        <w:t xml:space="preserve"> 1</w:t>
      </w:r>
      <w:r w:rsidR="00837B06" w:rsidRPr="00D41F54">
        <w:rPr>
          <w:rFonts w:cs="Arial"/>
          <w:color w:val="404040" w:themeColor="text1" w:themeTint="BF"/>
          <w:kern w:val="20"/>
          <w:sz w:val="22"/>
          <w:szCs w:val="22"/>
        </w:rPr>
        <w:t xml:space="preserve"> ze dne </w:t>
      </w:r>
      <w:r w:rsidR="00914FB7" w:rsidRPr="00D41F54">
        <w:rPr>
          <w:rFonts w:cs="Arial"/>
          <w:color w:val="404040" w:themeColor="text1" w:themeTint="BF"/>
          <w:kern w:val="20"/>
          <w:sz w:val="22"/>
          <w:szCs w:val="22"/>
        </w:rPr>
        <w:t>1.5.2024</w:t>
      </w:r>
      <w:r w:rsidR="00837B06" w:rsidRPr="00D41F54">
        <w:rPr>
          <w:rFonts w:cs="Arial"/>
          <w:color w:val="404040" w:themeColor="text1" w:themeTint="BF"/>
          <w:kern w:val="20"/>
          <w:sz w:val="22"/>
          <w:szCs w:val="22"/>
        </w:rPr>
        <w:t xml:space="preserve"> a č. 2 ze dne </w:t>
      </w:r>
      <w:r w:rsidR="00D41F54" w:rsidRPr="00D41F54">
        <w:rPr>
          <w:rFonts w:cs="Arial"/>
          <w:color w:val="404040" w:themeColor="text1" w:themeTint="BF"/>
          <w:kern w:val="20"/>
          <w:sz w:val="22"/>
          <w:szCs w:val="22"/>
        </w:rPr>
        <w:t>28.5.2024.</w:t>
      </w:r>
      <w:r w:rsidR="00AD257E" w:rsidRPr="00D41F54">
        <w:rPr>
          <w:rFonts w:cs="Arial"/>
          <w:color w:val="404040" w:themeColor="text1" w:themeTint="BF"/>
          <w:kern w:val="20"/>
          <w:sz w:val="22"/>
          <w:szCs w:val="22"/>
        </w:rPr>
        <w:t xml:space="preserve"> </w:t>
      </w:r>
    </w:p>
    <w:bookmarkEnd w:id="1"/>
    <w:p w14:paraId="0B805334" w14:textId="77777777" w:rsidR="00582377" w:rsidRPr="00582377" w:rsidRDefault="00B621C6" w:rsidP="00582377">
      <w:pPr>
        <w:pStyle w:val="Odstavecseseznamem"/>
        <w:numPr>
          <w:ilvl w:val="1"/>
          <w:numId w:val="13"/>
        </w:numPr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kern w:val="20"/>
          <w:sz w:val="22"/>
          <w:szCs w:val="22"/>
        </w:rPr>
      </w:pPr>
      <w:r w:rsidRPr="00582377">
        <w:rPr>
          <w:rFonts w:cs="Arial"/>
          <w:color w:val="404040" w:themeColor="text1" w:themeTint="BF"/>
          <w:sz w:val="22"/>
          <w:szCs w:val="22"/>
        </w:rPr>
        <w:t xml:space="preserve">Jednotlivá ustanovení Smlouvy, která nejsou tímto Dodatkem dotčena zůstávají beze změn. </w:t>
      </w:r>
    </w:p>
    <w:p w14:paraId="1DEB464E" w14:textId="15E295C9" w:rsidR="00582377" w:rsidRPr="00582377" w:rsidRDefault="00B621C6" w:rsidP="00582377">
      <w:pPr>
        <w:pStyle w:val="Odstavecseseznamem"/>
        <w:numPr>
          <w:ilvl w:val="1"/>
          <w:numId w:val="13"/>
        </w:numPr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kern w:val="20"/>
          <w:sz w:val="22"/>
          <w:szCs w:val="22"/>
        </w:rPr>
      </w:pPr>
      <w:r w:rsidRPr="00582377">
        <w:rPr>
          <w:rFonts w:cs="Arial"/>
          <w:color w:val="404040" w:themeColor="text1" w:themeTint="BF"/>
          <w:sz w:val="22"/>
          <w:szCs w:val="22"/>
        </w:rPr>
        <w:t xml:space="preserve">Dodatek je vyhotoven </w:t>
      </w:r>
      <w:r w:rsidR="00090AA4" w:rsidRPr="00582377">
        <w:rPr>
          <w:rFonts w:cs="Arial"/>
          <w:color w:val="404040" w:themeColor="text1" w:themeTint="BF"/>
          <w:sz w:val="22"/>
          <w:szCs w:val="22"/>
        </w:rPr>
        <w:t>elektronicky a podepsán oběma zástupci Smluvních stran zaručeným elektronickým podpisem.</w:t>
      </w:r>
    </w:p>
    <w:p w14:paraId="55AFE24D" w14:textId="4E89A47D" w:rsidR="009E0EAC" w:rsidRPr="00582377" w:rsidRDefault="009E0EAC" w:rsidP="009E0EAC">
      <w:pPr>
        <w:pStyle w:val="Odstavecseseznamem"/>
        <w:numPr>
          <w:ilvl w:val="1"/>
          <w:numId w:val="13"/>
        </w:numPr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kern w:val="20"/>
          <w:sz w:val="22"/>
          <w:szCs w:val="22"/>
        </w:rPr>
      </w:pPr>
      <w:r w:rsidRPr="00582377">
        <w:rPr>
          <w:rFonts w:cs="Arial"/>
          <w:color w:val="404040" w:themeColor="text1" w:themeTint="BF"/>
          <w:sz w:val="22"/>
          <w:szCs w:val="22"/>
        </w:rPr>
        <w:t xml:space="preserve">Tento Dodatek nabývá platnosti dnem podpisu obou </w:t>
      </w:r>
      <w:r w:rsidR="00EB2F49">
        <w:rPr>
          <w:rFonts w:cs="Arial"/>
          <w:color w:val="404040" w:themeColor="text1" w:themeTint="BF"/>
          <w:sz w:val="22"/>
          <w:szCs w:val="22"/>
        </w:rPr>
        <w:t xml:space="preserve">Smluvních </w:t>
      </w:r>
      <w:r w:rsidRPr="00582377">
        <w:rPr>
          <w:rFonts w:cs="Arial"/>
          <w:color w:val="404040" w:themeColor="text1" w:themeTint="BF"/>
          <w:sz w:val="22"/>
          <w:szCs w:val="22"/>
        </w:rPr>
        <w:t>stran a účinnosti dnem uveřejnění Dodatku v registru smluv.</w:t>
      </w:r>
    </w:p>
    <w:p w14:paraId="60843AF5" w14:textId="77777777" w:rsidR="00582377" w:rsidRPr="00582377" w:rsidRDefault="00B621C6" w:rsidP="00582377">
      <w:pPr>
        <w:pStyle w:val="Odstavecseseznamem"/>
        <w:numPr>
          <w:ilvl w:val="1"/>
          <w:numId w:val="13"/>
        </w:numPr>
        <w:spacing w:after="120" w:line="312" w:lineRule="auto"/>
        <w:ind w:left="567" w:hanging="567"/>
        <w:contextualSpacing w:val="0"/>
        <w:jc w:val="both"/>
        <w:rPr>
          <w:rFonts w:cs="Arial"/>
          <w:color w:val="404040" w:themeColor="text1" w:themeTint="BF"/>
          <w:kern w:val="20"/>
          <w:sz w:val="22"/>
          <w:szCs w:val="22"/>
        </w:rPr>
      </w:pPr>
      <w:r w:rsidRPr="00582377">
        <w:rPr>
          <w:rFonts w:cs="Arial"/>
          <w:color w:val="404040" w:themeColor="text1" w:themeTint="BF"/>
          <w:sz w:val="22"/>
          <w:szCs w:val="22"/>
        </w:rPr>
        <w:t xml:space="preserve">Smluvní strany si sjednávají, že uveřejnění tohoto Dodatku v registru smluv zajistí </w:t>
      </w:r>
      <w:r w:rsidR="0023526D" w:rsidRPr="00582377">
        <w:rPr>
          <w:rFonts w:cs="Arial"/>
          <w:color w:val="404040" w:themeColor="text1" w:themeTint="BF"/>
          <w:sz w:val="22"/>
          <w:szCs w:val="22"/>
        </w:rPr>
        <w:t xml:space="preserve">Objednatel </w:t>
      </w:r>
      <w:r w:rsidRPr="00582377">
        <w:rPr>
          <w:rFonts w:cs="Arial"/>
          <w:color w:val="404040" w:themeColor="text1" w:themeTint="BF"/>
          <w:sz w:val="22"/>
          <w:szCs w:val="22"/>
        </w:rPr>
        <w:t>v souladu se zákonem o registru smluv, a to bezodkladně po podpisu tohoto Dodatku oběma Smluvními stranami.</w:t>
      </w:r>
    </w:p>
    <w:p w14:paraId="635E2B55" w14:textId="035F12AA" w:rsidR="00B621C6" w:rsidRPr="00582377" w:rsidRDefault="00B621C6" w:rsidP="00582377">
      <w:pPr>
        <w:pStyle w:val="Odstavecseseznamem"/>
        <w:numPr>
          <w:ilvl w:val="1"/>
          <w:numId w:val="13"/>
        </w:numPr>
        <w:spacing w:line="312" w:lineRule="auto"/>
        <w:ind w:left="567" w:hanging="567"/>
        <w:rPr>
          <w:rFonts w:cs="Arial"/>
          <w:color w:val="404040" w:themeColor="text1" w:themeTint="BF"/>
          <w:kern w:val="20"/>
          <w:sz w:val="22"/>
          <w:szCs w:val="22"/>
        </w:rPr>
      </w:pPr>
      <w:r w:rsidRPr="00582377">
        <w:rPr>
          <w:rFonts w:cs="Arial"/>
          <w:color w:val="404040" w:themeColor="text1" w:themeTint="BF"/>
          <w:sz w:val="22"/>
          <w:szCs w:val="22"/>
        </w:rPr>
        <w:t>Smluvní strany potvrzují, že si tento Dodatek před jeho podpisem přečetly, porozuměly jeho obsahu, uzavírají jej svobodně za vzájemně výhodných podmínek. Na důkaz toho připojují své níže uvedené podpisy.</w:t>
      </w:r>
    </w:p>
    <w:p w14:paraId="788767CF" w14:textId="77777777" w:rsidR="00B842FF" w:rsidRPr="009B48EE" w:rsidRDefault="00B842FF" w:rsidP="00464346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</w:p>
    <w:p w14:paraId="6925BA5C" w14:textId="4C93984F" w:rsidR="00B621C6" w:rsidRPr="009B48EE" w:rsidRDefault="00B621C6" w:rsidP="00505740">
      <w:pPr>
        <w:spacing w:after="120" w:line="312" w:lineRule="auto"/>
        <w:rPr>
          <w:rFonts w:cs="Arial"/>
          <w:b/>
          <w:bCs/>
          <w:color w:val="404040" w:themeColor="text1" w:themeTint="BF"/>
          <w:sz w:val="22"/>
          <w:szCs w:val="22"/>
        </w:rPr>
      </w:pPr>
      <w:r w:rsidRPr="009B48EE">
        <w:rPr>
          <w:rFonts w:cs="Arial"/>
          <w:b/>
          <w:bCs/>
          <w:color w:val="404040" w:themeColor="text1" w:themeTint="BF"/>
          <w:sz w:val="22"/>
          <w:szCs w:val="22"/>
        </w:rPr>
        <w:t xml:space="preserve">Za </w:t>
      </w:r>
      <w:r w:rsidR="00427579" w:rsidRPr="009B48EE">
        <w:rPr>
          <w:rFonts w:cs="Arial"/>
          <w:b/>
          <w:bCs/>
          <w:color w:val="404040" w:themeColor="text1" w:themeTint="BF"/>
          <w:sz w:val="22"/>
          <w:szCs w:val="22"/>
        </w:rPr>
        <w:t>Objednatele</w:t>
      </w:r>
      <w:r w:rsidRPr="009B48EE">
        <w:rPr>
          <w:rFonts w:cs="Arial"/>
          <w:b/>
          <w:bCs/>
          <w:color w:val="404040" w:themeColor="text1" w:themeTint="BF"/>
          <w:sz w:val="22"/>
          <w:szCs w:val="22"/>
        </w:rPr>
        <w:t xml:space="preserve">: </w:t>
      </w:r>
      <w:r w:rsidRPr="009B48EE">
        <w:rPr>
          <w:rFonts w:cs="Arial"/>
          <w:b/>
          <w:bCs/>
          <w:color w:val="404040" w:themeColor="text1" w:themeTint="BF"/>
          <w:sz w:val="22"/>
          <w:szCs w:val="22"/>
        </w:rPr>
        <w:tab/>
      </w:r>
      <w:r w:rsidRPr="009B48EE">
        <w:rPr>
          <w:rFonts w:cs="Arial"/>
          <w:b/>
          <w:bCs/>
          <w:color w:val="404040" w:themeColor="text1" w:themeTint="BF"/>
          <w:sz w:val="22"/>
          <w:szCs w:val="22"/>
        </w:rPr>
        <w:tab/>
      </w:r>
      <w:r w:rsidRPr="009B48EE">
        <w:rPr>
          <w:rFonts w:cs="Arial"/>
          <w:b/>
          <w:bCs/>
          <w:color w:val="404040" w:themeColor="text1" w:themeTint="BF"/>
          <w:sz w:val="22"/>
          <w:szCs w:val="22"/>
        </w:rPr>
        <w:tab/>
      </w:r>
      <w:r w:rsidR="00427579" w:rsidRPr="009B48EE">
        <w:rPr>
          <w:rFonts w:cs="Arial"/>
          <w:b/>
          <w:bCs/>
          <w:color w:val="404040" w:themeColor="text1" w:themeTint="BF"/>
          <w:sz w:val="22"/>
          <w:szCs w:val="22"/>
        </w:rPr>
        <w:tab/>
      </w:r>
      <w:r w:rsidR="00F379C2">
        <w:rPr>
          <w:rFonts w:cs="Arial"/>
          <w:b/>
          <w:bCs/>
          <w:color w:val="404040" w:themeColor="text1" w:themeTint="BF"/>
          <w:sz w:val="22"/>
          <w:szCs w:val="22"/>
        </w:rPr>
        <w:tab/>
      </w:r>
      <w:r w:rsidRPr="009B48EE">
        <w:rPr>
          <w:rFonts w:cs="Arial"/>
          <w:b/>
          <w:bCs/>
          <w:color w:val="404040" w:themeColor="text1" w:themeTint="BF"/>
          <w:sz w:val="22"/>
          <w:szCs w:val="22"/>
        </w:rPr>
        <w:t xml:space="preserve">Za </w:t>
      </w:r>
      <w:r w:rsidR="00427579" w:rsidRPr="009B48EE">
        <w:rPr>
          <w:rFonts w:cs="Arial"/>
          <w:b/>
          <w:bCs/>
          <w:color w:val="404040" w:themeColor="text1" w:themeTint="BF"/>
          <w:sz w:val="22"/>
          <w:szCs w:val="22"/>
        </w:rPr>
        <w:t>Dodavatele</w:t>
      </w:r>
      <w:r w:rsidRPr="009B48EE">
        <w:rPr>
          <w:rFonts w:cs="Arial"/>
          <w:b/>
          <w:bCs/>
          <w:color w:val="404040" w:themeColor="text1" w:themeTint="BF"/>
          <w:sz w:val="22"/>
          <w:szCs w:val="22"/>
        </w:rPr>
        <w:t xml:space="preserve">: </w:t>
      </w:r>
    </w:p>
    <w:p w14:paraId="5ED2690B" w14:textId="1156CAD9" w:rsidR="00B621C6" w:rsidRDefault="00B621C6" w:rsidP="3AF28453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  <w:r w:rsidRPr="3AF28453">
        <w:rPr>
          <w:rFonts w:cs="Arial"/>
          <w:color w:val="404040" w:themeColor="text1" w:themeTint="BF"/>
          <w:sz w:val="22"/>
          <w:szCs w:val="22"/>
        </w:rPr>
        <w:t xml:space="preserve">V Praze dne: </w:t>
      </w:r>
      <w:r w:rsidR="47F22DD9" w:rsidRPr="3AF28453">
        <w:rPr>
          <w:rFonts w:cs="Arial"/>
          <w:color w:val="404040" w:themeColor="text1" w:themeTint="BF"/>
          <w:sz w:val="22"/>
          <w:szCs w:val="22"/>
        </w:rPr>
        <w:t>dle el. podpisu</w:t>
      </w:r>
      <w:r>
        <w:tab/>
      </w:r>
      <w:r>
        <w:tab/>
      </w:r>
      <w:r>
        <w:tab/>
      </w:r>
      <w:r>
        <w:tab/>
      </w:r>
      <w:r w:rsidRPr="3AF28453">
        <w:rPr>
          <w:rFonts w:cs="Arial"/>
          <w:color w:val="404040" w:themeColor="text1" w:themeTint="BF"/>
          <w:sz w:val="22"/>
          <w:szCs w:val="22"/>
        </w:rPr>
        <w:t xml:space="preserve">V Praze dne </w:t>
      </w:r>
      <w:r w:rsidR="0402BF2B" w:rsidRPr="3AF28453">
        <w:rPr>
          <w:rFonts w:cs="Arial"/>
          <w:color w:val="404040" w:themeColor="text1" w:themeTint="BF"/>
          <w:sz w:val="22"/>
          <w:szCs w:val="22"/>
        </w:rPr>
        <w:t>dle el. podpisu</w:t>
      </w:r>
    </w:p>
    <w:p w14:paraId="6D685E80" w14:textId="77777777" w:rsidR="00B621C6" w:rsidRPr="009B48EE" w:rsidRDefault="00B621C6" w:rsidP="009B48EE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</w:p>
    <w:p w14:paraId="51C25D9F" w14:textId="77777777" w:rsidR="00B621C6" w:rsidRPr="009B48EE" w:rsidRDefault="00B621C6" w:rsidP="009B48EE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</w:p>
    <w:p w14:paraId="7D90D64B" w14:textId="09EFC428" w:rsidR="00B621C6" w:rsidRPr="009B48EE" w:rsidRDefault="00464346" w:rsidP="009B48EE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t>……………………………………………..</w:t>
      </w:r>
      <w:r>
        <w:rPr>
          <w:rFonts w:cs="Arial"/>
          <w:color w:val="404040" w:themeColor="text1" w:themeTint="BF"/>
          <w:sz w:val="22"/>
          <w:szCs w:val="22"/>
        </w:rPr>
        <w:tab/>
      </w:r>
      <w:r>
        <w:rPr>
          <w:rFonts w:cs="Arial"/>
          <w:color w:val="404040" w:themeColor="text1" w:themeTint="BF"/>
          <w:sz w:val="22"/>
          <w:szCs w:val="22"/>
        </w:rPr>
        <w:tab/>
        <w:t>………………………………………………..</w:t>
      </w:r>
    </w:p>
    <w:p w14:paraId="165D9805" w14:textId="62944495" w:rsidR="00DF75BC" w:rsidRPr="009B48EE" w:rsidRDefault="00735FC5" w:rsidP="009B48EE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t>Xxx</w:t>
      </w:r>
      <w:r>
        <w:rPr>
          <w:rFonts w:cs="Arial"/>
          <w:color w:val="404040" w:themeColor="text1" w:themeTint="BF"/>
          <w:sz w:val="22"/>
          <w:szCs w:val="22"/>
        </w:rPr>
        <w:tab/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427579">
        <w:tab/>
      </w:r>
      <w:r w:rsidR="00427579">
        <w:tab/>
      </w:r>
      <w:r w:rsidR="00427579">
        <w:tab/>
      </w:r>
      <w:r w:rsidR="00427579">
        <w:tab/>
      </w:r>
      <w:r w:rsidR="00427579">
        <w:tab/>
      </w:r>
      <w:r>
        <w:t>xxx</w:t>
      </w:r>
    </w:p>
    <w:p w14:paraId="1761C62B" w14:textId="733A25BD" w:rsidR="00BB4B2F" w:rsidRPr="009B48EE" w:rsidRDefault="00735FC5" w:rsidP="5DCC7953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t>Xxx</w:t>
      </w:r>
      <w:r>
        <w:rPr>
          <w:rFonts w:cs="Arial"/>
          <w:color w:val="404040" w:themeColor="text1" w:themeTint="BF"/>
          <w:sz w:val="22"/>
          <w:szCs w:val="22"/>
        </w:rPr>
        <w:tab/>
      </w:r>
      <w:r w:rsidR="00BB4B2F" w:rsidRPr="009B48EE">
        <w:rPr>
          <w:rFonts w:cs="Arial"/>
          <w:color w:val="404040" w:themeColor="text1" w:themeTint="BF"/>
          <w:sz w:val="22"/>
          <w:szCs w:val="22"/>
        </w:rPr>
        <w:t xml:space="preserve"> </w:t>
      </w:r>
      <w:r w:rsidR="006962CB">
        <w:tab/>
      </w:r>
      <w:r w:rsidR="003373F4">
        <w:tab/>
      </w:r>
      <w:r w:rsidR="003373F4">
        <w:tab/>
      </w:r>
      <w:r w:rsidR="003373F4">
        <w:tab/>
      </w:r>
      <w:r w:rsidR="003373F4">
        <w:tab/>
      </w:r>
      <w:r w:rsidR="008E79C8">
        <w:tab/>
      </w:r>
      <w:r w:rsidR="003373F4" w:rsidRPr="008E79C8">
        <w:rPr>
          <w:b/>
          <w:bCs/>
        </w:rPr>
        <w:t>ALVAO s.r.o.</w:t>
      </w:r>
    </w:p>
    <w:p w14:paraId="23C9038D" w14:textId="6BC0B479" w:rsidR="00BB4B2F" w:rsidRPr="009B48EE" w:rsidRDefault="64063662" w:rsidP="5DCC7953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  <w:r w:rsidRPr="5DCC7953">
        <w:rPr>
          <w:rFonts w:eastAsia="Arial" w:cs="Arial"/>
          <w:b/>
          <w:bCs/>
          <w:sz w:val="22"/>
          <w:szCs w:val="22"/>
        </w:rPr>
        <w:t xml:space="preserve">Národní agentura pro komunikační a </w:t>
      </w:r>
    </w:p>
    <w:p w14:paraId="0B76A995" w14:textId="74C779F4" w:rsidR="00BB4B2F" w:rsidRPr="009B48EE" w:rsidRDefault="64063662" w:rsidP="009B48EE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  <w:r w:rsidRPr="5DCC7953">
        <w:rPr>
          <w:rFonts w:eastAsia="Arial" w:cs="Arial"/>
          <w:b/>
          <w:bCs/>
          <w:sz w:val="22"/>
          <w:szCs w:val="22"/>
        </w:rPr>
        <w:t>informační technologie, s. p.</w:t>
      </w:r>
    </w:p>
    <w:p w14:paraId="5F2490B2" w14:textId="77777777" w:rsidR="00BB4B2F" w:rsidRDefault="00BB4B2F" w:rsidP="009B48EE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</w:p>
    <w:p w14:paraId="57854A65" w14:textId="7AF60368" w:rsidR="3AF28453" w:rsidRDefault="3AF28453" w:rsidP="3AF28453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</w:p>
    <w:p w14:paraId="2B3C9EAF" w14:textId="77777777" w:rsidR="00464346" w:rsidRDefault="00464346" w:rsidP="3AF28453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</w:p>
    <w:p w14:paraId="5A4E87E0" w14:textId="3BC85355" w:rsidR="00820D3F" w:rsidRPr="009B48EE" w:rsidRDefault="00464346" w:rsidP="009B48EE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t>………………………………………………</w:t>
      </w:r>
    </w:p>
    <w:p w14:paraId="5FEC9E3F" w14:textId="0D32AC2A" w:rsidR="00F379C2" w:rsidRDefault="00735FC5" w:rsidP="009B48EE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t>xxx</w:t>
      </w:r>
    </w:p>
    <w:p w14:paraId="57FF1809" w14:textId="72B4E540" w:rsidR="00B621C6" w:rsidRPr="009B48EE" w:rsidRDefault="00735FC5" w:rsidP="5DCC7953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  <w:r>
        <w:rPr>
          <w:rFonts w:cs="Arial"/>
          <w:color w:val="404040" w:themeColor="text1" w:themeTint="BF"/>
          <w:sz w:val="22"/>
          <w:szCs w:val="22"/>
        </w:rPr>
        <w:t>xxx</w:t>
      </w:r>
    </w:p>
    <w:p w14:paraId="0B4BC5D1" w14:textId="23D385A2" w:rsidR="00B621C6" w:rsidRPr="009B48EE" w:rsidRDefault="3D946C1D" w:rsidP="5DCC7953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  <w:r w:rsidRPr="5DCC7953">
        <w:rPr>
          <w:rFonts w:eastAsia="Arial" w:cs="Arial"/>
          <w:b/>
          <w:bCs/>
          <w:sz w:val="22"/>
          <w:szCs w:val="22"/>
        </w:rPr>
        <w:t xml:space="preserve">Národní agentura pro komunikační a </w:t>
      </w:r>
    </w:p>
    <w:p w14:paraId="3A40217E" w14:textId="787F3A51" w:rsidR="00B621C6" w:rsidRPr="009B48EE" w:rsidRDefault="3D946C1D" w:rsidP="009B48EE">
      <w:pPr>
        <w:spacing w:line="312" w:lineRule="auto"/>
        <w:rPr>
          <w:rFonts w:cs="Arial"/>
          <w:color w:val="404040" w:themeColor="text1" w:themeTint="BF"/>
          <w:sz w:val="22"/>
          <w:szCs w:val="22"/>
        </w:rPr>
      </w:pPr>
      <w:r w:rsidRPr="5DCC7953">
        <w:rPr>
          <w:rFonts w:eastAsia="Arial" w:cs="Arial"/>
          <w:b/>
          <w:bCs/>
          <w:sz w:val="22"/>
          <w:szCs w:val="22"/>
        </w:rPr>
        <w:t>informační technologie, s. p.</w:t>
      </w:r>
      <w:r w:rsidR="00DD3882" w:rsidRPr="009B48EE">
        <w:rPr>
          <w:rFonts w:cs="Arial"/>
          <w:color w:val="404040" w:themeColor="text1" w:themeTint="BF"/>
          <w:sz w:val="22"/>
          <w:szCs w:val="22"/>
        </w:rPr>
        <w:t xml:space="preserve"> </w:t>
      </w:r>
    </w:p>
    <w:sectPr w:rsidR="00B621C6" w:rsidRPr="009B48EE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1C864" w14:textId="77777777" w:rsidR="00EF31E8" w:rsidRDefault="00EF31E8" w:rsidP="00DD3882">
      <w:r>
        <w:separator/>
      </w:r>
    </w:p>
  </w:endnote>
  <w:endnote w:type="continuationSeparator" w:id="0">
    <w:p w14:paraId="1FD85C1F" w14:textId="77777777" w:rsidR="00EF31E8" w:rsidRDefault="00EF31E8" w:rsidP="00DD3882">
      <w:r>
        <w:continuationSeparator/>
      </w:r>
    </w:p>
  </w:endnote>
  <w:endnote w:type="continuationNotice" w:id="1">
    <w:p w14:paraId="68F2A30C" w14:textId="77777777" w:rsidR="00EF31E8" w:rsidRDefault="00EF3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F9C2" w14:textId="27BBDB29" w:rsidR="00DD3882" w:rsidRDefault="00735FC5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D36B44" wp14:editId="5B72EF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7325876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05BEE" w14:textId="71E382BD" w:rsidR="00735FC5" w:rsidRPr="00735FC5" w:rsidRDefault="00735FC5" w:rsidP="0073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735F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36B4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C505BEE" w14:textId="71E382BD" w:rsidR="00735FC5" w:rsidRPr="00735FC5" w:rsidRDefault="00735FC5" w:rsidP="00735F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735FC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1707" w14:textId="0E1ABEB0" w:rsidR="00DD3882" w:rsidRDefault="00735FC5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122122" wp14:editId="0B88F268">
              <wp:simplePos x="904875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1257002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85DD7" w14:textId="3774CF8E" w:rsidR="00735FC5" w:rsidRPr="00735FC5" w:rsidRDefault="00735FC5" w:rsidP="0073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735F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2212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2385DD7" w14:textId="3774CF8E" w:rsidR="00735FC5" w:rsidRPr="00735FC5" w:rsidRDefault="00735FC5" w:rsidP="00735F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735FC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EE3C" w14:textId="65D32018" w:rsidR="00DD3882" w:rsidRDefault="00735FC5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831D32" wp14:editId="6586A7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0123484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16E9F" w14:textId="3E6DCD30" w:rsidR="00735FC5" w:rsidRPr="00735FC5" w:rsidRDefault="00735FC5" w:rsidP="0073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735F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31D3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7316E9F" w14:textId="3E6DCD30" w:rsidR="00735FC5" w:rsidRPr="00735FC5" w:rsidRDefault="00735FC5" w:rsidP="00735F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735FC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CD4D7" w14:textId="77777777" w:rsidR="00EF31E8" w:rsidRDefault="00EF31E8" w:rsidP="00DD3882">
      <w:r>
        <w:separator/>
      </w:r>
    </w:p>
  </w:footnote>
  <w:footnote w:type="continuationSeparator" w:id="0">
    <w:p w14:paraId="579EF2E5" w14:textId="77777777" w:rsidR="00EF31E8" w:rsidRDefault="00EF31E8" w:rsidP="00DD3882">
      <w:r>
        <w:continuationSeparator/>
      </w:r>
    </w:p>
  </w:footnote>
  <w:footnote w:type="continuationNotice" w:id="1">
    <w:p w14:paraId="2D594D78" w14:textId="77777777" w:rsidR="00EF31E8" w:rsidRDefault="00EF31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4097"/>
    <w:multiLevelType w:val="hybridMultilevel"/>
    <w:tmpl w:val="40BE0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8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BE2A94"/>
    <w:multiLevelType w:val="hybridMultilevel"/>
    <w:tmpl w:val="BD12ED3E"/>
    <w:lvl w:ilvl="0" w:tplc="FF588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645C"/>
    <w:multiLevelType w:val="hybridMultilevel"/>
    <w:tmpl w:val="A9D01454"/>
    <w:lvl w:ilvl="0" w:tplc="FFFFFFFF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25D3C"/>
    <w:multiLevelType w:val="hybridMultilevel"/>
    <w:tmpl w:val="0B2019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E316C"/>
    <w:multiLevelType w:val="hybridMultilevel"/>
    <w:tmpl w:val="22F6AF62"/>
    <w:lvl w:ilvl="0" w:tplc="A5BCB5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9D956B9"/>
    <w:multiLevelType w:val="hybridMultilevel"/>
    <w:tmpl w:val="76A64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C3D45"/>
    <w:multiLevelType w:val="hybridMultilevel"/>
    <w:tmpl w:val="00DC6314"/>
    <w:lvl w:ilvl="0" w:tplc="83EC7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16FEF"/>
    <w:multiLevelType w:val="hybridMultilevel"/>
    <w:tmpl w:val="0B785986"/>
    <w:lvl w:ilvl="0" w:tplc="DAFA2C3A">
      <w:start w:val="190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FC0AA1"/>
    <w:multiLevelType w:val="multilevel"/>
    <w:tmpl w:val="41ACE3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i/>
        <w:color w:val="00B0F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i/>
      </w:rPr>
    </w:lvl>
  </w:abstractNum>
  <w:abstractNum w:abstractNumId="10" w15:restartNumberingAfterBreak="0">
    <w:nsid w:val="47444E83"/>
    <w:multiLevelType w:val="multilevel"/>
    <w:tmpl w:val="90B6149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036F9F"/>
    <w:multiLevelType w:val="hybridMultilevel"/>
    <w:tmpl w:val="657CB554"/>
    <w:lvl w:ilvl="0" w:tplc="7F52F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94CCA"/>
    <w:multiLevelType w:val="multilevel"/>
    <w:tmpl w:val="3A9E2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A6A5537"/>
    <w:multiLevelType w:val="multilevel"/>
    <w:tmpl w:val="B1245C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6435F48"/>
    <w:multiLevelType w:val="multilevel"/>
    <w:tmpl w:val="A210D3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1E36B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542AEA"/>
    <w:multiLevelType w:val="multilevel"/>
    <w:tmpl w:val="41ACE3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i/>
      </w:rPr>
    </w:lvl>
  </w:abstractNum>
  <w:abstractNum w:abstractNumId="17" w15:restartNumberingAfterBreak="0">
    <w:nsid w:val="7AA979F7"/>
    <w:multiLevelType w:val="multilevel"/>
    <w:tmpl w:val="21E6EF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64955581">
    <w:abstractNumId w:val="3"/>
  </w:num>
  <w:num w:numId="2" w16cid:durableId="378747131">
    <w:abstractNumId w:val="11"/>
  </w:num>
  <w:num w:numId="3" w16cid:durableId="1526361652">
    <w:abstractNumId w:val="2"/>
  </w:num>
  <w:num w:numId="4" w16cid:durableId="719793406">
    <w:abstractNumId w:val="7"/>
  </w:num>
  <w:num w:numId="5" w16cid:durableId="1080828537">
    <w:abstractNumId w:val="10"/>
  </w:num>
  <w:num w:numId="6" w16cid:durableId="1784419986">
    <w:abstractNumId w:val="1"/>
  </w:num>
  <w:num w:numId="7" w16cid:durableId="2050950373">
    <w:abstractNumId w:val="13"/>
  </w:num>
  <w:num w:numId="8" w16cid:durableId="337192678">
    <w:abstractNumId w:val="4"/>
  </w:num>
  <w:num w:numId="9" w16cid:durableId="867720107">
    <w:abstractNumId w:val="0"/>
  </w:num>
  <w:num w:numId="10" w16cid:durableId="1387073773">
    <w:abstractNumId w:val="6"/>
  </w:num>
  <w:num w:numId="11" w16cid:durableId="906721984">
    <w:abstractNumId w:val="17"/>
  </w:num>
  <w:num w:numId="12" w16cid:durableId="1138885179">
    <w:abstractNumId w:val="8"/>
  </w:num>
  <w:num w:numId="13" w16cid:durableId="965083564">
    <w:abstractNumId w:val="14"/>
  </w:num>
  <w:num w:numId="14" w16cid:durableId="1654065013">
    <w:abstractNumId w:val="12"/>
  </w:num>
  <w:num w:numId="15" w16cid:durableId="839349566">
    <w:abstractNumId w:val="16"/>
  </w:num>
  <w:num w:numId="16" w16cid:durableId="1316714453">
    <w:abstractNumId w:val="15"/>
  </w:num>
  <w:num w:numId="17" w16cid:durableId="670716848">
    <w:abstractNumId w:val="9"/>
  </w:num>
  <w:num w:numId="18" w16cid:durableId="298725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33"/>
    <w:rsid w:val="000102D7"/>
    <w:rsid w:val="00013579"/>
    <w:rsid w:val="00041234"/>
    <w:rsid w:val="000473EA"/>
    <w:rsid w:val="00066F05"/>
    <w:rsid w:val="00074456"/>
    <w:rsid w:val="00074B97"/>
    <w:rsid w:val="00087270"/>
    <w:rsid w:val="00090AA4"/>
    <w:rsid w:val="000951C6"/>
    <w:rsid w:val="000A141A"/>
    <w:rsid w:val="000A4FCA"/>
    <w:rsid w:val="000C2C2E"/>
    <w:rsid w:val="000D423C"/>
    <w:rsid w:val="000E1868"/>
    <w:rsid w:val="000F1FEF"/>
    <w:rsid w:val="000F73EC"/>
    <w:rsid w:val="00100F75"/>
    <w:rsid w:val="001025BF"/>
    <w:rsid w:val="001025CB"/>
    <w:rsid w:val="001102DB"/>
    <w:rsid w:val="0012143E"/>
    <w:rsid w:val="0012494E"/>
    <w:rsid w:val="00125A99"/>
    <w:rsid w:val="001269B2"/>
    <w:rsid w:val="00140236"/>
    <w:rsid w:val="0015517E"/>
    <w:rsid w:val="00162CAD"/>
    <w:rsid w:val="00163A47"/>
    <w:rsid w:val="0016678C"/>
    <w:rsid w:val="00175CA6"/>
    <w:rsid w:val="00176748"/>
    <w:rsid w:val="0018282D"/>
    <w:rsid w:val="0018475D"/>
    <w:rsid w:val="00191DF4"/>
    <w:rsid w:val="001925BA"/>
    <w:rsid w:val="00194FA4"/>
    <w:rsid w:val="001C7981"/>
    <w:rsid w:val="001D2362"/>
    <w:rsid w:val="001D6A54"/>
    <w:rsid w:val="001E444E"/>
    <w:rsid w:val="001E7E8F"/>
    <w:rsid w:val="001F59A2"/>
    <w:rsid w:val="002018A2"/>
    <w:rsid w:val="00205518"/>
    <w:rsid w:val="0023172E"/>
    <w:rsid w:val="00232A6A"/>
    <w:rsid w:val="002334FB"/>
    <w:rsid w:val="0023526D"/>
    <w:rsid w:val="002507A6"/>
    <w:rsid w:val="00267F4B"/>
    <w:rsid w:val="00270E80"/>
    <w:rsid w:val="00271162"/>
    <w:rsid w:val="00283E0A"/>
    <w:rsid w:val="002904BC"/>
    <w:rsid w:val="002B22E2"/>
    <w:rsid w:val="002C7656"/>
    <w:rsid w:val="002D59F6"/>
    <w:rsid w:val="002E2ADF"/>
    <w:rsid w:val="002E2D09"/>
    <w:rsid w:val="002E6F2B"/>
    <w:rsid w:val="002F102C"/>
    <w:rsid w:val="00302C3E"/>
    <w:rsid w:val="00321CEA"/>
    <w:rsid w:val="00333419"/>
    <w:rsid w:val="003373F4"/>
    <w:rsid w:val="00356925"/>
    <w:rsid w:val="00356FD4"/>
    <w:rsid w:val="00382A21"/>
    <w:rsid w:val="00395B36"/>
    <w:rsid w:val="003A15CC"/>
    <w:rsid w:val="003B25FE"/>
    <w:rsid w:val="003B5ED6"/>
    <w:rsid w:val="003D4B16"/>
    <w:rsid w:val="003E6764"/>
    <w:rsid w:val="00400769"/>
    <w:rsid w:val="004036DA"/>
    <w:rsid w:val="0041112B"/>
    <w:rsid w:val="00426EF1"/>
    <w:rsid w:val="00427579"/>
    <w:rsid w:val="004315DB"/>
    <w:rsid w:val="00432FD8"/>
    <w:rsid w:val="0043571F"/>
    <w:rsid w:val="00436813"/>
    <w:rsid w:val="00440441"/>
    <w:rsid w:val="00440E5D"/>
    <w:rsid w:val="00447688"/>
    <w:rsid w:val="00464346"/>
    <w:rsid w:val="00492151"/>
    <w:rsid w:val="00492152"/>
    <w:rsid w:val="00496700"/>
    <w:rsid w:val="004B3AD7"/>
    <w:rsid w:val="004E124D"/>
    <w:rsid w:val="00505740"/>
    <w:rsid w:val="00510F1D"/>
    <w:rsid w:val="005201C9"/>
    <w:rsid w:val="00525A99"/>
    <w:rsid w:val="00527196"/>
    <w:rsid w:val="0053770D"/>
    <w:rsid w:val="00550572"/>
    <w:rsid w:val="00552422"/>
    <w:rsid w:val="005629EC"/>
    <w:rsid w:val="00563EFE"/>
    <w:rsid w:val="0057286D"/>
    <w:rsid w:val="00574B78"/>
    <w:rsid w:val="0057776B"/>
    <w:rsid w:val="00582377"/>
    <w:rsid w:val="00583004"/>
    <w:rsid w:val="005A174C"/>
    <w:rsid w:val="005A32CB"/>
    <w:rsid w:val="005A6A41"/>
    <w:rsid w:val="005B35BE"/>
    <w:rsid w:val="005C7477"/>
    <w:rsid w:val="005D0C93"/>
    <w:rsid w:val="005D4FB1"/>
    <w:rsid w:val="005E414C"/>
    <w:rsid w:val="005E6E4C"/>
    <w:rsid w:val="005F27D7"/>
    <w:rsid w:val="005F741A"/>
    <w:rsid w:val="00601E81"/>
    <w:rsid w:val="0061215E"/>
    <w:rsid w:val="0064097C"/>
    <w:rsid w:val="0064236F"/>
    <w:rsid w:val="00645CC9"/>
    <w:rsid w:val="00645E30"/>
    <w:rsid w:val="00647AA2"/>
    <w:rsid w:val="0065253E"/>
    <w:rsid w:val="00667F2B"/>
    <w:rsid w:val="00680313"/>
    <w:rsid w:val="00682014"/>
    <w:rsid w:val="006921A2"/>
    <w:rsid w:val="00695C23"/>
    <w:rsid w:val="006962CB"/>
    <w:rsid w:val="006A2C0E"/>
    <w:rsid w:val="006A6D95"/>
    <w:rsid w:val="006B21EC"/>
    <w:rsid w:val="006B720B"/>
    <w:rsid w:val="006C634B"/>
    <w:rsid w:val="006C7E62"/>
    <w:rsid w:val="006C7E9E"/>
    <w:rsid w:val="006E2106"/>
    <w:rsid w:val="0070401A"/>
    <w:rsid w:val="00720FC9"/>
    <w:rsid w:val="0073213F"/>
    <w:rsid w:val="00735ADF"/>
    <w:rsid w:val="00735FC5"/>
    <w:rsid w:val="007423E0"/>
    <w:rsid w:val="007425D6"/>
    <w:rsid w:val="00743908"/>
    <w:rsid w:val="0075639F"/>
    <w:rsid w:val="007917F9"/>
    <w:rsid w:val="0079301A"/>
    <w:rsid w:val="007A10F9"/>
    <w:rsid w:val="007B34F9"/>
    <w:rsid w:val="007C4B0B"/>
    <w:rsid w:val="007C61E1"/>
    <w:rsid w:val="007D349A"/>
    <w:rsid w:val="007E5CAC"/>
    <w:rsid w:val="007F20AC"/>
    <w:rsid w:val="007F5FB9"/>
    <w:rsid w:val="007F7657"/>
    <w:rsid w:val="00804512"/>
    <w:rsid w:val="00814945"/>
    <w:rsid w:val="008167ED"/>
    <w:rsid w:val="00820D3F"/>
    <w:rsid w:val="008268F5"/>
    <w:rsid w:val="008322DD"/>
    <w:rsid w:val="0083289E"/>
    <w:rsid w:val="00835996"/>
    <w:rsid w:val="00837B06"/>
    <w:rsid w:val="00857BCB"/>
    <w:rsid w:val="00860C12"/>
    <w:rsid w:val="008A1D32"/>
    <w:rsid w:val="008A280D"/>
    <w:rsid w:val="008A659D"/>
    <w:rsid w:val="008B0BD0"/>
    <w:rsid w:val="008B5796"/>
    <w:rsid w:val="008C1AE2"/>
    <w:rsid w:val="008C523D"/>
    <w:rsid w:val="008E0212"/>
    <w:rsid w:val="008E79C8"/>
    <w:rsid w:val="008E7CA7"/>
    <w:rsid w:val="0090034D"/>
    <w:rsid w:val="00903DFD"/>
    <w:rsid w:val="009107C5"/>
    <w:rsid w:val="00911670"/>
    <w:rsid w:val="00914FB7"/>
    <w:rsid w:val="00922837"/>
    <w:rsid w:val="0093392A"/>
    <w:rsid w:val="00941AB7"/>
    <w:rsid w:val="009525AA"/>
    <w:rsid w:val="00954B83"/>
    <w:rsid w:val="00955A0C"/>
    <w:rsid w:val="0096118F"/>
    <w:rsid w:val="009748E9"/>
    <w:rsid w:val="00990651"/>
    <w:rsid w:val="009A2BD5"/>
    <w:rsid w:val="009B48EE"/>
    <w:rsid w:val="009E0EAC"/>
    <w:rsid w:val="009E45C5"/>
    <w:rsid w:val="00A110C8"/>
    <w:rsid w:val="00A14A36"/>
    <w:rsid w:val="00A210F8"/>
    <w:rsid w:val="00A258BF"/>
    <w:rsid w:val="00A53308"/>
    <w:rsid w:val="00A53A0F"/>
    <w:rsid w:val="00A65D1D"/>
    <w:rsid w:val="00A774CA"/>
    <w:rsid w:val="00A827AC"/>
    <w:rsid w:val="00A837C5"/>
    <w:rsid w:val="00A8565F"/>
    <w:rsid w:val="00A85848"/>
    <w:rsid w:val="00A91C16"/>
    <w:rsid w:val="00A94738"/>
    <w:rsid w:val="00AA7FB0"/>
    <w:rsid w:val="00AB0D78"/>
    <w:rsid w:val="00AB180D"/>
    <w:rsid w:val="00AD257E"/>
    <w:rsid w:val="00AE148B"/>
    <w:rsid w:val="00AF51F3"/>
    <w:rsid w:val="00B16959"/>
    <w:rsid w:val="00B45BBE"/>
    <w:rsid w:val="00B55721"/>
    <w:rsid w:val="00B621C6"/>
    <w:rsid w:val="00B70DCD"/>
    <w:rsid w:val="00B720DA"/>
    <w:rsid w:val="00B842FF"/>
    <w:rsid w:val="00B8724F"/>
    <w:rsid w:val="00B9068F"/>
    <w:rsid w:val="00B96F7B"/>
    <w:rsid w:val="00BA14A1"/>
    <w:rsid w:val="00BB29B0"/>
    <w:rsid w:val="00BB4B2F"/>
    <w:rsid w:val="00BC1506"/>
    <w:rsid w:val="00BE7F8A"/>
    <w:rsid w:val="00BF7E50"/>
    <w:rsid w:val="00C0455F"/>
    <w:rsid w:val="00C100B0"/>
    <w:rsid w:val="00C15164"/>
    <w:rsid w:val="00C2079D"/>
    <w:rsid w:val="00C228E5"/>
    <w:rsid w:val="00C25C96"/>
    <w:rsid w:val="00C31545"/>
    <w:rsid w:val="00C33E1D"/>
    <w:rsid w:val="00C4089C"/>
    <w:rsid w:val="00C53E54"/>
    <w:rsid w:val="00C552D1"/>
    <w:rsid w:val="00C66FE0"/>
    <w:rsid w:val="00C833E6"/>
    <w:rsid w:val="00CA2433"/>
    <w:rsid w:val="00CA6B73"/>
    <w:rsid w:val="00CE21B0"/>
    <w:rsid w:val="00CE3A1E"/>
    <w:rsid w:val="00D00E66"/>
    <w:rsid w:val="00D166CF"/>
    <w:rsid w:val="00D31064"/>
    <w:rsid w:val="00D32266"/>
    <w:rsid w:val="00D36A81"/>
    <w:rsid w:val="00D41F54"/>
    <w:rsid w:val="00D448D0"/>
    <w:rsid w:val="00D44CD2"/>
    <w:rsid w:val="00D575BA"/>
    <w:rsid w:val="00D80BD6"/>
    <w:rsid w:val="00D965B3"/>
    <w:rsid w:val="00D97957"/>
    <w:rsid w:val="00D97FB7"/>
    <w:rsid w:val="00DA0595"/>
    <w:rsid w:val="00DA42F4"/>
    <w:rsid w:val="00DC153A"/>
    <w:rsid w:val="00DC2282"/>
    <w:rsid w:val="00DD3882"/>
    <w:rsid w:val="00DF3AFB"/>
    <w:rsid w:val="00DF58B7"/>
    <w:rsid w:val="00DF75BC"/>
    <w:rsid w:val="00E011C2"/>
    <w:rsid w:val="00E11DD3"/>
    <w:rsid w:val="00E172EB"/>
    <w:rsid w:val="00E27434"/>
    <w:rsid w:val="00E30130"/>
    <w:rsid w:val="00E3273D"/>
    <w:rsid w:val="00E40244"/>
    <w:rsid w:val="00E47DBA"/>
    <w:rsid w:val="00E5027E"/>
    <w:rsid w:val="00E56B99"/>
    <w:rsid w:val="00E66117"/>
    <w:rsid w:val="00E8357C"/>
    <w:rsid w:val="00E86F9D"/>
    <w:rsid w:val="00E90D73"/>
    <w:rsid w:val="00EA0334"/>
    <w:rsid w:val="00EB2F49"/>
    <w:rsid w:val="00EC4C43"/>
    <w:rsid w:val="00EC7D71"/>
    <w:rsid w:val="00ED7080"/>
    <w:rsid w:val="00ED7B64"/>
    <w:rsid w:val="00ED7CA1"/>
    <w:rsid w:val="00EF11DC"/>
    <w:rsid w:val="00EF2CB1"/>
    <w:rsid w:val="00EF31E8"/>
    <w:rsid w:val="00EF3CE5"/>
    <w:rsid w:val="00F2007F"/>
    <w:rsid w:val="00F20954"/>
    <w:rsid w:val="00F21C30"/>
    <w:rsid w:val="00F37314"/>
    <w:rsid w:val="00F379C2"/>
    <w:rsid w:val="00F45547"/>
    <w:rsid w:val="00F51192"/>
    <w:rsid w:val="00F6136C"/>
    <w:rsid w:val="00F648E2"/>
    <w:rsid w:val="00F654AA"/>
    <w:rsid w:val="00F8279B"/>
    <w:rsid w:val="00F908EC"/>
    <w:rsid w:val="00F96522"/>
    <w:rsid w:val="00FA30C3"/>
    <w:rsid w:val="00FA4125"/>
    <w:rsid w:val="00FA4EDE"/>
    <w:rsid w:val="00FB7FD4"/>
    <w:rsid w:val="00FD76E6"/>
    <w:rsid w:val="00FE3838"/>
    <w:rsid w:val="00FE3858"/>
    <w:rsid w:val="00FE6059"/>
    <w:rsid w:val="00FF378C"/>
    <w:rsid w:val="02715D23"/>
    <w:rsid w:val="02938CA3"/>
    <w:rsid w:val="0402BF2B"/>
    <w:rsid w:val="051BFEB3"/>
    <w:rsid w:val="054F57EF"/>
    <w:rsid w:val="09A4F365"/>
    <w:rsid w:val="0ADEB217"/>
    <w:rsid w:val="0DCCB429"/>
    <w:rsid w:val="1111A938"/>
    <w:rsid w:val="136ED41E"/>
    <w:rsid w:val="14E09D10"/>
    <w:rsid w:val="168915A1"/>
    <w:rsid w:val="17932F3F"/>
    <w:rsid w:val="1802FEBF"/>
    <w:rsid w:val="1A6EED31"/>
    <w:rsid w:val="1C359040"/>
    <w:rsid w:val="1E8808C2"/>
    <w:rsid w:val="238975FA"/>
    <w:rsid w:val="2781E58F"/>
    <w:rsid w:val="28451149"/>
    <w:rsid w:val="2B5B5CBD"/>
    <w:rsid w:val="2C8CC778"/>
    <w:rsid w:val="326BDD66"/>
    <w:rsid w:val="3389CDED"/>
    <w:rsid w:val="3514C3D5"/>
    <w:rsid w:val="3927DE35"/>
    <w:rsid w:val="3AF28453"/>
    <w:rsid w:val="3C2924CD"/>
    <w:rsid w:val="3D946C1D"/>
    <w:rsid w:val="3DCCF1DA"/>
    <w:rsid w:val="44DDAD15"/>
    <w:rsid w:val="47F22DD9"/>
    <w:rsid w:val="47F3D8B0"/>
    <w:rsid w:val="487B3B40"/>
    <w:rsid w:val="4B6668B9"/>
    <w:rsid w:val="4EB37994"/>
    <w:rsid w:val="51CB6EEB"/>
    <w:rsid w:val="5272D905"/>
    <w:rsid w:val="52E4E6C7"/>
    <w:rsid w:val="582521B1"/>
    <w:rsid w:val="59109B20"/>
    <w:rsid w:val="5DCC7953"/>
    <w:rsid w:val="5DD82394"/>
    <w:rsid w:val="5E5D166E"/>
    <w:rsid w:val="5F3621A1"/>
    <w:rsid w:val="64063662"/>
    <w:rsid w:val="65F54C60"/>
    <w:rsid w:val="66093188"/>
    <w:rsid w:val="67A52E3A"/>
    <w:rsid w:val="6AD1532A"/>
    <w:rsid w:val="73CE324E"/>
    <w:rsid w:val="75F523C2"/>
    <w:rsid w:val="78470C1C"/>
    <w:rsid w:val="7B876B43"/>
    <w:rsid w:val="7F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CBFC"/>
  <w15:chartTrackingRefBased/>
  <w15:docId w15:val="{A1F5160D-0C0D-4568-B26E-D275F036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433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ties">
    <w:name w:val="Parties"/>
    <w:basedOn w:val="Normln"/>
    <w:rsid w:val="00CA2433"/>
    <w:pPr>
      <w:numPr>
        <w:numId w:val="1"/>
      </w:numPr>
      <w:spacing w:after="140" w:line="290" w:lineRule="auto"/>
      <w:jc w:val="both"/>
    </w:pPr>
    <w:rPr>
      <w:kern w:val="20"/>
    </w:rPr>
  </w:style>
  <w:style w:type="paragraph" w:customStyle="1" w:styleId="SubHead">
    <w:name w:val="SubHead"/>
    <w:basedOn w:val="Normln"/>
    <w:next w:val="Normln"/>
    <w:rsid w:val="00CA2433"/>
    <w:pPr>
      <w:keepNext/>
      <w:spacing w:before="120" w:after="60" w:line="290" w:lineRule="auto"/>
      <w:jc w:val="both"/>
    </w:pPr>
    <w:rPr>
      <w:b/>
      <w:kern w:val="21"/>
      <w:sz w:val="21"/>
    </w:rPr>
  </w:style>
  <w:style w:type="paragraph" w:styleId="Zkladntext">
    <w:name w:val="Body Text"/>
    <w:basedOn w:val="Normln"/>
    <w:link w:val="ZkladntextChar"/>
    <w:uiPriority w:val="1"/>
    <w:qFormat/>
    <w:rsid w:val="00CA2433"/>
    <w:pPr>
      <w:widowControl w:val="0"/>
    </w:pPr>
    <w:rPr>
      <w:rFonts w:eastAsia="Arial" w:cs="Arial"/>
      <w:sz w:val="19"/>
      <w:szCs w:val="19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A2433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paragraph" w:styleId="Odstavecseseznamem">
    <w:name w:val="List Paragraph"/>
    <w:basedOn w:val="Normln"/>
    <w:uiPriority w:val="34"/>
    <w:qFormat/>
    <w:rsid w:val="000473E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D38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3882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efault">
    <w:name w:val="Default"/>
    <w:rsid w:val="00B45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20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095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0954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9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954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F648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48E2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Revize">
    <w:name w:val="Revision"/>
    <w:hidden/>
    <w:uiPriority w:val="99"/>
    <w:semiHidden/>
    <w:rsid w:val="002018A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2" ma:contentTypeDescription="Create a new document." ma:contentTypeScope="" ma:versionID="0a0bf409cdc436a0af186f30f0273947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a603cf1db6f36bc18f8fe7b968100c1d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DD57A-A88B-4C4A-B1D1-2778FA9D9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EB864-28E6-4178-86C8-905322A5F558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c954f1a-16cf-4817-9826-0512dd4ff2fa"/>
    <ds:schemaRef ds:uri="http://purl.org/dc/elements/1.1/"/>
    <ds:schemaRef ds:uri="http://www.w3.org/XML/1998/namespace"/>
    <ds:schemaRef ds:uri="7d11b8ed-932e-4b78-b8de-9ed6e3bbb54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83A4B8-EC89-4EB4-AB1D-9046FF7F196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728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Petra</dc:creator>
  <cp:keywords/>
  <dc:description/>
  <cp:lastModifiedBy>Urbanec Lukáš</cp:lastModifiedBy>
  <cp:revision>121</cp:revision>
  <cp:lastPrinted>2024-11-13T10:17:00Z</cp:lastPrinted>
  <dcterms:created xsi:type="dcterms:W3CDTF">2024-11-13T08:55:00Z</dcterms:created>
  <dcterms:modified xsi:type="dcterms:W3CDTF">2024-11-25T07:13:00Z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23d61d9f,28211d0b,6c099faa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Veřejné informace</vt:lpwstr>
  </property>
</Properties>
</file>