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69CC1" w14:textId="467AAA12" w:rsidR="00E23C36" w:rsidRDefault="00A67BB1">
      <w:pPr>
        <w:pStyle w:val="Zkladntext"/>
        <w:ind w:left="218"/>
        <w:rPr>
          <w:rFonts w:ascii="Times New Roman"/>
          <w:sz w:val="20"/>
        </w:rPr>
      </w:pPr>
      <w:r w:rsidRPr="002D1B5D">
        <w:rPr>
          <w:rFonts w:ascii="Times New Roman"/>
          <w:noProof/>
          <w:sz w:val="20"/>
        </w:rPr>
        <w:drawing>
          <wp:inline distT="0" distB="0" distL="0" distR="0" wp14:anchorId="01656A89" wp14:editId="2AB4AE7C">
            <wp:extent cx="5937250" cy="838835"/>
            <wp:effectExtent l="0" t="0" r="635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86BF4" w14:textId="77777777" w:rsidR="00E23C36" w:rsidRDefault="005A0C9F">
      <w:pPr>
        <w:pStyle w:val="Nadpis1"/>
        <w:spacing w:before="109" w:line="280" w:lineRule="auto"/>
        <w:ind w:left="3857" w:right="3994" w:firstLine="268"/>
      </w:pPr>
      <w:r>
        <w:t>Dodatek č. 1 ke Smlouvě o</w:t>
      </w:r>
      <w:r>
        <w:rPr>
          <w:spacing w:val="-12"/>
        </w:rPr>
        <w:t xml:space="preserve"> </w:t>
      </w:r>
      <w:r>
        <w:t>dílo</w:t>
      </w:r>
    </w:p>
    <w:p w14:paraId="271279A9" w14:textId="77777777" w:rsidR="00E23C36" w:rsidRDefault="005A0C9F">
      <w:pPr>
        <w:spacing w:line="278" w:lineRule="auto"/>
        <w:ind w:left="2225" w:right="2660" w:hanging="438"/>
        <w:rPr>
          <w:b/>
          <w:sz w:val="24"/>
        </w:rPr>
      </w:pPr>
      <w:r>
        <w:rPr>
          <w:b/>
          <w:sz w:val="24"/>
        </w:rPr>
        <w:t>ZČU v Plzni – „Rekonstrukce posluchárny UP 101“ vč. realizace 0. etapy, Univerzitní 22, Plzeň</w:t>
      </w:r>
    </w:p>
    <w:p w14:paraId="0AD2125A" w14:textId="77777777" w:rsidR="00E23C36" w:rsidRDefault="005A0C9F">
      <w:pPr>
        <w:spacing w:line="207" w:lineRule="exact"/>
        <w:ind w:left="1258"/>
        <w:rPr>
          <w:i/>
        </w:rPr>
      </w:pPr>
      <w:r>
        <w:rPr>
          <w:i/>
        </w:rPr>
        <w:t>uzavřené dle § 2586 a násl. zákona č. 89/2012 Sb., občanský zákoník (dále jen o.z.)</w:t>
      </w:r>
    </w:p>
    <w:p w14:paraId="3816C4E3" w14:textId="77777777" w:rsidR="00E23C36" w:rsidRDefault="00E23C36">
      <w:pPr>
        <w:pStyle w:val="Zkladntext"/>
        <w:spacing w:before="1"/>
        <w:rPr>
          <w:i/>
        </w:rPr>
      </w:pPr>
    </w:p>
    <w:p w14:paraId="5C8C0929" w14:textId="77777777" w:rsidR="00E23C36" w:rsidRDefault="005A0C9F">
      <w:pPr>
        <w:pStyle w:val="Zkladntext"/>
        <w:spacing w:line="247" w:lineRule="exact"/>
        <w:ind w:left="101"/>
      </w:pPr>
      <w:r>
        <w:t>Smlouva byla uzavřena na základě výsledku otevřeného nadlimitní řízení dle § 56 zák. č. 134/2016 Sb.,</w:t>
      </w:r>
    </w:p>
    <w:p w14:paraId="03485BCA" w14:textId="77777777" w:rsidR="00E23C36" w:rsidRDefault="005A0C9F">
      <w:pPr>
        <w:pStyle w:val="Zkladntext"/>
        <w:ind w:left="101"/>
      </w:pPr>
      <w:r>
        <w:t>o zadávání veřejných zakázek (dále jen „ZZVZ“) veřejné zakázky evidované na profilu zadavatele pod systémovým číslem: P24V00000442 (dále jen „Zadávací řízení“)</w:t>
      </w:r>
    </w:p>
    <w:p w14:paraId="09F60B75" w14:textId="77777777" w:rsidR="00E23C36" w:rsidRDefault="005A0C9F">
      <w:pPr>
        <w:pStyle w:val="Zkladntext"/>
        <w:spacing w:before="40" w:line="498" w:lineRule="exact"/>
        <w:ind w:left="218" w:right="1421" w:hanging="118"/>
      </w:pPr>
      <w:r>
        <w:t>Dodatek je uzavřen v souladu s ust. o nepodstatných změnách smlouvy dle § 222 zák. č. ZZVZ Číslo smlouvy Objednatele: SML/8200/0513/24</w:t>
      </w:r>
    </w:p>
    <w:p w14:paraId="3F224E64" w14:textId="77777777" w:rsidR="00E23C36" w:rsidRDefault="005A0C9F">
      <w:pPr>
        <w:pStyle w:val="Zkladntext"/>
        <w:spacing w:line="207" w:lineRule="exact"/>
        <w:ind w:left="218"/>
      </w:pPr>
      <w:r>
        <w:t>Číslo smlouvy Zhotovitele: ………………..</w:t>
      </w:r>
    </w:p>
    <w:p w14:paraId="2226165B" w14:textId="77777777" w:rsidR="00E23C36" w:rsidRDefault="00E23C36">
      <w:pPr>
        <w:pStyle w:val="Zkladntext"/>
        <w:spacing w:before="4"/>
      </w:pPr>
    </w:p>
    <w:p w14:paraId="2A3468EB" w14:textId="77777777" w:rsidR="00E23C36" w:rsidRDefault="005A0C9F">
      <w:pPr>
        <w:pStyle w:val="Zkladntext"/>
        <w:spacing w:before="1"/>
        <w:ind w:left="218"/>
      </w:pPr>
      <w:r>
        <w:t>Realizace díla je spolufinancována z OP JAK, a to</w:t>
      </w:r>
    </w:p>
    <w:p w14:paraId="37A9BA44" w14:textId="77777777" w:rsidR="00E23C36" w:rsidRDefault="00E23C36">
      <w:pPr>
        <w:pStyle w:val="Zkladntext"/>
        <w:spacing w:before="10"/>
        <w:rPr>
          <w:sz w:val="2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2"/>
      </w:tblGrid>
      <w:tr w:rsidR="00E23C36" w14:paraId="5B9545E9" w14:textId="77777777">
        <w:trPr>
          <w:trHeight w:val="273"/>
        </w:trPr>
        <w:tc>
          <w:tcPr>
            <w:tcW w:w="2122" w:type="dxa"/>
          </w:tcPr>
          <w:p w14:paraId="055B93B4" w14:textId="77777777" w:rsidR="00E23C36" w:rsidRDefault="005A0C9F">
            <w:pPr>
              <w:pStyle w:val="TableParagraph"/>
            </w:pPr>
            <w:r>
              <w:t>Název projektu:</w:t>
            </w:r>
          </w:p>
        </w:tc>
        <w:tc>
          <w:tcPr>
            <w:tcW w:w="6942" w:type="dxa"/>
          </w:tcPr>
          <w:p w14:paraId="253E216E" w14:textId="77777777" w:rsidR="00E23C36" w:rsidRDefault="005A0C9F">
            <w:pPr>
              <w:pStyle w:val="TableParagraph"/>
              <w:spacing w:before="12" w:line="241" w:lineRule="exact"/>
              <w:rPr>
                <w:b/>
              </w:rPr>
            </w:pPr>
            <w:r>
              <w:rPr>
                <w:b/>
              </w:rPr>
              <w:t>ERDF KVALITA ZČU</w:t>
            </w:r>
          </w:p>
        </w:tc>
      </w:tr>
      <w:tr w:rsidR="00E23C36" w14:paraId="6C791EBA" w14:textId="77777777">
        <w:trPr>
          <w:trHeight w:val="273"/>
        </w:trPr>
        <w:tc>
          <w:tcPr>
            <w:tcW w:w="2122" w:type="dxa"/>
          </w:tcPr>
          <w:p w14:paraId="08A7EA64" w14:textId="77777777" w:rsidR="00E23C36" w:rsidRDefault="005A0C9F">
            <w:pPr>
              <w:pStyle w:val="TableParagraph"/>
            </w:pPr>
            <w:r>
              <w:t>Označení výzvy:</w:t>
            </w:r>
          </w:p>
        </w:tc>
        <w:tc>
          <w:tcPr>
            <w:tcW w:w="6942" w:type="dxa"/>
          </w:tcPr>
          <w:p w14:paraId="2CD7C3A3" w14:textId="77777777" w:rsidR="00E23C36" w:rsidRDefault="005A0C9F">
            <w:pPr>
              <w:pStyle w:val="TableParagraph"/>
              <w:spacing w:before="12" w:line="241" w:lineRule="exact"/>
              <w:rPr>
                <w:b/>
              </w:rPr>
            </w:pPr>
            <w:r>
              <w:rPr>
                <w:b/>
              </w:rPr>
              <w:t>Výzva č. 02_23_023 ERDF výzva pro VŠ – kvalita</w:t>
            </w:r>
          </w:p>
        </w:tc>
      </w:tr>
      <w:tr w:rsidR="00E23C36" w14:paraId="1F4173A5" w14:textId="77777777">
        <w:trPr>
          <w:trHeight w:val="251"/>
        </w:trPr>
        <w:tc>
          <w:tcPr>
            <w:tcW w:w="2122" w:type="dxa"/>
          </w:tcPr>
          <w:p w14:paraId="7D9CAF97" w14:textId="77777777" w:rsidR="00E23C36" w:rsidRDefault="005A0C9F">
            <w:pPr>
              <w:pStyle w:val="TableParagraph"/>
              <w:spacing w:line="232" w:lineRule="exact"/>
            </w:pPr>
            <w:r>
              <w:t>Reg. číslo projektu:</w:t>
            </w:r>
          </w:p>
        </w:tc>
        <w:tc>
          <w:tcPr>
            <w:tcW w:w="6942" w:type="dxa"/>
          </w:tcPr>
          <w:p w14:paraId="7F0934F4" w14:textId="77777777" w:rsidR="00E23C36" w:rsidRDefault="005A0C9F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CZ.02.02.01/00/23_023/0008982</w:t>
            </w:r>
          </w:p>
        </w:tc>
      </w:tr>
    </w:tbl>
    <w:p w14:paraId="2CFE5649" w14:textId="77777777" w:rsidR="00E23C36" w:rsidRDefault="00E23C36">
      <w:pPr>
        <w:pStyle w:val="Zkladntext"/>
        <w:rPr>
          <w:sz w:val="24"/>
        </w:rPr>
      </w:pPr>
    </w:p>
    <w:p w14:paraId="34410417" w14:textId="77777777" w:rsidR="00E23C36" w:rsidRDefault="00E23C36">
      <w:pPr>
        <w:pStyle w:val="Zkladntext"/>
        <w:spacing w:before="10"/>
        <w:rPr>
          <w:sz w:val="19"/>
        </w:rPr>
      </w:pPr>
    </w:p>
    <w:p w14:paraId="3D46AA77" w14:textId="77777777" w:rsidR="00E23C36" w:rsidRDefault="005A0C9F">
      <w:pPr>
        <w:pStyle w:val="Nadpis2"/>
      </w:pPr>
      <w:r>
        <w:t>Smluvní strany:</w:t>
      </w:r>
    </w:p>
    <w:p w14:paraId="5B067557" w14:textId="77777777" w:rsidR="00E23C36" w:rsidRDefault="00E23C36">
      <w:pPr>
        <w:pStyle w:val="Zkladntext"/>
        <w:rPr>
          <w:b/>
        </w:rPr>
      </w:pPr>
    </w:p>
    <w:p w14:paraId="21D069D7" w14:textId="77777777" w:rsidR="00E23C36" w:rsidRDefault="005A0C9F">
      <w:pPr>
        <w:tabs>
          <w:tab w:val="left" w:pos="1541"/>
        </w:tabs>
        <w:ind w:left="218" w:right="4753"/>
      </w:pPr>
      <w:r>
        <w:t>Objednatel:</w:t>
      </w:r>
      <w:r>
        <w:tab/>
      </w:r>
      <w:r>
        <w:rPr>
          <w:b/>
        </w:rPr>
        <w:t xml:space="preserve">Západočeská univerzita v Plzni </w:t>
      </w:r>
      <w:r>
        <w:t>Veřejná vysoká škola zřízena zákonem č. 314/1991 Sb. Sídlo:</w:t>
      </w:r>
      <w:r>
        <w:tab/>
        <w:t>Plzeň, Univerzitní 8, 301</w:t>
      </w:r>
      <w:r>
        <w:rPr>
          <w:spacing w:val="-4"/>
        </w:rPr>
        <w:t xml:space="preserve"> </w:t>
      </w:r>
      <w:r>
        <w:t>00</w:t>
      </w:r>
    </w:p>
    <w:p w14:paraId="537931C6" w14:textId="77777777" w:rsidR="00E23C36" w:rsidRDefault="005A0C9F">
      <w:pPr>
        <w:pStyle w:val="Zkladntext"/>
        <w:tabs>
          <w:tab w:val="left" w:pos="1541"/>
          <w:tab w:val="left" w:pos="2981"/>
          <w:tab w:val="left" w:pos="3701"/>
        </w:tabs>
        <w:spacing w:line="247" w:lineRule="exact"/>
        <w:ind w:left="218"/>
      </w:pPr>
      <w:r>
        <w:t>IČO:</w:t>
      </w:r>
      <w:r>
        <w:tab/>
        <w:t>497 77 513</w:t>
      </w:r>
      <w:r>
        <w:tab/>
        <w:t>DIČ:</w:t>
      </w:r>
      <w:r>
        <w:tab/>
        <w:t>CZ49777513</w:t>
      </w:r>
    </w:p>
    <w:p w14:paraId="6B775C82" w14:textId="77777777" w:rsidR="00E23C36" w:rsidRDefault="005A0C9F">
      <w:pPr>
        <w:pStyle w:val="Zkladntext"/>
        <w:tabs>
          <w:tab w:val="left" w:pos="1541"/>
        </w:tabs>
        <w:ind w:left="218"/>
      </w:pPr>
      <w:r>
        <w:t>Zastoupená:</w:t>
      </w:r>
      <w:r>
        <w:tab/>
        <w:t>prof. RNDr. Miroslav Lávička, Ph.D.,</w:t>
      </w:r>
      <w:r>
        <w:rPr>
          <w:spacing w:val="-6"/>
        </w:rPr>
        <w:t xml:space="preserve"> </w:t>
      </w:r>
      <w:r>
        <w:t>rektor</w:t>
      </w:r>
    </w:p>
    <w:p w14:paraId="685CC055" w14:textId="6A3D22B7" w:rsidR="00E23C36" w:rsidRDefault="005A0C9F" w:rsidP="00A67BB1">
      <w:pPr>
        <w:pStyle w:val="Zkladntext"/>
        <w:spacing w:before="2" w:line="247" w:lineRule="exact"/>
        <w:ind w:left="218"/>
      </w:pPr>
      <w:r>
        <w:t xml:space="preserve">kontaktní osoba oprávněná jednat ve věcech technických: </w:t>
      </w:r>
      <w:r w:rsidR="00A67BB1">
        <w:t xml:space="preserve">xxxx </w:t>
      </w:r>
      <w:r>
        <w:t>(dále jen „Zástupce Objednatele“) (dále jen „</w:t>
      </w:r>
      <w:r>
        <w:rPr>
          <w:b/>
        </w:rPr>
        <w:t>Objednatel</w:t>
      </w:r>
      <w:r>
        <w:t>““)</w:t>
      </w:r>
    </w:p>
    <w:p w14:paraId="494B7BCF" w14:textId="77777777" w:rsidR="00E23C36" w:rsidRDefault="00E23C36">
      <w:pPr>
        <w:pStyle w:val="Zkladntext"/>
        <w:rPr>
          <w:sz w:val="34"/>
        </w:rPr>
      </w:pPr>
    </w:p>
    <w:p w14:paraId="6FD9827F" w14:textId="77777777" w:rsidR="00E23C36" w:rsidRDefault="005A0C9F">
      <w:pPr>
        <w:tabs>
          <w:tab w:val="left" w:pos="1541"/>
        </w:tabs>
        <w:spacing w:line="244" w:lineRule="exact"/>
        <w:ind w:left="218"/>
        <w:rPr>
          <w:b/>
        </w:rPr>
      </w:pPr>
      <w:r>
        <w:t>Zhotovitel:</w:t>
      </w:r>
      <w:r>
        <w:tab/>
      </w:r>
      <w:r>
        <w:rPr>
          <w:b/>
        </w:rPr>
        <w:t>ZETES KT, spol. s</w:t>
      </w:r>
      <w:r>
        <w:rPr>
          <w:b/>
          <w:spacing w:val="-3"/>
        </w:rPr>
        <w:t xml:space="preserve"> </w:t>
      </w:r>
      <w:r>
        <w:rPr>
          <w:b/>
        </w:rPr>
        <w:t>r.o.</w:t>
      </w:r>
    </w:p>
    <w:p w14:paraId="06703B3A" w14:textId="77777777" w:rsidR="00E23C36" w:rsidRDefault="005A0C9F">
      <w:pPr>
        <w:pStyle w:val="Zkladntext"/>
        <w:tabs>
          <w:tab w:val="left" w:pos="1541"/>
        </w:tabs>
        <w:ind w:left="214" w:right="2076"/>
      </w:pPr>
      <w:r>
        <w:t>zapsaný v obchodním rejstříku pod sp. zn.: C7866 vedenou u Krajského soudu v Plzni Sídlo:</w:t>
      </w:r>
      <w:r>
        <w:tab/>
        <w:t>K letišti 532/II, 339 26</w:t>
      </w:r>
      <w:r>
        <w:rPr>
          <w:spacing w:val="-3"/>
        </w:rPr>
        <w:t xml:space="preserve"> </w:t>
      </w:r>
      <w:r>
        <w:t>Klatovy</w:t>
      </w:r>
    </w:p>
    <w:p w14:paraId="1A9CC191" w14:textId="3A181E7B" w:rsidR="00E23C36" w:rsidRDefault="005A0C9F">
      <w:pPr>
        <w:pStyle w:val="Zkladntext"/>
        <w:tabs>
          <w:tab w:val="left" w:pos="1541"/>
        </w:tabs>
        <w:spacing w:line="247" w:lineRule="exact"/>
        <w:ind w:left="214"/>
      </w:pPr>
      <w:r>
        <w:t>zastoupený:</w:t>
      </w:r>
      <w:r>
        <w:tab/>
      </w:r>
      <w:r w:rsidR="00A67BB1">
        <w:t>xxxx</w:t>
      </w:r>
    </w:p>
    <w:p w14:paraId="0ABA9293" w14:textId="77777777" w:rsidR="00E23C36" w:rsidRDefault="005A0C9F">
      <w:pPr>
        <w:pStyle w:val="Zkladntext"/>
        <w:tabs>
          <w:tab w:val="left" w:pos="1541"/>
          <w:tab w:val="left" w:pos="2981"/>
        </w:tabs>
        <w:ind w:left="214"/>
      </w:pPr>
      <w:r>
        <w:t>IČO:</w:t>
      </w:r>
      <w:r>
        <w:tab/>
        <w:t>25202162</w:t>
      </w:r>
      <w:r>
        <w:tab/>
        <w:t>DIČ:</w:t>
      </w:r>
      <w:r>
        <w:rPr>
          <w:spacing w:val="-4"/>
        </w:rPr>
        <w:t xml:space="preserve"> </w:t>
      </w:r>
      <w:r>
        <w:t>CZ25202162</w:t>
      </w:r>
    </w:p>
    <w:p w14:paraId="3295BC0A" w14:textId="77777777" w:rsidR="00E23C36" w:rsidRDefault="005A0C9F">
      <w:pPr>
        <w:pStyle w:val="Zkladntext"/>
        <w:spacing w:before="1" w:line="247" w:lineRule="exact"/>
        <w:ind w:left="214"/>
      </w:pPr>
      <w:r>
        <w:t>datová schránka: tsgc3i5</w:t>
      </w:r>
    </w:p>
    <w:p w14:paraId="355B8CAC" w14:textId="4A64D1FF" w:rsidR="00E23C36" w:rsidRDefault="005A0C9F">
      <w:pPr>
        <w:pStyle w:val="Zkladntext"/>
        <w:ind w:left="214" w:right="1104"/>
      </w:pPr>
      <w:r>
        <w:t xml:space="preserve">kontaktní osoba oprávněná jednat ve věcech technických: </w:t>
      </w:r>
      <w:r w:rsidR="00A67BB1">
        <w:t xml:space="preserve">xxxx </w:t>
      </w:r>
      <w:r>
        <w:t>(dále jen „Kontaktní osoba zhotovitele“)</w:t>
      </w:r>
    </w:p>
    <w:p w14:paraId="14306F70" w14:textId="77777777" w:rsidR="00E23C36" w:rsidRDefault="005A0C9F">
      <w:pPr>
        <w:spacing w:before="119"/>
        <w:ind w:left="221"/>
      </w:pPr>
      <w:r>
        <w:t>(dále jen „</w:t>
      </w:r>
      <w:r>
        <w:rPr>
          <w:b/>
        </w:rPr>
        <w:t>Zhotovitel</w:t>
      </w:r>
      <w:r>
        <w:t>“)</w:t>
      </w:r>
    </w:p>
    <w:p w14:paraId="212FE412" w14:textId="77777777" w:rsidR="00E23C36" w:rsidRDefault="00E23C36">
      <w:pPr>
        <w:pStyle w:val="Zkladntext"/>
        <w:spacing w:before="11"/>
        <w:rPr>
          <w:sz w:val="21"/>
        </w:rPr>
      </w:pPr>
    </w:p>
    <w:p w14:paraId="454D4BD9" w14:textId="77777777" w:rsidR="00E23C36" w:rsidRDefault="005A0C9F">
      <w:pPr>
        <w:pStyle w:val="Nadpis2"/>
        <w:ind w:left="221"/>
      </w:pPr>
      <w:r>
        <w:t>Preambule</w:t>
      </w:r>
    </w:p>
    <w:p w14:paraId="41639E58" w14:textId="77777777" w:rsidR="00E23C36" w:rsidRDefault="005A0C9F">
      <w:pPr>
        <w:pStyle w:val="Zkladntext"/>
        <w:spacing w:before="120"/>
        <w:ind w:left="218"/>
      </w:pPr>
      <w:r>
        <w:t>Vzhledem k tomu, že:</w:t>
      </w:r>
    </w:p>
    <w:p w14:paraId="25BE7FFF" w14:textId="77777777" w:rsidR="00E23C36" w:rsidRDefault="005A0C9F">
      <w:pPr>
        <w:pStyle w:val="Odstavecseseznamem"/>
        <w:numPr>
          <w:ilvl w:val="0"/>
          <w:numId w:val="4"/>
        </w:numPr>
        <w:tabs>
          <w:tab w:val="left" w:pos="938"/>
          <w:tab w:val="left" w:pos="939"/>
        </w:tabs>
        <w:spacing w:before="128" w:line="237" w:lineRule="auto"/>
        <w:ind w:right="347"/>
      </w:pPr>
      <w:r>
        <w:t>mezi smluvními stranami byla s účinností od 15. 10. 2024 uzavřena Smlouva o dílo, jejímž předmětem je provedení díla s názvem: „Rekonstrukce posluchárny UP 101“ (dále jen</w:t>
      </w:r>
      <w:r>
        <w:rPr>
          <w:spacing w:val="14"/>
        </w:rPr>
        <w:t xml:space="preserve"> </w:t>
      </w:r>
      <w:r>
        <w:t>„SOD“),</w:t>
      </w:r>
    </w:p>
    <w:p w14:paraId="18410DF0" w14:textId="77777777" w:rsidR="00E23C36" w:rsidRDefault="005A0C9F">
      <w:pPr>
        <w:pStyle w:val="Odstavecseseznamem"/>
        <w:numPr>
          <w:ilvl w:val="0"/>
          <w:numId w:val="4"/>
        </w:numPr>
        <w:tabs>
          <w:tab w:val="left" w:pos="939"/>
        </w:tabs>
        <w:spacing w:before="111" w:line="247" w:lineRule="exact"/>
        <w:ind w:hanging="361"/>
      </w:pPr>
      <w:r>
        <w:t>Zhotovitel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zavázal</w:t>
      </w:r>
      <w:r>
        <w:rPr>
          <w:spacing w:val="1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SOD</w:t>
      </w:r>
      <w:r>
        <w:rPr>
          <w:spacing w:val="11"/>
        </w:rPr>
        <w:t xml:space="preserve"> </w:t>
      </w:r>
      <w:r>
        <w:t>dílo</w:t>
      </w:r>
      <w:r>
        <w:rPr>
          <w:spacing w:val="8"/>
        </w:rPr>
        <w:t xml:space="preserve"> </w:t>
      </w:r>
      <w:r>
        <w:t>provést</w:t>
      </w:r>
      <w:r>
        <w:rPr>
          <w:spacing w:val="12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3.</w:t>
      </w:r>
      <w:r>
        <w:rPr>
          <w:spacing w:val="10"/>
        </w:rPr>
        <w:t xml:space="preserve"> </w:t>
      </w:r>
      <w:r>
        <w:t>6.</w:t>
      </w:r>
      <w:r>
        <w:rPr>
          <w:spacing w:val="8"/>
        </w:rPr>
        <w:t xml:space="preserve"> </w:t>
      </w:r>
      <w:r>
        <w:t>2025,</w:t>
      </w:r>
      <w:r>
        <w:rPr>
          <w:spacing w:val="9"/>
        </w:rPr>
        <w:t xml:space="preserve"> </w:t>
      </w:r>
      <w:r>
        <w:t>resp.</w:t>
      </w:r>
      <w:r>
        <w:rPr>
          <w:spacing w:val="9"/>
        </w:rPr>
        <w:t xml:space="preserve"> </w:t>
      </w:r>
      <w:r>
        <w:t>nejpozději</w:t>
      </w:r>
      <w:r>
        <w:rPr>
          <w:spacing w:val="10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31</w:t>
      </w:r>
      <w:r>
        <w:rPr>
          <w:spacing w:val="8"/>
        </w:rPr>
        <w:t xml:space="preserve"> </w:t>
      </w:r>
      <w:r>
        <w:t>týdnů</w:t>
      </w:r>
      <w:r>
        <w:rPr>
          <w:spacing w:val="10"/>
        </w:rPr>
        <w:t xml:space="preserve"> </w:t>
      </w:r>
      <w:r>
        <w:t>od</w:t>
      </w:r>
      <w:r>
        <w:rPr>
          <w:spacing w:val="8"/>
        </w:rPr>
        <w:t xml:space="preserve"> </w:t>
      </w:r>
      <w:r>
        <w:t>předání</w:t>
      </w:r>
    </w:p>
    <w:p w14:paraId="12C081CA" w14:textId="77777777" w:rsidR="00E23C36" w:rsidRDefault="005A0C9F">
      <w:pPr>
        <w:pStyle w:val="Zkladntext"/>
        <w:ind w:left="938"/>
      </w:pPr>
      <w:r>
        <w:t>staveniště, k němuž došlo dne 29. 10. 2024,</w:t>
      </w:r>
    </w:p>
    <w:p w14:paraId="7E3FCE70" w14:textId="77777777" w:rsidR="00E23C36" w:rsidRDefault="005A0C9F">
      <w:pPr>
        <w:pStyle w:val="Odstavecseseznamem"/>
        <w:numPr>
          <w:ilvl w:val="0"/>
          <w:numId w:val="4"/>
        </w:numPr>
        <w:tabs>
          <w:tab w:val="left" w:pos="938"/>
          <w:tab w:val="left" w:pos="939"/>
        </w:tabs>
        <w:spacing w:before="119"/>
        <w:ind w:hanging="361"/>
      </w:pPr>
      <w:r>
        <w:t>Při předání staveniště byl ze strany Objednatele vznesen požadavek na recyklaci části</w:t>
      </w:r>
      <w:r>
        <w:rPr>
          <w:spacing w:val="-30"/>
        </w:rPr>
        <w:t xml:space="preserve"> </w:t>
      </w:r>
      <w:r>
        <w:t>vybouraných</w:t>
      </w:r>
    </w:p>
    <w:p w14:paraId="70DF9765" w14:textId="77777777" w:rsidR="00E23C36" w:rsidRDefault="00E23C36">
      <w:pPr>
        <w:sectPr w:rsidR="00E23C36">
          <w:footerReference w:type="default" r:id="rId8"/>
          <w:type w:val="continuous"/>
          <w:pgSz w:w="11920" w:h="16850"/>
          <w:pgMar w:top="700" w:right="1060" w:bottom="920" w:left="1200" w:header="708" w:footer="733" w:gutter="0"/>
          <w:pgNumType w:start="1"/>
          <w:cols w:space="708"/>
        </w:sectPr>
      </w:pPr>
    </w:p>
    <w:p w14:paraId="4CBFEF82" w14:textId="77777777" w:rsidR="00E23C36" w:rsidRDefault="005A0C9F">
      <w:pPr>
        <w:pStyle w:val="Zkladntext"/>
        <w:spacing w:before="87"/>
        <w:ind w:left="938"/>
        <w:jc w:val="both"/>
      </w:pPr>
      <w:r>
        <w:lastRenderedPageBreak/>
        <w:t>materiálů, jemuž je Zhotovitel ochoten vyhovět</w:t>
      </w:r>
    </w:p>
    <w:p w14:paraId="7A5424C4" w14:textId="77777777" w:rsidR="00E23C36" w:rsidRDefault="005A0C9F">
      <w:pPr>
        <w:pStyle w:val="Zkladntext"/>
        <w:spacing w:before="120"/>
        <w:ind w:left="218"/>
      </w:pPr>
      <w:r>
        <w:t>se smluvní strany v souladu s čl. 12.2 SOD, dohodly na následující změně SOD.</w:t>
      </w:r>
    </w:p>
    <w:p w14:paraId="09136B8B" w14:textId="77777777" w:rsidR="00E23C36" w:rsidRDefault="00E23C36">
      <w:pPr>
        <w:pStyle w:val="Zkladntext"/>
        <w:spacing w:before="3"/>
        <w:rPr>
          <w:sz w:val="21"/>
        </w:rPr>
      </w:pPr>
    </w:p>
    <w:p w14:paraId="49115C2F" w14:textId="77777777" w:rsidR="00E23C36" w:rsidRDefault="005A0C9F">
      <w:pPr>
        <w:pStyle w:val="Nadpis2"/>
        <w:numPr>
          <w:ilvl w:val="0"/>
          <w:numId w:val="3"/>
        </w:numPr>
        <w:tabs>
          <w:tab w:val="left" w:pos="667"/>
          <w:tab w:val="left" w:pos="668"/>
        </w:tabs>
      </w:pPr>
      <w:r>
        <w:t>Změna SOD</w:t>
      </w:r>
    </w:p>
    <w:p w14:paraId="3A0A42C1" w14:textId="77777777" w:rsidR="00E23C36" w:rsidRDefault="005A0C9F">
      <w:pPr>
        <w:pStyle w:val="Odstavecseseznamem"/>
        <w:numPr>
          <w:ilvl w:val="1"/>
          <w:numId w:val="2"/>
        </w:numPr>
        <w:tabs>
          <w:tab w:val="left" w:pos="667"/>
          <w:tab w:val="left" w:pos="668"/>
        </w:tabs>
        <w:spacing w:before="120" w:line="247" w:lineRule="exact"/>
      </w:pPr>
      <w:r>
        <w:t>Smluvní</w:t>
      </w:r>
      <w:r>
        <w:rPr>
          <w:spacing w:val="9"/>
        </w:rPr>
        <w:t xml:space="preserve"> </w:t>
      </w:r>
      <w:r>
        <w:t>strany</w:t>
      </w:r>
      <w:r>
        <w:rPr>
          <w:spacing w:val="1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dohodly</w:t>
      </w:r>
      <w:r>
        <w:rPr>
          <w:spacing w:val="9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doplnění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úpravě</w:t>
      </w:r>
      <w:r>
        <w:rPr>
          <w:spacing w:val="13"/>
        </w:rPr>
        <w:t xml:space="preserve"> </w:t>
      </w:r>
      <w:r>
        <w:t>následujících</w:t>
      </w:r>
      <w:r>
        <w:rPr>
          <w:spacing w:val="14"/>
        </w:rPr>
        <w:t xml:space="preserve"> </w:t>
      </w:r>
      <w:r>
        <w:t>odstavců</w:t>
      </w:r>
      <w:r>
        <w:rPr>
          <w:spacing w:val="13"/>
        </w:rPr>
        <w:t xml:space="preserve"> </w:t>
      </w:r>
      <w:r>
        <w:t>SOD,</w:t>
      </w:r>
      <w:r>
        <w:rPr>
          <w:spacing w:val="13"/>
        </w:rPr>
        <w:t xml:space="preserve"> </w:t>
      </w:r>
      <w:r>
        <w:t>které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týkají</w:t>
      </w:r>
      <w:r>
        <w:rPr>
          <w:spacing w:val="13"/>
        </w:rPr>
        <w:t xml:space="preserve"> </w:t>
      </w:r>
      <w:r>
        <w:t>likvidace</w:t>
      </w:r>
    </w:p>
    <w:p w14:paraId="36AFAB20" w14:textId="77777777" w:rsidR="00E23C36" w:rsidRDefault="005A0C9F">
      <w:pPr>
        <w:pStyle w:val="Zkladntext"/>
        <w:ind w:left="667"/>
      </w:pPr>
      <w:r>
        <w:t>odpadů, a to takto:</w:t>
      </w:r>
    </w:p>
    <w:p w14:paraId="0C44A945" w14:textId="77777777" w:rsidR="00E23C36" w:rsidRDefault="005A0C9F">
      <w:pPr>
        <w:pStyle w:val="Odstavecseseznamem"/>
        <w:numPr>
          <w:ilvl w:val="2"/>
          <w:numId w:val="2"/>
        </w:numPr>
        <w:tabs>
          <w:tab w:val="left" w:pos="954"/>
        </w:tabs>
        <w:ind w:hanging="287"/>
      </w:pPr>
      <w:r>
        <w:t>Do čl. XI. SOD se vkládají nové odstavce odst. 11.6 a 11.7, které</w:t>
      </w:r>
      <w:r>
        <w:rPr>
          <w:spacing w:val="-9"/>
        </w:rPr>
        <w:t xml:space="preserve"> </w:t>
      </w:r>
      <w:r>
        <w:t>znějí:</w:t>
      </w:r>
    </w:p>
    <w:p w14:paraId="411E69D9" w14:textId="77777777" w:rsidR="00E23C36" w:rsidRDefault="005A0C9F">
      <w:pPr>
        <w:spacing w:before="120"/>
        <w:ind w:left="667" w:right="345"/>
        <w:rPr>
          <w:i/>
        </w:rPr>
      </w:pPr>
      <w:r>
        <w:t>„</w:t>
      </w:r>
      <w:r>
        <w:rPr>
          <w:i/>
        </w:rPr>
        <w:t>11.6 Se stavebním odpadem včetně použitých obalů je nutné nakládat dle hierarchie odpadového hospodářství zejména ve smyslu zákona o odpadech a přílohy č. 24 k vyhlášce č. 273/2021 Sb., o podrobnostech nakládání s odpady, ve</w:t>
      </w:r>
    </w:p>
    <w:p w14:paraId="46CF82FF" w14:textId="77777777" w:rsidR="00E23C36" w:rsidRDefault="005A0C9F">
      <w:pPr>
        <w:ind w:left="667" w:right="210"/>
        <w:rPr>
          <w:i/>
        </w:rPr>
      </w:pPr>
      <w:r>
        <w:rPr>
          <w:i/>
        </w:rPr>
        <w:t>znění pozdějších předpisů. Prioritou je předcházení vzniku odpadu. Jestliže nelze vzniku odpadu předejít, pak musí dojít k jeho přípravě k opětovnému použití – recyklaci, a to v úrovni nejméně 70 % (hmotnostních) stavebního a demoličního odpadu neklasifikovaného jako nebezpečný.</w:t>
      </w:r>
    </w:p>
    <w:p w14:paraId="21E15053" w14:textId="77777777" w:rsidR="00E23C36" w:rsidRDefault="005A0C9F">
      <w:pPr>
        <w:spacing w:before="118"/>
        <w:ind w:left="667" w:right="196"/>
        <w:jc w:val="both"/>
      </w:pPr>
      <w:r>
        <w:rPr>
          <w:i/>
        </w:rPr>
        <w:t>11.7 Zhotovitel je povinen zajistit, aby nejméně 70 % (hmotnostních) stavebních a demoličních materiálů či odpadů neklasifikovaných jako nebezpečné (s výjimkou přirozeně se vyskytujících materiálů uvedených v kategorii 17 05 04 na Evropském seznamu odpadů vytvořeném rozhodnutím 2000/532/ES ze dne 3. května 2000, kterým se nahrazuje rozhodnutí 94/3/ES, kterým se stanoví seznam odpadů podle čl. 1 písm. a) směrnice Rady 75/442/EHS o odpadech a rozhodnutí Rady 94/904/ES, kterým se stanoví seznam nebezpečných odpadů ve smyslu čl. 1 odst. 4 směrnice Rady 91/689/EHS</w:t>
      </w:r>
      <w:r>
        <w:rPr>
          <w:i/>
          <w:spacing w:val="-13"/>
        </w:rPr>
        <w:t xml:space="preserve"> </w:t>
      </w:r>
      <w:r>
        <w:rPr>
          <w:i/>
        </w:rPr>
        <w:t>o</w:t>
      </w:r>
      <w:r>
        <w:rPr>
          <w:i/>
          <w:spacing w:val="-11"/>
        </w:rPr>
        <w:t xml:space="preserve"> </w:t>
      </w:r>
      <w:r>
        <w:rPr>
          <w:i/>
        </w:rPr>
        <w:t>nebezpečných</w:t>
      </w:r>
      <w:r>
        <w:rPr>
          <w:i/>
          <w:spacing w:val="-14"/>
        </w:rPr>
        <w:t xml:space="preserve"> </w:t>
      </w:r>
      <w:r>
        <w:rPr>
          <w:i/>
        </w:rPr>
        <w:t>odpadech</w:t>
      </w:r>
      <w:r>
        <w:rPr>
          <w:i/>
          <w:spacing w:val="-11"/>
        </w:rPr>
        <w:t xml:space="preserve"> </w:t>
      </w:r>
      <w:r>
        <w:rPr>
          <w:i/>
        </w:rPr>
        <w:t>(oznámeno</w:t>
      </w:r>
      <w:r>
        <w:rPr>
          <w:i/>
          <w:spacing w:val="-10"/>
        </w:rPr>
        <w:t xml:space="preserve"> </w:t>
      </w:r>
      <w:r>
        <w:rPr>
          <w:i/>
        </w:rPr>
        <w:t>pod</w:t>
      </w:r>
      <w:r>
        <w:rPr>
          <w:i/>
          <w:spacing w:val="-12"/>
        </w:rPr>
        <w:t xml:space="preserve"> </w:t>
      </w:r>
      <w:r>
        <w:rPr>
          <w:i/>
        </w:rPr>
        <w:t>číslem</w:t>
      </w:r>
      <w:r>
        <w:rPr>
          <w:i/>
          <w:spacing w:val="-12"/>
        </w:rPr>
        <w:t xml:space="preserve"> </w:t>
      </w:r>
      <w:r>
        <w:rPr>
          <w:i/>
        </w:rPr>
        <w:t>dokumentu</w:t>
      </w:r>
      <w:r>
        <w:rPr>
          <w:i/>
          <w:spacing w:val="-14"/>
        </w:rPr>
        <w:t xml:space="preserve"> </w:t>
      </w:r>
      <w:r>
        <w:rPr>
          <w:i/>
        </w:rPr>
        <w:t>K(2000)</w:t>
      </w:r>
      <w:r>
        <w:rPr>
          <w:i/>
          <w:spacing w:val="-13"/>
        </w:rPr>
        <w:t xml:space="preserve"> </w:t>
      </w:r>
      <w:r>
        <w:rPr>
          <w:i/>
        </w:rPr>
        <w:t>1147))</w:t>
      </w:r>
      <w:r>
        <w:rPr>
          <w:i/>
          <w:spacing w:val="-13"/>
        </w:rPr>
        <w:t xml:space="preserve"> </w:t>
      </w:r>
      <w:r>
        <w:rPr>
          <w:i/>
        </w:rPr>
        <w:t>vzniklého</w:t>
      </w:r>
      <w:r>
        <w:rPr>
          <w:i/>
          <w:spacing w:val="-10"/>
        </w:rPr>
        <w:t xml:space="preserve"> </w:t>
      </w:r>
      <w:r>
        <w:rPr>
          <w:i/>
        </w:rPr>
        <w:t>na</w:t>
      </w:r>
      <w:r>
        <w:rPr>
          <w:i/>
          <w:spacing w:val="-12"/>
        </w:rPr>
        <w:t xml:space="preserve"> </w:t>
      </w:r>
      <w:r>
        <w:rPr>
          <w:i/>
        </w:rPr>
        <w:t>staveništi</w:t>
      </w:r>
      <w:r>
        <w:rPr>
          <w:i/>
          <w:spacing w:val="-11"/>
        </w:rPr>
        <w:t xml:space="preserve"> </w:t>
      </w:r>
      <w:r>
        <w:rPr>
          <w:i/>
        </w:rPr>
        <w:t>bude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</w:t>
      </w:r>
      <w:r>
        <w:rPr>
          <w:i/>
          <w:spacing w:val="-3"/>
        </w:rPr>
        <w:t xml:space="preserve"> </w:t>
      </w:r>
      <w:r>
        <w:rPr>
          <w:i/>
        </w:rPr>
        <w:t>odpadem.</w:t>
      </w:r>
      <w:r>
        <w:t>“</w:t>
      </w:r>
    </w:p>
    <w:p w14:paraId="5BD331E7" w14:textId="77777777" w:rsidR="00E23C36" w:rsidRDefault="005A0C9F">
      <w:pPr>
        <w:pStyle w:val="Odstavecseseznamem"/>
        <w:numPr>
          <w:ilvl w:val="2"/>
          <w:numId w:val="2"/>
        </w:numPr>
        <w:tabs>
          <w:tab w:val="left" w:pos="954"/>
        </w:tabs>
        <w:spacing w:before="121"/>
        <w:ind w:hanging="287"/>
        <w:jc w:val="both"/>
      </w:pPr>
      <w:r>
        <w:t>Dosavadní odst. 11.6 SOD se označuje jako odst. 11.8 SOD a zní</w:t>
      </w:r>
      <w:r>
        <w:rPr>
          <w:spacing w:val="-14"/>
        </w:rPr>
        <w:t xml:space="preserve"> </w:t>
      </w:r>
      <w:r>
        <w:t>následovně:</w:t>
      </w:r>
    </w:p>
    <w:p w14:paraId="502E5C22" w14:textId="77777777" w:rsidR="00E23C36" w:rsidRDefault="005A0C9F">
      <w:pPr>
        <w:spacing w:before="122" w:line="247" w:lineRule="exact"/>
        <w:ind w:left="953"/>
        <w:jc w:val="both"/>
        <w:rPr>
          <w:i/>
        </w:rPr>
      </w:pPr>
      <w:r>
        <w:t>„</w:t>
      </w:r>
      <w:r>
        <w:rPr>
          <w:i/>
        </w:rPr>
        <w:t>11.8 Dodavatel se zavazuje nahradit škodu vzniklou Objednateli z porušení povinnosti Dodavatele dle odst. 2 až</w:t>
      </w:r>
    </w:p>
    <w:p w14:paraId="1D916FCD" w14:textId="77777777" w:rsidR="00E23C36" w:rsidRDefault="005A0C9F">
      <w:pPr>
        <w:ind w:left="953"/>
        <w:jc w:val="both"/>
      </w:pPr>
      <w:r>
        <w:rPr>
          <w:i/>
        </w:rPr>
        <w:t>7 tohoto článku smlouvy, přičemž za škodu se považuje i krácení nebo neposkytnutí Dotace.</w:t>
      </w:r>
      <w:r>
        <w:t>“</w:t>
      </w:r>
    </w:p>
    <w:p w14:paraId="6F7AD114" w14:textId="77777777" w:rsidR="00E23C36" w:rsidRDefault="005A0C9F">
      <w:pPr>
        <w:pStyle w:val="Odstavecseseznamem"/>
        <w:numPr>
          <w:ilvl w:val="2"/>
          <w:numId w:val="2"/>
        </w:numPr>
        <w:tabs>
          <w:tab w:val="left" w:pos="954"/>
        </w:tabs>
        <w:spacing w:before="119"/>
        <w:ind w:right="194"/>
        <w:jc w:val="both"/>
      </w:pPr>
      <w:r>
        <w:t>Smluvní strany dále pro vyloučení pochybností souhlasně prohlašují, že je-li v čl. XI. SOD použit pojem „Dodavatel“, je jím myšlen Zhotovitel, jak je v SOD</w:t>
      </w:r>
      <w:r>
        <w:rPr>
          <w:spacing w:val="-11"/>
        </w:rPr>
        <w:t xml:space="preserve"> </w:t>
      </w:r>
      <w:r>
        <w:t>definován.</w:t>
      </w:r>
    </w:p>
    <w:p w14:paraId="55B3E2A7" w14:textId="77777777" w:rsidR="00E23C36" w:rsidRDefault="00E23C36">
      <w:pPr>
        <w:pStyle w:val="Zkladntext"/>
        <w:spacing w:before="3"/>
        <w:rPr>
          <w:sz w:val="21"/>
        </w:rPr>
      </w:pPr>
    </w:p>
    <w:p w14:paraId="710AFA34" w14:textId="77777777" w:rsidR="00E23C36" w:rsidRDefault="005A0C9F">
      <w:pPr>
        <w:pStyle w:val="Nadpis2"/>
        <w:numPr>
          <w:ilvl w:val="0"/>
          <w:numId w:val="3"/>
        </w:numPr>
        <w:tabs>
          <w:tab w:val="left" w:pos="668"/>
        </w:tabs>
        <w:jc w:val="both"/>
      </w:pPr>
      <w:r>
        <w:t>Závěrečná</w:t>
      </w:r>
      <w:r>
        <w:rPr>
          <w:spacing w:val="-3"/>
        </w:rPr>
        <w:t xml:space="preserve"> </w:t>
      </w:r>
      <w:r>
        <w:t>ustanovení</w:t>
      </w:r>
    </w:p>
    <w:p w14:paraId="4D2D9F6A" w14:textId="77777777" w:rsidR="00E23C36" w:rsidRDefault="005A0C9F">
      <w:pPr>
        <w:pStyle w:val="Odstavecseseznamem"/>
        <w:numPr>
          <w:ilvl w:val="1"/>
          <w:numId w:val="1"/>
        </w:numPr>
        <w:tabs>
          <w:tab w:val="left" w:pos="668"/>
        </w:tabs>
        <w:spacing w:before="123"/>
        <w:jc w:val="both"/>
      </w:pPr>
      <w:r>
        <w:t>Ustanovení SOD tímto dodatkem nedotčená se</w:t>
      </w:r>
      <w:r>
        <w:rPr>
          <w:spacing w:val="-5"/>
        </w:rPr>
        <w:t xml:space="preserve"> </w:t>
      </w:r>
      <w:r>
        <w:t>nemění.</w:t>
      </w:r>
    </w:p>
    <w:p w14:paraId="6A498F87" w14:textId="77777777" w:rsidR="00E23C36" w:rsidRDefault="005A0C9F">
      <w:pPr>
        <w:pStyle w:val="Odstavecseseznamem"/>
        <w:numPr>
          <w:ilvl w:val="1"/>
          <w:numId w:val="1"/>
        </w:numPr>
        <w:tabs>
          <w:tab w:val="left" w:pos="668"/>
        </w:tabs>
        <w:ind w:right="196"/>
        <w:jc w:val="both"/>
      </w:pPr>
      <w:r>
        <w:t>Tento dodatek je uzavřen dnem podpisu poslední smluvní stranou a nabývá účinnosti dnem jeho zveřejnění v Registru smluv dle zákona č. 340/2015 Sb., o zvláštních podmínkách účinnosti některých smluv, uveřejňování těchto smluv a o registru</w:t>
      </w:r>
      <w:r>
        <w:rPr>
          <w:spacing w:val="-7"/>
        </w:rPr>
        <w:t xml:space="preserve"> </w:t>
      </w:r>
      <w:r>
        <w:t>smluv.</w:t>
      </w:r>
    </w:p>
    <w:p w14:paraId="23142F12" w14:textId="77777777" w:rsidR="00E23C36" w:rsidRDefault="005A0C9F">
      <w:pPr>
        <w:pStyle w:val="Odstavecseseznamem"/>
        <w:numPr>
          <w:ilvl w:val="1"/>
          <w:numId w:val="1"/>
        </w:numPr>
        <w:tabs>
          <w:tab w:val="left" w:pos="668"/>
        </w:tabs>
        <w:jc w:val="both"/>
      </w:pPr>
      <w:r>
        <w:t>Objednatel tento dodatek zveřejní v Registru</w:t>
      </w:r>
      <w:r>
        <w:rPr>
          <w:spacing w:val="-3"/>
        </w:rPr>
        <w:t xml:space="preserve"> </w:t>
      </w:r>
      <w:r>
        <w:t>smluv.</w:t>
      </w:r>
    </w:p>
    <w:p w14:paraId="585E9723" w14:textId="77777777" w:rsidR="00E23C36" w:rsidRDefault="005A0C9F">
      <w:pPr>
        <w:pStyle w:val="Odstavecseseznamem"/>
        <w:numPr>
          <w:ilvl w:val="1"/>
          <w:numId w:val="1"/>
        </w:numPr>
        <w:tabs>
          <w:tab w:val="left" w:pos="668"/>
        </w:tabs>
        <w:ind w:right="193"/>
        <w:jc w:val="both"/>
      </w:pPr>
      <w:r>
        <w:t>Nebude-li tento dodatek zveřejněn v souladu s ust. § 5 zák. č. 340/2015 Sb. Objednatelem nejpozději do jednoho měsíce po jeho uzavření je Zhotovitel povinen tento dodatek uveřejnit v souladu s ust.§ 5 zák. č. 340/2015 Sb. nejpozději do 3 měsíců od jeho</w:t>
      </w:r>
      <w:r>
        <w:rPr>
          <w:spacing w:val="-6"/>
        </w:rPr>
        <w:t xml:space="preserve"> </w:t>
      </w:r>
      <w:r>
        <w:t>uzavření.</w:t>
      </w:r>
    </w:p>
    <w:p w14:paraId="3FD8EC23" w14:textId="77777777" w:rsidR="00E23C36" w:rsidRDefault="005A0C9F">
      <w:pPr>
        <w:pStyle w:val="Odstavecseseznamem"/>
        <w:numPr>
          <w:ilvl w:val="1"/>
          <w:numId w:val="1"/>
        </w:numPr>
        <w:tabs>
          <w:tab w:val="left" w:pos="668"/>
        </w:tabs>
        <w:spacing w:before="124"/>
        <w:ind w:right="203"/>
        <w:jc w:val="both"/>
      </w:pPr>
      <w:r>
        <w:t>Tento dodatek je vyhotoven v elektronické podobě s uznávanými elektronickými podpisy zástupců smluvních</w:t>
      </w:r>
      <w:r>
        <w:rPr>
          <w:spacing w:val="-3"/>
        </w:rPr>
        <w:t xml:space="preserve"> </w:t>
      </w:r>
      <w:r>
        <w:t>stran.</w:t>
      </w:r>
    </w:p>
    <w:p w14:paraId="7FE7CD0F" w14:textId="77777777" w:rsidR="00E23C36" w:rsidRDefault="00E23C36">
      <w:pPr>
        <w:pStyle w:val="Zkladntext"/>
        <w:rPr>
          <w:sz w:val="24"/>
        </w:rPr>
      </w:pPr>
    </w:p>
    <w:p w14:paraId="7AB2AA30" w14:textId="77777777" w:rsidR="00E23C36" w:rsidRDefault="00E23C36">
      <w:pPr>
        <w:pStyle w:val="Zkladntext"/>
        <w:rPr>
          <w:sz w:val="24"/>
        </w:rPr>
      </w:pPr>
    </w:p>
    <w:p w14:paraId="3337E973" w14:textId="77777777" w:rsidR="00E23C36" w:rsidRDefault="005A0C9F">
      <w:pPr>
        <w:pStyle w:val="Zkladntext"/>
        <w:tabs>
          <w:tab w:val="left" w:pos="5862"/>
        </w:tabs>
        <w:spacing w:before="156"/>
        <w:ind w:left="233"/>
      </w:pPr>
      <w:r>
        <w:t>Objednatel:</w:t>
      </w:r>
      <w:r>
        <w:tab/>
        <w:t>Zhotovitel:</w:t>
      </w:r>
    </w:p>
    <w:p w14:paraId="0303BDEB" w14:textId="77777777" w:rsidR="00E23C36" w:rsidRDefault="00E23C36">
      <w:pPr>
        <w:pStyle w:val="Zkladntext"/>
        <w:spacing w:before="1"/>
      </w:pPr>
    </w:p>
    <w:p w14:paraId="41998B61" w14:textId="77777777" w:rsidR="00E23C36" w:rsidRDefault="005A0C9F">
      <w:pPr>
        <w:pStyle w:val="Zkladntext"/>
        <w:tabs>
          <w:tab w:val="left" w:pos="5862"/>
        </w:tabs>
        <w:ind w:left="218"/>
      </w:pPr>
      <w:r>
        <w:t>Dne: viz</w:t>
      </w:r>
      <w:r>
        <w:rPr>
          <w:spacing w:val="-10"/>
        </w:rPr>
        <w:t xml:space="preserve"> </w:t>
      </w:r>
      <w:r>
        <w:t>elektronický</w:t>
      </w:r>
      <w:r>
        <w:rPr>
          <w:spacing w:val="-5"/>
        </w:rPr>
        <w:t xml:space="preserve"> </w:t>
      </w:r>
      <w:r>
        <w:t>podpis</w:t>
      </w:r>
      <w:r>
        <w:tab/>
        <w:t>Dne: viz elektronický</w:t>
      </w:r>
      <w:r>
        <w:rPr>
          <w:spacing w:val="-5"/>
        </w:rPr>
        <w:t xml:space="preserve"> </w:t>
      </w:r>
      <w:r>
        <w:t>podpis</w:t>
      </w:r>
    </w:p>
    <w:p w14:paraId="58741CB8" w14:textId="77777777" w:rsidR="00A67BB1" w:rsidRDefault="00A67BB1">
      <w:pPr>
        <w:pStyle w:val="Nadpis2"/>
        <w:tabs>
          <w:tab w:val="left" w:pos="5862"/>
        </w:tabs>
        <w:spacing w:line="222" w:lineRule="exact"/>
      </w:pPr>
    </w:p>
    <w:p w14:paraId="09B417BD" w14:textId="77777777" w:rsidR="00A67BB1" w:rsidRDefault="00A67BB1">
      <w:pPr>
        <w:pStyle w:val="Nadpis2"/>
        <w:tabs>
          <w:tab w:val="left" w:pos="5862"/>
        </w:tabs>
        <w:spacing w:line="222" w:lineRule="exact"/>
      </w:pPr>
    </w:p>
    <w:p w14:paraId="4EB6B0EF" w14:textId="77777777" w:rsidR="00A67BB1" w:rsidRDefault="00A67BB1">
      <w:pPr>
        <w:pStyle w:val="Nadpis2"/>
        <w:tabs>
          <w:tab w:val="left" w:pos="5862"/>
        </w:tabs>
        <w:spacing w:line="222" w:lineRule="exact"/>
      </w:pPr>
    </w:p>
    <w:p w14:paraId="304CB839" w14:textId="5CFF719E" w:rsidR="00E23C36" w:rsidRDefault="005A0C9F">
      <w:pPr>
        <w:pStyle w:val="Nadpis2"/>
        <w:tabs>
          <w:tab w:val="left" w:pos="5862"/>
        </w:tabs>
        <w:spacing w:line="222" w:lineRule="exact"/>
      </w:pPr>
      <w:r>
        <w:t>Západočeská univerzita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Plzni</w:t>
      </w:r>
      <w:r>
        <w:tab/>
        <w:t>ZETES KT, spol. s</w:t>
      </w:r>
      <w:r>
        <w:rPr>
          <w:spacing w:val="-3"/>
        </w:rPr>
        <w:t xml:space="preserve"> </w:t>
      </w:r>
      <w:r>
        <w:t>r.o.</w:t>
      </w:r>
    </w:p>
    <w:p w14:paraId="0A443D99" w14:textId="60B416CB" w:rsidR="00E23C36" w:rsidRDefault="005A0C9F">
      <w:pPr>
        <w:pStyle w:val="Zkladntext"/>
        <w:tabs>
          <w:tab w:val="left" w:pos="5862"/>
        </w:tabs>
        <w:spacing w:line="247" w:lineRule="exact"/>
        <w:ind w:left="218"/>
      </w:pPr>
      <w:r>
        <w:t>prof. RNDr. Miroslav</w:t>
      </w:r>
      <w:r>
        <w:rPr>
          <w:spacing w:val="-9"/>
        </w:rPr>
        <w:t xml:space="preserve"> </w:t>
      </w:r>
      <w:r>
        <w:t>Lávička,</w:t>
      </w:r>
      <w:r>
        <w:rPr>
          <w:spacing w:val="-1"/>
        </w:rPr>
        <w:t xml:space="preserve"> </w:t>
      </w:r>
      <w:r>
        <w:t>Ph.D.</w:t>
      </w:r>
      <w:r>
        <w:tab/>
      </w:r>
      <w:r w:rsidR="00A67BB1">
        <w:t>xxxx</w:t>
      </w:r>
    </w:p>
    <w:p w14:paraId="76FBD6B8" w14:textId="385917EA" w:rsidR="00E23C36" w:rsidRDefault="005A0C9F">
      <w:pPr>
        <w:pStyle w:val="Zkladntext"/>
        <w:tabs>
          <w:tab w:val="left" w:pos="5862"/>
        </w:tabs>
        <w:ind w:left="218"/>
      </w:pPr>
      <w:r>
        <w:t>rektor</w:t>
      </w:r>
      <w:r>
        <w:tab/>
      </w:r>
      <w:r w:rsidR="00A67BB1">
        <w:t>xxxx</w:t>
      </w:r>
    </w:p>
    <w:sectPr w:rsidR="00E23C36">
      <w:pgSz w:w="11920" w:h="16850"/>
      <w:pgMar w:top="620" w:right="1060" w:bottom="920" w:left="1200" w:header="0" w:footer="7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0D0D7" w14:textId="77777777" w:rsidR="0065084F" w:rsidRDefault="0065084F">
      <w:r>
        <w:separator/>
      </w:r>
    </w:p>
  </w:endnote>
  <w:endnote w:type="continuationSeparator" w:id="0">
    <w:p w14:paraId="6044B0A5" w14:textId="77777777" w:rsidR="0065084F" w:rsidRDefault="0065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8AA92" w14:textId="074B9B7C" w:rsidR="00E23C36" w:rsidRDefault="00D7495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ACFA0F" wp14:editId="12D16CE7">
              <wp:simplePos x="0" y="0"/>
              <wp:positionH relativeFrom="page">
                <wp:posOffset>3481070</wp:posOffset>
              </wp:positionH>
              <wp:positionV relativeFrom="page">
                <wp:posOffset>10088880</wp:posOffset>
              </wp:positionV>
              <wp:extent cx="600710" cy="154305"/>
              <wp:effectExtent l="0" t="0" r="0" b="0"/>
              <wp:wrapNone/>
              <wp:docPr id="46051139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A9351" w14:textId="77777777" w:rsidR="00E23C36" w:rsidRDefault="005A0C9F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z </w:t>
                          </w:r>
                          <w:r>
                            <w:rPr>
                              <w:b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ACFA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1pt;margin-top:794.4pt;width:47.3pt;height:12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" filled="f" stroked="f">
              <v:textbox inset="0,0,0,0">
                <w:txbxContent>
                  <w:p w14:paraId="5AAA9351" w14:textId="77777777" w:rsidR="00E23C36" w:rsidRDefault="005A0C9F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z </w:t>
                    </w:r>
                    <w:r>
                      <w:rPr>
                        <w:b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6B1D5" w14:textId="77777777" w:rsidR="0065084F" w:rsidRDefault="0065084F">
      <w:r>
        <w:separator/>
      </w:r>
    </w:p>
  </w:footnote>
  <w:footnote w:type="continuationSeparator" w:id="0">
    <w:p w14:paraId="46C57E9D" w14:textId="77777777" w:rsidR="0065084F" w:rsidRDefault="00650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2240E"/>
    <w:multiLevelType w:val="multilevel"/>
    <w:tmpl w:val="B21417E8"/>
    <w:lvl w:ilvl="0">
      <w:start w:val="2"/>
      <w:numFmt w:val="decimal"/>
      <w:lvlText w:val="%1"/>
      <w:lvlJc w:val="left"/>
      <w:pPr>
        <w:ind w:left="667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67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458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57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56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55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054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53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52" w:hanging="567"/>
      </w:pPr>
      <w:rPr>
        <w:rFonts w:hint="default"/>
        <w:lang w:val="cs-CZ" w:eastAsia="cs-CZ" w:bidi="cs-CZ"/>
      </w:rPr>
    </w:lvl>
  </w:abstractNum>
  <w:abstractNum w:abstractNumId="1" w15:restartNumberingAfterBreak="0">
    <w:nsid w:val="5A3604E2"/>
    <w:multiLevelType w:val="hybridMultilevel"/>
    <w:tmpl w:val="ED1AB3A0"/>
    <w:lvl w:ilvl="0" w:tplc="A16E638C">
      <w:start w:val="1"/>
      <w:numFmt w:val="lowerLetter"/>
      <w:lvlText w:val="%1)"/>
      <w:lvlJc w:val="left"/>
      <w:pPr>
        <w:ind w:left="938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1" w:tplc="87FE91E4">
      <w:numFmt w:val="bullet"/>
      <w:lvlText w:val="•"/>
      <w:lvlJc w:val="left"/>
      <w:pPr>
        <w:ind w:left="1811" w:hanging="360"/>
      </w:pPr>
      <w:rPr>
        <w:rFonts w:hint="default"/>
        <w:lang w:val="cs-CZ" w:eastAsia="cs-CZ" w:bidi="cs-CZ"/>
      </w:rPr>
    </w:lvl>
    <w:lvl w:ilvl="2" w:tplc="58E25B66">
      <w:numFmt w:val="bullet"/>
      <w:lvlText w:val="•"/>
      <w:lvlJc w:val="left"/>
      <w:pPr>
        <w:ind w:left="2682" w:hanging="360"/>
      </w:pPr>
      <w:rPr>
        <w:rFonts w:hint="default"/>
        <w:lang w:val="cs-CZ" w:eastAsia="cs-CZ" w:bidi="cs-CZ"/>
      </w:rPr>
    </w:lvl>
    <w:lvl w:ilvl="3" w:tplc="E5021CE4">
      <w:numFmt w:val="bullet"/>
      <w:lvlText w:val="•"/>
      <w:lvlJc w:val="left"/>
      <w:pPr>
        <w:ind w:left="3553" w:hanging="360"/>
      </w:pPr>
      <w:rPr>
        <w:rFonts w:hint="default"/>
        <w:lang w:val="cs-CZ" w:eastAsia="cs-CZ" w:bidi="cs-CZ"/>
      </w:rPr>
    </w:lvl>
    <w:lvl w:ilvl="4" w:tplc="BBAE984A">
      <w:numFmt w:val="bullet"/>
      <w:lvlText w:val="•"/>
      <w:lvlJc w:val="left"/>
      <w:pPr>
        <w:ind w:left="4424" w:hanging="360"/>
      </w:pPr>
      <w:rPr>
        <w:rFonts w:hint="default"/>
        <w:lang w:val="cs-CZ" w:eastAsia="cs-CZ" w:bidi="cs-CZ"/>
      </w:rPr>
    </w:lvl>
    <w:lvl w:ilvl="5" w:tplc="D932FBA4">
      <w:numFmt w:val="bullet"/>
      <w:lvlText w:val="•"/>
      <w:lvlJc w:val="left"/>
      <w:pPr>
        <w:ind w:left="5295" w:hanging="360"/>
      </w:pPr>
      <w:rPr>
        <w:rFonts w:hint="default"/>
        <w:lang w:val="cs-CZ" w:eastAsia="cs-CZ" w:bidi="cs-CZ"/>
      </w:rPr>
    </w:lvl>
    <w:lvl w:ilvl="6" w:tplc="5B5C6A50">
      <w:numFmt w:val="bullet"/>
      <w:lvlText w:val="•"/>
      <w:lvlJc w:val="left"/>
      <w:pPr>
        <w:ind w:left="6166" w:hanging="360"/>
      </w:pPr>
      <w:rPr>
        <w:rFonts w:hint="default"/>
        <w:lang w:val="cs-CZ" w:eastAsia="cs-CZ" w:bidi="cs-CZ"/>
      </w:rPr>
    </w:lvl>
    <w:lvl w:ilvl="7" w:tplc="01FEB012">
      <w:numFmt w:val="bullet"/>
      <w:lvlText w:val="•"/>
      <w:lvlJc w:val="left"/>
      <w:pPr>
        <w:ind w:left="7037" w:hanging="360"/>
      </w:pPr>
      <w:rPr>
        <w:rFonts w:hint="default"/>
        <w:lang w:val="cs-CZ" w:eastAsia="cs-CZ" w:bidi="cs-CZ"/>
      </w:rPr>
    </w:lvl>
    <w:lvl w:ilvl="8" w:tplc="4CCEFE34">
      <w:numFmt w:val="bullet"/>
      <w:lvlText w:val="•"/>
      <w:lvlJc w:val="left"/>
      <w:pPr>
        <w:ind w:left="7908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626A4B3A"/>
    <w:multiLevelType w:val="multilevel"/>
    <w:tmpl w:val="7ADCDEB6"/>
    <w:lvl w:ilvl="0">
      <w:start w:val="1"/>
      <w:numFmt w:val="decimal"/>
      <w:lvlText w:val="%1"/>
      <w:lvlJc w:val="left"/>
      <w:pPr>
        <w:ind w:left="667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67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953" w:hanging="286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186" w:hanging="28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252" w:hanging="28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319" w:hanging="28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385" w:hanging="28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52" w:hanging="28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18" w:hanging="286"/>
      </w:pPr>
      <w:rPr>
        <w:rFonts w:hint="default"/>
        <w:lang w:val="cs-CZ" w:eastAsia="cs-CZ" w:bidi="cs-CZ"/>
      </w:rPr>
    </w:lvl>
  </w:abstractNum>
  <w:abstractNum w:abstractNumId="3" w15:restartNumberingAfterBreak="0">
    <w:nsid w:val="794D6167"/>
    <w:multiLevelType w:val="hybridMultilevel"/>
    <w:tmpl w:val="153266F2"/>
    <w:lvl w:ilvl="0" w:tplc="E6CCC3C6">
      <w:start w:val="1"/>
      <w:numFmt w:val="upperRoman"/>
      <w:lvlText w:val="%1."/>
      <w:lvlJc w:val="left"/>
      <w:pPr>
        <w:ind w:left="667" w:hanging="567"/>
        <w:jc w:val="left"/>
      </w:pPr>
      <w:rPr>
        <w:rFonts w:ascii="Garamond" w:eastAsia="Garamond" w:hAnsi="Garamond" w:cs="Garamond" w:hint="default"/>
        <w:b/>
        <w:bCs/>
        <w:spacing w:val="-4"/>
        <w:w w:val="100"/>
        <w:sz w:val="22"/>
        <w:szCs w:val="22"/>
        <w:lang w:val="cs-CZ" w:eastAsia="cs-CZ" w:bidi="cs-CZ"/>
      </w:rPr>
    </w:lvl>
    <w:lvl w:ilvl="1" w:tplc="225C80B2">
      <w:numFmt w:val="bullet"/>
      <w:lvlText w:val="•"/>
      <w:lvlJc w:val="left"/>
      <w:pPr>
        <w:ind w:left="1559" w:hanging="567"/>
      </w:pPr>
      <w:rPr>
        <w:rFonts w:hint="default"/>
        <w:lang w:val="cs-CZ" w:eastAsia="cs-CZ" w:bidi="cs-CZ"/>
      </w:rPr>
    </w:lvl>
    <w:lvl w:ilvl="2" w:tplc="CB4E0500">
      <w:numFmt w:val="bullet"/>
      <w:lvlText w:val="•"/>
      <w:lvlJc w:val="left"/>
      <w:pPr>
        <w:ind w:left="2458" w:hanging="567"/>
      </w:pPr>
      <w:rPr>
        <w:rFonts w:hint="default"/>
        <w:lang w:val="cs-CZ" w:eastAsia="cs-CZ" w:bidi="cs-CZ"/>
      </w:rPr>
    </w:lvl>
    <w:lvl w:ilvl="3" w:tplc="142084A4">
      <w:numFmt w:val="bullet"/>
      <w:lvlText w:val="•"/>
      <w:lvlJc w:val="left"/>
      <w:pPr>
        <w:ind w:left="3357" w:hanging="567"/>
      </w:pPr>
      <w:rPr>
        <w:rFonts w:hint="default"/>
        <w:lang w:val="cs-CZ" w:eastAsia="cs-CZ" w:bidi="cs-CZ"/>
      </w:rPr>
    </w:lvl>
    <w:lvl w:ilvl="4" w:tplc="07964CD8">
      <w:numFmt w:val="bullet"/>
      <w:lvlText w:val="•"/>
      <w:lvlJc w:val="left"/>
      <w:pPr>
        <w:ind w:left="4256" w:hanging="567"/>
      </w:pPr>
      <w:rPr>
        <w:rFonts w:hint="default"/>
        <w:lang w:val="cs-CZ" w:eastAsia="cs-CZ" w:bidi="cs-CZ"/>
      </w:rPr>
    </w:lvl>
    <w:lvl w:ilvl="5" w:tplc="497807A2">
      <w:numFmt w:val="bullet"/>
      <w:lvlText w:val="•"/>
      <w:lvlJc w:val="left"/>
      <w:pPr>
        <w:ind w:left="5155" w:hanging="567"/>
      </w:pPr>
      <w:rPr>
        <w:rFonts w:hint="default"/>
        <w:lang w:val="cs-CZ" w:eastAsia="cs-CZ" w:bidi="cs-CZ"/>
      </w:rPr>
    </w:lvl>
    <w:lvl w:ilvl="6" w:tplc="3B5A6676">
      <w:numFmt w:val="bullet"/>
      <w:lvlText w:val="•"/>
      <w:lvlJc w:val="left"/>
      <w:pPr>
        <w:ind w:left="6054" w:hanging="567"/>
      </w:pPr>
      <w:rPr>
        <w:rFonts w:hint="default"/>
        <w:lang w:val="cs-CZ" w:eastAsia="cs-CZ" w:bidi="cs-CZ"/>
      </w:rPr>
    </w:lvl>
    <w:lvl w:ilvl="7" w:tplc="48E4A828">
      <w:numFmt w:val="bullet"/>
      <w:lvlText w:val="•"/>
      <w:lvlJc w:val="left"/>
      <w:pPr>
        <w:ind w:left="6953" w:hanging="567"/>
      </w:pPr>
      <w:rPr>
        <w:rFonts w:hint="default"/>
        <w:lang w:val="cs-CZ" w:eastAsia="cs-CZ" w:bidi="cs-CZ"/>
      </w:rPr>
    </w:lvl>
    <w:lvl w:ilvl="8" w:tplc="B2AE5F04">
      <w:numFmt w:val="bullet"/>
      <w:lvlText w:val="•"/>
      <w:lvlJc w:val="left"/>
      <w:pPr>
        <w:ind w:left="7852" w:hanging="567"/>
      </w:pPr>
      <w:rPr>
        <w:rFonts w:hint="default"/>
        <w:lang w:val="cs-CZ" w:eastAsia="cs-CZ" w:bidi="cs-CZ"/>
      </w:rPr>
    </w:lvl>
  </w:abstractNum>
  <w:num w:numId="1" w16cid:durableId="288363336">
    <w:abstractNumId w:val="0"/>
  </w:num>
  <w:num w:numId="2" w16cid:durableId="947201319">
    <w:abstractNumId w:val="2"/>
  </w:num>
  <w:num w:numId="3" w16cid:durableId="179710260">
    <w:abstractNumId w:val="3"/>
  </w:num>
  <w:num w:numId="4" w16cid:durableId="1330253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36"/>
    <w:rsid w:val="002B3A08"/>
    <w:rsid w:val="005A0C9F"/>
    <w:rsid w:val="0065084F"/>
    <w:rsid w:val="00802746"/>
    <w:rsid w:val="00A67BB1"/>
    <w:rsid w:val="00D7495A"/>
    <w:rsid w:val="00E2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D9BA0"/>
  <w15:docId w15:val="{645C28F9-593C-443B-8D46-44A9BB21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2225" w:right="2660" w:hanging="438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21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2"/>
      <w:ind w:left="667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2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Blanka Grebeňová</cp:lastModifiedBy>
  <cp:revision>2</cp:revision>
  <dcterms:created xsi:type="dcterms:W3CDTF">2024-11-26T07:05:00Z</dcterms:created>
  <dcterms:modified xsi:type="dcterms:W3CDTF">2024-11-26T07:05:00Z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2024-11-26T00:00:00Z</vt:filetime>
  </property>
</Properties>
</file>