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7221100470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BATERIE</w:t>
      </w:r>
      <w:r>
        <w:rPr>
          <w:spacing w:val="-12"/>
        </w:rPr>
        <w:t> </w:t>
      </w:r>
      <w:r>
        <w:rPr/>
        <w:t>CENTRUM,</w:t>
      </w:r>
      <w:r>
        <w:rPr>
          <w:spacing w:val="-13"/>
        </w:rPr>
        <w:t> </w:t>
      </w:r>
      <w:r>
        <w:rPr>
          <w:spacing w:val="-2"/>
        </w:rPr>
        <w:t>s.r.o.</w:t>
      </w:r>
    </w:p>
    <w:p>
      <w:pPr>
        <w:pStyle w:val="BodyText"/>
        <w:ind w:left="102" w:right="1154"/>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6"/>
        </w:rPr>
        <w:t> </w:t>
      </w:r>
      <w:r>
        <w:rPr/>
        <w:t>Krajským</w:t>
      </w:r>
      <w:r>
        <w:rPr>
          <w:spacing w:val="-6"/>
        </w:rPr>
        <w:t> </w:t>
      </w:r>
      <w:r>
        <w:rPr/>
        <w:t>soudem</w:t>
      </w:r>
      <w:r>
        <w:rPr>
          <w:spacing w:val="-6"/>
        </w:rPr>
        <w:t> </w:t>
      </w:r>
      <w:r>
        <w:rPr/>
        <w:t>v Ostravě, oddíl C, vložka 14912</w:t>
      </w:r>
    </w:p>
    <w:p>
      <w:pPr>
        <w:pStyle w:val="BodyText"/>
        <w:tabs>
          <w:tab w:pos="2982" w:val="left" w:leader="none"/>
        </w:tabs>
        <w:spacing w:line="265" w:lineRule="exact"/>
        <w:ind w:left="102"/>
      </w:pPr>
      <w:r>
        <w:rPr/>
        <w:t>se</w:t>
      </w:r>
      <w:r>
        <w:rPr>
          <w:spacing w:val="-5"/>
        </w:rPr>
        <w:t> </w:t>
      </w:r>
      <w:r>
        <w:rPr>
          <w:spacing w:val="-2"/>
        </w:rPr>
        <w:t>sídlem:</w:t>
      </w:r>
      <w:r>
        <w:rPr/>
        <w:tab/>
        <w:t>Michálkovická</w:t>
      </w:r>
      <w:r>
        <w:rPr>
          <w:spacing w:val="-9"/>
        </w:rPr>
        <w:t> </w:t>
      </w:r>
      <w:r>
        <w:rPr/>
        <w:t>2031/109c,</w:t>
      </w:r>
      <w:r>
        <w:rPr>
          <w:spacing w:val="-8"/>
        </w:rPr>
        <w:t> </w:t>
      </w:r>
      <w:r>
        <w:rPr/>
        <w:t>Slezská</w:t>
      </w:r>
      <w:r>
        <w:rPr>
          <w:spacing w:val="-9"/>
        </w:rPr>
        <w:t> </w:t>
      </w:r>
      <w:r>
        <w:rPr/>
        <w:t>Ostrava,</w:t>
      </w:r>
      <w:r>
        <w:rPr>
          <w:spacing w:val="-8"/>
        </w:rPr>
        <w:t> </w:t>
      </w:r>
      <w:r>
        <w:rPr/>
        <w:t>710</w:t>
      </w:r>
      <w:r>
        <w:rPr>
          <w:spacing w:val="-4"/>
        </w:rPr>
        <w:t> </w:t>
      </w:r>
      <w:r>
        <w:rPr/>
        <w:t>00</w:t>
      </w:r>
      <w:r>
        <w:rPr>
          <w:spacing w:val="-7"/>
        </w:rPr>
        <w:t> </w:t>
      </w:r>
      <w:r>
        <w:rPr>
          <w:spacing w:val="-2"/>
        </w:rPr>
        <w:t>Ostrava</w:t>
      </w:r>
    </w:p>
    <w:p>
      <w:pPr>
        <w:pStyle w:val="BodyText"/>
        <w:tabs>
          <w:tab w:pos="2982" w:val="left" w:leader="none"/>
        </w:tabs>
        <w:spacing w:before="1"/>
        <w:ind w:left="102"/>
      </w:pPr>
      <w:r>
        <w:rPr>
          <w:spacing w:val="-4"/>
        </w:rPr>
        <w:t>IČO:</w:t>
      </w:r>
      <w:r>
        <w:rPr>
          <w:rFonts w:ascii="Times New Roman" w:hAnsi="Times New Roman"/>
        </w:rPr>
        <w:tab/>
      </w:r>
      <w:r>
        <w:rPr/>
        <w:t>253</w:t>
      </w:r>
      <w:r>
        <w:rPr>
          <w:spacing w:val="-2"/>
        </w:rPr>
        <w:t> </w:t>
      </w:r>
      <w:r>
        <w:rPr/>
        <w:t>61</w:t>
      </w:r>
      <w:r>
        <w:rPr>
          <w:spacing w:val="-2"/>
        </w:rPr>
        <w:t> </w:t>
      </w:r>
      <w:r>
        <w:rPr>
          <w:spacing w:val="-5"/>
        </w:rPr>
        <w:t>848</w:t>
      </w:r>
    </w:p>
    <w:p>
      <w:pPr>
        <w:pStyle w:val="BodyText"/>
        <w:tabs>
          <w:tab w:pos="2982" w:val="left" w:leader="none"/>
        </w:tabs>
        <w:ind w:left="102"/>
      </w:pPr>
      <w:r>
        <w:rPr>
          <w:spacing w:val="-2"/>
        </w:rPr>
        <w:t>zastoupená:</w:t>
      </w:r>
      <w:r>
        <w:rPr/>
        <w:tab/>
        <w:t>Ing.</w:t>
      </w:r>
      <w:r>
        <w:rPr>
          <w:spacing w:val="-3"/>
        </w:rPr>
        <w:t> </w:t>
      </w:r>
      <w:r>
        <w:rPr/>
        <w:t>Tomášem</w:t>
      </w:r>
      <w:r>
        <w:rPr>
          <w:spacing w:val="-5"/>
        </w:rPr>
        <w:t> </w:t>
      </w:r>
      <w:r>
        <w:rPr/>
        <w:t>M</w:t>
      </w:r>
      <w:r>
        <w:rPr>
          <w:spacing w:val="-2"/>
        </w:rPr>
        <w:t> </w:t>
      </w:r>
      <w:r>
        <w:rPr/>
        <w:t>a</w:t>
      </w:r>
      <w:r>
        <w:rPr>
          <w:spacing w:val="-4"/>
        </w:rPr>
        <w:t> </w:t>
      </w:r>
      <w:r>
        <w:rPr/>
        <w:t>c</w:t>
      </w:r>
      <w:r>
        <w:rPr>
          <w:spacing w:val="-4"/>
        </w:rPr>
        <w:t> </w:t>
      </w:r>
      <w:r>
        <w:rPr/>
        <w:t>k</w:t>
      </w:r>
      <w:r>
        <w:rPr>
          <w:spacing w:val="1"/>
        </w:rPr>
        <w:t> </w:t>
      </w:r>
      <w:r>
        <w:rPr/>
        <w:t>e</w:t>
      </w:r>
      <w:r>
        <w:rPr>
          <w:spacing w:val="-4"/>
        </w:rPr>
        <w:t> </w:t>
      </w:r>
      <w:r>
        <w:rPr/>
        <w:t>m,</w:t>
      </w:r>
      <w:r>
        <w:rPr>
          <w:spacing w:val="-1"/>
        </w:rPr>
        <w:t> </w:t>
      </w:r>
      <w:r>
        <w:rPr>
          <w:spacing w:val="-2"/>
        </w:rPr>
        <w:t>jednatelem</w:t>
      </w:r>
    </w:p>
    <w:p>
      <w:pPr>
        <w:pStyle w:val="BodyText"/>
        <w:tabs>
          <w:tab w:pos="2982" w:val="left" w:leader="none"/>
        </w:tabs>
        <w:ind w:left="102" w:right="2395"/>
      </w:pPr>
      <w:r>
        <w:rPr/>
        <w:t>bankovní spojení:</w:t>
        <w:tab/>
        <w:t>UniCredit</w:t>
      </w:r>
      <w:r>
        <w:rPr>
          <w:spacing w:val="-7"/>
        </w:rPr>
        <w:t> </w:t>
      </w:r>
      <w:r>
        <w:rPr/>
        <w:t>Bank</w:t>
      </w:r>
      <w:r>
        <w:rPr>
          <w:spacing w:val="-7"/>
        </w:rPr>
        <w:t> </w:t>
      </w:r>
      <w:r>
        <w:rPr/>
        <w:t>Czech</w:t>
      </w:r>
      <w:r>
        <w:rPr>
          <w:spacing w:val="-7"/>
        </w:rPr>
        <w:t> </w:t>
      </w:r>
      <w:r>
        <w:rPr/>
        <w:t>Republic</w:t>
      </w:r>
      <w:r>
        <w:rPr>
          <w:spacing w:val="-7"/>
        </w:rPr>
        <w:t> </w:t>
      </w:r>
      <w:r>
        <w:rPr/>
        <w:t>and</w:t>
      </w:r>
      <w:r>
        <w:rPr>
          <w:spacing w:val="-7"/>
        </w:rPr>
        <w:t> </w:t>
      </w:r>
      <w:r>
        <w:rPr/>
        <w:t>Slovakia,</w:t>
      </w:r>
      <w:r>
        <w:rPr>
          <w:spacing w:val="-7"/>
        </w:rPr>
        <w:t> </w:t>
      </w:r>
      <w:r>
        <w:rPr/>
        <w:t>a.s. číslo účtu:</w:t>
        <w:tab/>
      </w:r>
      <w:r>
        <w:rPr>
          <w:spacing w:val="-2"/>
        </w:rPr>
        <w:t>2109937007/2700</w:t>
      </w:r>
    </w:p>
    <w:p>
      <w:pPr>
        <w:pStyle w:val="BodyText"/>
        <w:spacing w:line="477" w:lineRule="auto" w:before="1"/>
        <w:ind w:left="102" w:right="6804"/>
      </w:pPr>
      <w:r>
        <w:rPr/>
        <w:t>(dále</w:t>
      </w:r>
      <w:r>
        <w:rPr>
          <w:spacing w:val="-14"/>
        </w:rPr>
        <w:t> </w:t>
      </w:r>
      <w:r>
        <w:rPr/>
        <w:t>jen</w:t>
      </w:r>
      <w:r>
        <w:rPr>
          <w:spacing w:val="-14"/>
        </w:rPr>
        <w:t> </w:t>
      </w:r>
      <w:r>
        <w:rPr/>
        <w:t>„příjemce</w:t>
      </w:r>
      <w:r>
        <w:rPr>
          <w:spacing w:val="-14"/>
        </w:rPr>
        <w:t> </w:t>
      </w:r>
      <w:r>
        <w:rPr/>
        <w:t>podpory“) se dohodly takto:</w:t>
      </w:r>
    </w:p>
    <w:p>
      <w:pPr>
        <w:pStyle w:val="Heading1"/>
        <w:spacing w:before="5"/>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4"/>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7221100470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75"/>
        <w:jc w:val="both"/>
      </w:pPr>
      <w:r>
        <w:rPr/>
        <w:t>„Vybudování</w:t>
      </w:r>
      <w:r>
        <w:rPr>
          <w:spacing w:val="-10"/>
        </w:rPr>
        <w:t> </w:t>
      </w:r>
      <w:r>
        <w:rPr/>
        <w:t>fotovoltaické</w:t>
      </w:r>
      <w:r>
        <w:rPr>
          <w:spacing w:val="-10"/>
        </w:rPr>
        <w:t> </w:t>
      </w:r>
      <w:r>
        <w:rPr/>
        <w:t>elektrárny</w:t>
      </w:r>
      <w:r>
        <w:rPr>
          <w:spacing w:val="-10"/>
        </w:rPr>
        <w:t> </w:t>
      </w:r>
      <w:r>
        <w:rPr/>
        <w:t>v</w:t>
      </w:r>
      <w:r>
        <w:rPr>
          <w:spacing w:val="-9"/>
        </w:rPr>
        <w:t> </w:t>
      </w:r>
      <w:r>
        <w:rPr/>
        <w:t>lokalitě</w:t>
      </w:r>
      <w:r>
        <w:rPr>
          <w:spacing w:val="-10"/>
        </w:rPr>
        <w:t> </w:t>
      </w:r>
      <w:r>
        <w:rPr/>
        <w:t>Řepiště</w:t>
      </w:r>
      <w:r>
        <w:rPr>
          <w:spacing w:val="-10"/>
        </w:rPr>
        <w:t> </w:t>
      </w:r>
      <w:r>
        <w:rPr/>
        <w:t>společnosti</w:t>
      </w:r>
      <w:r>
        <w:rPr>
          <w:spacing w:val="-9"/>
        </w:rPr>
        <w:t> </w:t>
      </w:r>
      <w:r>
        <w:rPr/>
        <w:t>BATERIE</w:t>
      </w:r>
      <w:r>
        <w:rPr>
          <w:spacing w:val="-9"/>
        </w:rPr>
        <w:t> </w:t>
      </w:r>
      <w:r>
        <w:rPr/>
        <w:t>CENTRUM,</w:t>
      </w:r>
      <w:r>
        <w:rPr>
          <w:spacing w:val="-11"/>
        </w:rPr>
        <w:t> </w:t>
      </w:r>
      <w:r>
        <w:rPr>
          <w:spacing w:val="-2"/>
        </w:rPr>
        <w:t>s.r.o.“</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w:t>
      </w:r>
      <w:r>
        <w:rPr>
          <w:b/>
          <w:spacing w:val="-2"/>
          <w:sz w:val="20"/>
        </w:rPr>
        <w:t> </w:t>
      </w:r>
      <w:r>
        <w:rPr>
          <w:b/>
          <w:sz w:val="20"/>
        </w:rPr>
        <w:t>517</w:t>
      </w:r>
      <w:r>
        <w:rPr>
          <w:b/>
          <w:spacing w:val="-2"/>
          <w:sz w:val="20"/>
        </w:rPr>
        <w:t> </w:t>
      </w:r>
      <w:r>
        <w:rPr>
          <w:b/>
          <w:sz w:val="20"/>
        </w:rPr>
        <w:t>501,73 Kč </w:t>
      </w:r>
      <w:r>
        <w:rPr>
          <w:sz w:val="20"/>
        </w:rPr>
        <w:t>(slovy: šest milionů pět set sedmnáct tisíc pět set jedna korun českých, sedmdesát tři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35 209 000,00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5"/>
          <w:sz w:val="20"/>
        </w:rPr>
        <w:t> </w:t>
      </w:r>
      <w:r>
        <w:rPr>
          <w:sz w:val="20"/>
        </w:rPr>
        <w:t>%</w:t>
      </w:r>
      <w:r>
        <w:rPr>
          <w:spacing w:val="-6"/>
          <w:sz w:val="20"/>
        </w:rPr>
        <w:t> </w:t>
      </w:r>
      <w:r>
        <w:rPr>
          <w:sz w:val="20"/>
        </w:rPr>
        <w:t>z</w:t>
      </w:r>
      <w:r>
        <w:rPr>
          <w:spacing w:val="-4"/>
          <w:sz w:val="20"/>
        </w:rPr>
        <w:t> </w:t>
      </w:r>
      <w:r>
        <w:rPr>
          <w:sz w:val="20"/>
        </w:rPr>
        <w:t>celkových</w:t>
      </w:r>
      <w:r>
        <w:rPr>
          <w:spacing w:val="-5"/>
          <w:sz w:val="20"/>
        </w:rPr>
        <w:t> </w:t>
      </w:r>
      <w:r>
        <w:rPr>
          <w:sz w:val="20"/>
        </w:rPr>
        <w:t>výdajů</w:t>
      </w:r>
      <w:r>
        <w:rPr>
          <w:spacing w:val="-6"/>
          <w:sz w:val="20"/>
        </w:rPr>
        <w:t> </w:t>
      </w:r>
      <w:r>
        <w:rPr>
          <w:sz w:val="20"/>
        </w:rPr>
        <w:t>na</w:t>
      </w:r>
      <w:r>
        <w:rPr>
          <w:spacing w:val="2"/>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9"/>
          <w:sz w:val="20"/>
        </w:rPr>
        <w:t> </w:t>
      </w:r>
      <w:r>
        <w:rPr>
          <w:sz w:val="20"/>
        </w:rPr>
        <w:t>věci</w:t>
      </w:r>
      <w:r>
        <w:rPr>
          <w:spacing w:val="-12"/>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05"/>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3"/>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4" w:hanging="360"/>
        <w:jc w:val="both"/>
        <w:rPr>
          <w:sz w:val="20"/>
        </w:rPr>
      </w:pPr>
      <w:r>
        <w:rPr>
          <w:sz w:val="20"/>
        </w:rPr>
        <w:t>splní účel akce „Vybudování fotovoltaické elektrárny v lokalitě Řepiště společnosti BATERIE CENTRUM, s.r.o.“ tím, že akce bude provedena v souladu s</w:t>
      </w:r>
      <w:r>
        <w:rPr>
          <w:spacing w:val="-1"/>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1" w:after="0"/>
        <w:ind w:left="745" w:right="113" w:hanging="360"/>
        <w:jc w:val="both"/>
        <w:rPr>
          <w:sz w:val="20"/>
        </w:rPr>
      </w:pPr>
      <w:r>
        <w:rPr>
          <w:sz w:val="20"/>
        </w:rPr>
        <w:t>realizací projektu dojde k výstavbě nové fotovoltaické elektrárny s pozemní instalací s předpokládaným výkonem 938,3 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5"/>
        <w:gridCol w:w="1637"/>
        <w:gridCol w:w="1616"/>
        <w:gridCol w:w="1661"/>
      </w:tblGrid>
      <w:tr>
        <w:trPr>
          <w:trHeight w:val="772" w:hRule="atLeast"/>
        </w:trPr>
        <w:tc>
          <w:tcPr>
            <w:tcW w:w="3915" w:type="dxa"/>
          </w:tcPr>
          <w:p>
            <w:pPr>
              <w:pStyle w:val="TableParagraph"/>
              <w:spacing w:before="120"/>
              <w:ind w:left="105"/>
              <w:rPr>
                <w:b/>
                <w:sz w:val="20"/>
              </w:rPr>
            </w:pPr>
            <w:r>
              <w:rPr>
                <w:b/>
                <w:spacing w:val="-2"/>
                <w:sz w:val="20"/>
              </w:rPr>
              <w:t>Indikátor</w:t>
            </w:r>
          </w:p>
        </w:tc>
        <w:tc>
          <w:tcPr>
            <w:tcW w:w="1637" w:type="dxa"/>
          </w:tcPr>
          <w:p>
            <w:pPr>
              <w:pStyle w:val="TableParagraph"/>
              <w:spacing w:before="120"/>
              <w:ind w:left="107"/>
              <w:rPr>
                <w:b/>
                <w:sz w:val="20"/>
              </w:rPr>
            </w:pPr>
            <w:r>
              <w:rPr>
                <w:b/>
                <w:spacing w:val="-2"/>
                <w:sz w:val="20"/>
              </w:rPr>
              <w:t>Jednotka</w:t>
            </w:r>
          </w:p>
        </w:tc>
        <w:tc>
          <w:tcPr>
            <w:tcW w:w="1616" w:type="dxa"/>
          </w:tcPr>
          <w:p>
            <w:pPr>
              <w:pStyle w:val="TableParagraph"/>
              <w:spacing w:before="120"/>
              <w:ind w:left="105" w:right="699"/>
              <w:rPr>
                <w:b/>
                <w:sz w:val="20"/>
              </w:rPr>
            </w:pPr>
            <w:r>
              <w:rPr>
                <w:b/>
                <w:spacing w:val="-2"/>
                <w:sz w:val="20"/>
              </w:rPr>
              <w:t>Výchozí hodnota</w:t>
            </w:r>
          </w:p>
        </w:tc>
        <w:tc>
          <w:tcPr>
            <w:tcW w:w="1661"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915"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37" w:type="dxa"/>
          </w:tcPr>
          <w:p>
            <w:pPr>
              <w:pStyle w:val="TableParagraph"/>
              <w:spacing w:before="120"/>
              <w:ind w:left="391"/>
              <w:rPr>
                <w:sz w:val="20"/>
              </w:rPr>
            </w:pPr>
            <w:r>
              <w:rPr>
                <w:spacing w:val="-5"/>
                <w:sz w:val="20"/>
              </w:rPr>
              <w:t>kWp</w:t>
            </w:r>
          </w:p>
        </w:tc>
        <w:tc>
          <w:tcPr>
            <w:tcW w:w="1616" w:type="dxa"/>
          </w:tcPr>
          <w:p>
            <w:pPr>
              <w:pStyle w:val="TableParagraph"/>
              <w:spacing w:before="120"/>
              <w:ind w:left="388"/>
              <w:rPr>
                <w:sz w:val="20"/>
              </w:rPr>
            </w:pPr>
            <w:r>
              <w:rPr>
                <w:w w:val="99"/>
                <w:sz w:val="20"/>
              </w:rPr>
              <w:t>0</w:t>
            </w:r>
          </w:p>
        </w:tc>
        <w:tc>
          <w:tcPr>
            <w:tcW w:w="1661" w:type="dxa"/>
          </w:tcPr>
          <w:p>
            <w:pPr>
              <w:pStyle w:val="TableParagraph"/>
              <w:spacing w:before="120"/>
              <w:ind w:left="388"/>
              <w:rPr>
                <w:sz w:val="20"/>
              </w:rPr>
            </w:pPr>
            <w:r>
              <w:rPr>
                <w:spacing w:val="-2"/>
                <w:sz w:val="20"/>
              </w:rPr>
              <w:t>938.30</w:t>
            </w:r>
          </w:p>
        </w:tc>
      </w:tr>
      <w:tr>
        <w:trPr>
          <w:trHeight w:val="505" w:hRule="atLeast"/>
        </w:trPr>
        <w:tc>
          <w:tcPr>
            <w:tcW w:w="3915"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37" w:type="dxa"/>
          </w:tcPr>
          <w:p>
            <w:pPr>
              <w:pStyle w:val="TableParagraph"/>
              <w:spacing w:before="120"/>
              <w:ind w:left="0" w:right="367"/>
              <w:jc w:val="right"/>
              <w:rPr>
                <w:sz w:val="20"/>
              </w:rPr>
            </w:pPr>
            <w:r>
              <w:rPr>
                <w:sz w:val="20"/>
              </w:rPr>
              <w:t>t</w:t>
            </w:r>
            <w:r>
              <w:rPr>
                <w:spacing w:val="-2"/>
                <w:sz w:val="20"/>
              </w:rPr>
              <w:t> CO2/rok</w:t>
            </w:r>
          </w:p>
        </w:tc>
        <w:tc>
          <w:tcPr>
            <w:tcW w:w="1616" w:type="dxa"/>
          </w:tcPr>
          <w:p>
            <w:pPr>
              <w:pStyle w:val="TableParagraph"/>
              <w:spacing w:before="120"/>
              <w:ind w:left="388"/>
              <w:rPr>
                <w:sz w:val="20"/>
              </w:rPr>
            </w:pPr>
            <w:r>
              <w:rPr>
                <w:w w:val="99"/>
                <w:sz w:val="20"/>
              </w:rPr>
              <w:t>0</w:t>
            </w:r>
          </w:p>
        </w:tc>
        <w:tc>
          <w:tcPr>
            <w:tcW w:w="1661" w:type="dxa"/>
          </w:tcPr>
          <w:p>
            <w:pPr>
              <w:pStyle w:val="TableParagraph"/>
              <w:spacing w:before="120"/>
              <w:ind w:left="388"/>
              <w:rPr>
                <w:sz w:val="20"/>
              </w:rPr>
            </w:pPr>
            <w:r>
              <w:rPr>
                <w:spacing w:val="-2"/>
                <w:sz w:val="20"/>
              </w:rPr>
              <w:t>659.80</w:t>
            </w:r>
          </w:p>
        </w:tc>
      </w:tr>
      <w:tr>
        <w:trPr>
          <w:trHeight w:val="530" w:hRule="atLeast"/>
        </w:trPr>
        <w:tc>
          <w:tcPr>
            <w:tcW w:w="3915" w:type="dxa"/>
          </w:tcPr>
          <w:p>
            <w:pPr>
              <w:pStyle w:val="TableParagraph"/>
              <w:spacing w:line="264" w:lineRule="exact" w:before="0"/>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37" w:type="dxa"/>
          </w:tcPr>
          <w:p>
            <w:pPr>
              <w:pStyle w:val="TableParagraph"/>
              <w:spacing w:before="120"/>
              <w:ind w:left="0" w:right="391"/>
              <w:jc w:val="right"/>
              <w:rPr>
                <w:sz w:val="20"/>
              </w:rPr>
            </w:pPr>
            <w:r>
              <w:rPr>
                <w:spacing w:val="-2"/>
                <w:sz w:val="20"/>
              </w:rPr>
              <w:t>MWh/rok</w:t>
            </w:r>
          </w:p>
        </w:tc>
        <w:tc>
          <w:tcPr>
            <w:tcW w:w="1616" w:type="dxa"/>
          </w:tcPr>
          <w:p>
            <w:pPr>
              <w:pStyle w:val="TableParagraph"/>
              <w:spacing w:before="120"/>
              <w:ind w:left="388"/>
              <w:rPr>
                <w:sz w:val="20"/>
              </w:rPr>
            </w:pPr>
            <w:r>
              <w:rPr>
                <w:w w:val="99"/>
                <w:sz w:val="20"/>
              </w:rPr>
              <w:t>0</w:t>
            </w:r>
          </w:p>
        </w:tc>
        <w:tc>
          <w:tcPr>
            <w:tcW w:w="1661" w:type="dxa"/>
          </w:tcPr>
          <w:p>
            <w:pPr>
              <w:pStyle w:val="TableParagraph"/>
              <w:spacing w:before="120"/>
              <w:ind w:left="388"/>
              <w:rPr>
                <w:sz w:val="20"/>
              </w:rPr>
            </w:pPr>
            <w:r>
              <w:rPr>
                <w:spacing w:val="-2"/>
                <w:sz w:val="20"/>
              </w:rPr>
              <w:t>1994.70</w:t>
            </w:r>
          </w:p>
        </w:tc>
      </w:tr>
      <w:tr>
        <w:trPr>
          <w:trHeight w:val="509" w:hRule="atLeast"/>
        </w:trPr>
        <w:tc>
          <w:tcPr>
            <w:tcW w:w="3915"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37" w:type="dxa"/>
          </w:tcPr>
          <w:p>
            <w:pPr>
              <w:pStyle w:val="TableParagraph"/>
              <w:spacing w:before="123"/>
              <w:ind w:left="0" w:right="391"/>
              <w:jc w:val="right"/>
              <w:rPr>
                <w:sz w:val="20"/>
              </w:rPr>
            </w:pPr>
            <w:r>
              <w:rPr>
                <w:spacing w:val="-2"/>
                <w:sz w:val="20"/>
              </w:rPr>
              <w:t>MWh/rok</w:t>
            </w:r>
          </w:p>
        </w:tc>
        <w:tc>
          <w:tcPr>
            <w:tcW w:w="1616" w:type="dxa"/>
          </w:tcPr>
          <w:p>
            <w:pPr>
              <w:pStyle w:val="TableParagraph"/>
              <w:spacing w:before="123"/>
              <w:ind w:left="388"/>
              <w:rPr>
                <w:sz w:val="20"/>
              </w:rPr>
            </w:pPr>
            <w:r>
              <w:rPr>
                <w:w w:val="99"/>
                <w:sz w:val="20"/>
              </w:rPr>
              <w:t>0</w:t>
            </w:r>
          </w:p>
        </w:tc>
        <w:tc>
          <w:tcPr>
            <w:tcW w:w="1661" w:type="dxa"/>
          </w:tcPr>
          <w:p>
            <w:pPr>
              <w:pStyle w:val="TableParagraph"/>
              <w:spacing w:before="123"/>
              <w:ind w:left="388"/>
              <w:rPr>
                <w:sz w:val="20"/>
              </w:rPr>
            </w:pPr>
            <w:r>
              <w:rPr>
                <w:spacing w:val="-2"/>
                <w:sz w:val="20"/>
              </w:rPr>
              <w:t>767.20</w:t>
            </w:r>
          </w:p>
        </w:tc>
      </w:tr>
    </w:tbl>
    <w:p>
      <w:pPr>
        <w:pStyle w:val="BodyText"/>
        <w:spacing w:before="11"/>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09" w:hanging="360"/>
        <w:jc w:val="both"/>
        <w:rPr>
          <w:sz w:val="20"/>
        </w:rPr>
      </w:pPr>
      <w:r>
        <w:rPr>
          <w:sz w:val="20"/>
        </w:rPr>
        <w:t>dodrží termín ukončení projektu do 2 let od vydání Rozhodnutí. Ukončením projektu se rozumí datum uvedení stavby k trvalému provozu, v souladu se zákonem č. 183/2006 Sb., o územním plánování</w:t>
      </w:r>
      <w:r>
        <w:rPr>
          <w:spacing w:val="-10"/>
          <w:sz w:val="20"/>
        </w:rPr>
        <w:t> </w:t>
      </w:r>
      <w:r>
        <w:rPr>
          <w:sz w:val="20"/>
        </w:rPr>
        <w:t>a</w:t>
      </w:r>
      <w:r>
        <w:rPr>
          <w:spacing w:val="-11"/>
          <w:sz w:val="20"/>
        </w:rPr>
        <w:t> </w:t>
      </w:r>
      <w:r>
        <w:rPr>
          <w:sz w:val="20"/>
        </w:rPr>
        <w:t>stavebním</w:t>
      </w:r>
      <w:r>
        <w:rPr>
          <w:spacing w:val="-12"/>
          <w:sz w:val="20"/>
        </w:rPr>
        <w:t> </w:t>
      </w:r>
      <w:r>
        <w:rPr>
          <w:sz w:val="20"/>
        </w:rPr>
        <w:t>řádu</w:t>
      </w:r>
      <w:r>
        <w:rPr>
          <w:spacing w:val="-9"/>
          <w:sz w:val="20"/>
        </w:rPr>
        <w:t> </w:t>
      </w:r>
      <w:r>
        <w:rPr>
          <w:sz w:val="20"/>
        </w:rPr>
        <w:t>(stavební</w:t>
      </w:r>
      <w:r>
        <w:rPr>
          <w:spacing w:val="-11"/>
          <w:sz w:val="20"/>
        </w:rPr>
        <w:t> </w:t>
      </w:r>
      <w:r>
        <w:rPr>
          <w:sz w:val="20"/>
        </w:rPr>
        <w:t>zákon),</w:t>
      </w:r>
      <w:r>
        <w:rPr>
          <w:spacing w:val="-11"/>
          <w:sz w:val="20"/>
        </w:rPr>
        <w:t> </w:t>
      </w:r>
      <w:r>
        <w:rPr>
          <w:sz w:val="20"/>
        </w:rPr>
        <w:t>v</w:t>
      </w:r>
      <w:r>
        <w:rPr>
          <w:spacing w:val="-11"/>
          <w:sz w:val="20"/>
        </w:rPr>
        <w:t> </w:t>
      </w:r>
      <w:r>
        <w:rPr>
          <w:sz w:val="20"/>
        </w:rPr>
        <w:t>platném</w:t>
      </w:r>
      <w:r>
        <w:rPr>
          <w:spacing w:val="-10"/>
          <w:sz w:val="20"/>
        </w:rPr>
        <w:t> </w:t>
      </w:r>
      <w:r>
        <w:rPr>
          <w:sz w:val="20"/>
        </w:rPr>
        <w:t>znění</w:t>
      </w:r>
      <w:r>
        <w:rPr>
          <w:spacing w:val="-11"/>
          <w:sz w:val="20"/>
        </w:rPr>
        <w:t> </w:t>
      </w:r>
      <w:r>
        <w:rPr>
          <w:sz w:val="20"/>
        </w:rPr>
        <w:t>(kolaudační</w:t>
      </w:r>
      <w:r>
        <w:rPr>
          <w:spacing w:val="-11"/>
          <w:sz w:val="20"/>
        </w:rPr>
        <w:t> </w:t>
      </w:r>
      <w:r>
        <w:rPr>
          <w:sz w:val="20"/>
        </w:rPr>
        <w:t>souhlas,</w:t>
      </w:r>
      <w:r>
        <w:rPr>
          <w:spacing w:val="-9"/>
          <w:sz w:val="20"/>
        </w:rPr>
        <w:t> </w:t>
      </w:r>
      <w:r>
        <w:rPr>
          <w:sz w:val="20"/>
        </w:rPr>
        <w:t>doložení</w:t>
      </w:r>
      <w:r>
        <w:rPr>
          <w:spacing w:val="-11"/>
          <w:sz w:val="20"/>
        </w:rPr>
        <w:t> </w:t>
      </w:r>
      <w:r>
        <w:rPr>
          <w:sz w:val="20"/>
        </w:rPr>
        <w:t>oslovení stavebního úřadu, případně písemný souhlas, že stavbu lze užívat). U projektů, kde není vydání kolaudačního souhlasu relevantní, předloží žadatel jiný relevantní doklad (protokol) o uvedení zařízení do trvalého provozu,</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3"/>
        <w:jc w:val="both"/>
      </w:pPr>
      <w:r>
        <w:rPr/>
        <w:t>o případném zastavění uvedené lhůty. Příjemce podpory je v takovém případě povinen zajistit, aby v době zastavění běhu lhůty došlo k nápravě vzniklého stavu,</w:t>
      </w:r>
    </w:p>
    <w:p>
      <w:pPr>
        <w:pStyle w:val="ListParagraph"/>
        <w:numPr>
          <w:ilvl w:val="1"/>
          <w:numId w:val="4"/>
        </w:numPr>
        <w:tabs>
          <w:tab w:pos="746" w:val="left" w:leader="none"/>
        </w:tabs>
        <w:spacing w:line="240" w:lineRule="auto" w:before="104" w:after="0"/>
        <w:ind w:left="745" w:right="111" w:hanging="360"/>
        <w:jc w:val="both"/>
        <w:rPr>
          <w:sz w:val="20"/>
        </w:rPr>
      </w:pPr>
      <w:r>
        <w:rPr>
          <w:sz w:val="20"/>
        </w:rPr>
        <w:t>příjemce podpory ponechá předmět podpory ve svém vlastnictví alespoň po dobu udržitelnosti –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1"/>
          <w:sz w:val="20"/>
        </w:rPr>
        <w:t> </w:t>
      </w:r>
      <w:r>
        <w:rPr>
          <w:sz w:val="20"/>
        </w:rPr>
        <w:t>poskytnuté</w:t>
      </w:r>
      <w:r>
        <w:rPr>
          <w:spacing w:val="-3"/>
          <w:sz w:val="20"/>
        </w:rPr>
        <w:t> </w:t>
      </w:r>
      <w:r>
        <w:rPr>
          <w:sz w:val="20"/>
        </w:rPr>
        <w:t>podpory,</w:t>
      </w:r>
      <w:r>
        <w:rPr>
          <w:spacing w:val="-3"/>
          <w:sz w:val="20"/>
        </w:rPr>
        <w:t> </w:t>
      </w:r>
      <w:r>
        <w:rPr>
          <w:sz w:val="20"/>
        </w:rPr>
        <w:t>od</w:t>
      </w:r>
      <w:r>
        <w:rPr>
          <w:spacing w:val="-2"/>
          <w:sz w:val="20"/>
        </w:rPr>
        <w:t> </w:t>
      </w:r>
      <w:r>
        <w:rPr>
          <w:sz w:val="20"/>
        </w:rPr>
        <w:t>121</w:t>
      </w:r>
      <w:r>
        <w:rPr>
          <w:spacing w:val="-2"/>
          <w:sz w:val="20"/>
        </w:rPr>
        <w:t> </w:t>
      </w:r>
      <w:r>
        <w:rPr>
          <w:sz w:val="20"/>
        </w:rPr>
        <w:t>do</w:t>
      </w:r>
      <w:r>
        <w:rPr>
          <w:spacing w:val="-1"/>
          <w:sz w:val="20"/>
        </w:rPr>
        <w:t> </w:t>
      </w:r>
      <w:r>
        <w:rPr>
          <w:sz w:val="20"/>
        </w:rPr>
        <w:t>180</w:t>
      </w:r>
      <w:r>
        <w:rPr>
          <w:spacing w:val="-2"/>
          <w:sz w:val="20"/>
        </w:rPr>
        <w:t> </w:t>
      </w:r>
      <w:r>
        <w:rPr>
          <w:sz w:val="20"/>
        </w:rPr>
        <w:t>kalendářních</w:t>
      </w:r>
      <w:r>
        <w:rPr>
          <w:spacing w:val="-2"/>
          <w:sz w:val="20"/>
        </w:rPr>
        <w:t> </w:t>
      </w:r>
      <w:r>
        <w:rPr>
          <w:sz w:val="20"/>
        </w:rPr>
        <w:t>dní odvod</w:t>
      </w:r>
      <w:r>
        <w:rPr>
          <w:spacing w:val="-2"/>
          <w:sz w:val="20"/>
        </w:rPr>
        <w:t> </w:t>
      </w:r>
      <w:r>
        <w:rPr>
          <w:sz w:val="20"/>
        </w:rPr>
        <w:t>1</w:t>
      </w:r>
      <w:r>
        <w:rPr>
          <w:spacing w:val="-2"/>
          <w:sz w:val="20"/>
        </w:rPr>
        <w:t> </w:t>
      </w:r>
      <w:r>
        <w:rPr>
          <w:sz w:val="20"/>
        </w:rPr>
        <w:t>%</w:t>
      </w:r>
      <w:r>
        <w:rPr>
          <w:spacing w:val="-2"/>
          <w:sz w:val="20"/>
        </w:rPr>
        <w:t> </w:t>
      </w:r>
      <w:r>
        <w:rPr>
          <w:sz w:val="20"/>
        </w:rPr>
        <w:t>z poskytnuté</w:t>
      </w:r>
      <w:r>
        <w:rPr>
          <w:spacing w:val="-3"/>
          <w:sz w:val="20"/>
        </w:rPr>
        <w:t> </w:t>
      </w:r>
      <w:r>
        <w:rPr>
          <w:sz w:val="20"/>
        </w:rPr>
        <w:t>podpory,</w:t>
      </w:r>
      <w:r>
        <w:rPr>
          <w:spacing w:val="-3"/>
          <w:sz w:val="20"/>
        </w:rPr>
        <w:t> </w:t>
      </w:r>
      <w:r>
        <w:rPr>
          <w:sz w:val="20"/>
        </w:rPr>
        <w:t>prodlení</w:t>
      </w:r>
      <w:r>
        <w:rPr>
          <w:spacing w:val="-3"/>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2"/>
          <w:sz w:val="20"/>
        </w:rPr>
        <w:t> </w:t>
      </w:r>
      <w:r>
        <w:rPr>
          <w:sz w:val="20"/>
        </w:rPr>
        <w:t>Smlouvy</w:t>
      </w:r>
      <w:r>
        <w:rPr>
          <w:spacing w:val="-14"/>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3"/>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1"/>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7"/>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368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228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2024-11-26T07:03:22Z</dcterms:created>
  <dcterms:modified xsi:type="dcterms:W3CDTF">2024-11-26T07:03:22Z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2016</vt:lpwstr>
  </property>
  <property fmtid="{D5CDD505-2E9C-101B-9397-08002B2CF9AE}" pid="4" name="LastSaved">
    <vt:filetime>2024-11-26T00:00:00Z</vt:filetime>
  </property>
</Properties>
</file>