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rStyle w:val="CharStyle3"/>
          <w:b/>
          <w:bCs/>
        </w:rPr>
        <w:t>Č.j.: SPU 471375/2024/Vaš UID: spuess920effb1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rStyle w:val="CharStyle3"/>
          <w:b/>
          <w:bCs/>
        </w:rPr>
        <w:t>Česká republika - Státní pozemkový úřad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rStyle w:val="CharStyle3"/>
        </w:rPr>
        <w:t xml:space="preserve">Sídlo: Husinecká 1024/11a, 130 00 Praha 3 - </w:t>
      </w:r>
      <w:r>
        <w:rPr>
          <w:rStyle w:val="CharStyle3"/>
          <w:lang w:val="sk-SK" w:eastAsia="sk-SK" w:bidi="sk-SK"/>
        </w:rPr>
        <w:t xml:space="preserve">Žižkov, </w:t>
      </w:r>
      <w:r>
        <w:rPr>
          <w:rStyle w:val="CharStyle3"/>
        </w:rPr>
        <w:t>IČO: 01312774, DIČ: CZ01312774 ID DS: z49per3 za který právně jedná Ing. Lenka Dráhová, vedoucí Pobočky Litoměřice, Velká Krajská 1, 41201 Litoměřice na základě oprávnění vyplývajícího z platného Podpisového řádu Státního pozemkového úřadu účinného ke dni právního jednání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rStyle w:val="CharStyle3"/>
        </w:rPr>
        <w:t>Bankovní spojení: Česká národní banka, Číslo účtu: 60011-3723001 / 0710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rStyle w:val="CharStyle3"/>
        </w:rPr>
        <w:t>(dále jen „propachtovatel“)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3"/>
        </w:rPr>
        <w:t>na straně jedné -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</w:rPr>
        <w:t xml:space="preserve">AGROKOMPLEX OHŘE a.s., </w:t>
      </w:r>
      <w:r>
        <w:rPr>
          <w:rStyle w:val="CharStyle3"/>
        </w:rPr>
        <w:t>IČO: 00120511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Sídlo: Masarykova 190, 411 56 Bohušovice nad Ohří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 xml:space="preserve">Zapsaná v </w:t>
      </w:r>
      <w:r>
        <w:rPr>
          <w:rStyle w:val="CharStyle3"/>
          <w:lang w:val="sk-SK" w:eastAsia="sk-SK" w:bidi="sk-SK"/>
        </w:rPr>
        <w:t xml:space="preserve">OR </w:t>
      </w:r>
      <w:r>
        <w:rPr>
          <w:rStyle w:val="CharStyle3"/>
        </w:rPr>
        <w:t>u Krajského soudu v Ústí nad Labem, oddíl B, vložka 348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Zastoupena: člen představenstva a ředitel: Ing. Ivo Kadeřábek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(dále jen "pachtýř")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260"/>
        <w:jc w:val="both"/>
      </w:pPr>
      <w:r>
        <w:rPr>
          <w:rStyle w:val="CharStyle3"/>
        </w:rPr>
        <w:t>- na straně druhé -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uzavírají podle ustanovení § 2332 a násl. zákona č. 89/2012 Sb., občanský zákoník, věznění pozdějších předpisů (dále jen „OZ“), tuto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223" w:lineRule="auto"/>
        <w:ind w:left="0" w:right="0" w:firstLine="0"/>
        <w:jc w:val="center"/>
      </w:pPr>
      <w:bookmarkStart w:id="0" w:name="bookmark0"/>
      <w:r>
        <w:rPr>
          <w:rStyle w:val="CharStyle6"/>
          <w:b/>
          <w:bCs/>
        </w:rPr>
        <w:t>PACHTOVNÍ SMLOUVU</w:t>
      </w:r>
      <w:bookmarkEnd w:id="0"/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bookmarkStart w:id="2" w:name="bookmark2"/>
      <w:r>
        <w:rPr>
          <w:rStyle w:val="CharStyle6"/>
          <w:b/>
          <w:bCs/>
          <w:lang w:val="sk-SK" w:eastAsia="sk-SK" w:bidi="sk-SK"/>
        </w:rPr>
        <w:t xml:space="preserve">č. </w:t>
      </w:r>
      <w:r>
        <w:rPr>
          <w:rStyle w:val="CharStyle6"/>
          <w:b/>
          <w:bCs/>
        </w:rPr>
        <w:t>397N24/38</w:t>
      </w:r>
      <w:bookmarkEnd w:id="2"/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6"/>
          <w:b/>
          <w:bCs/>
        </w:rPr>
        <w:t>či. 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Propachtovatel je ve smyslu zákona č. 503/2012 Sb., o Státním pozemkovém úřadu a o změně některých souvisejících zákonů, ve znění pozdějších předpisů, příslušný hospodařit se zemědělskými pozemky </w:t>
      </w:r>
      <w:r>
        <w:rPr>
          <w:rStyle w:val="CharStyle3"/>
          <w:b/>
          <w:bCs/>
        </w:rPr>
        <w:t xml:space="preserve">v katastrálním území Brozany nad Ohří a Keblice </w:t>
      </w:r>
      <w:r>
        <w:rPr>
          <w:rStyle w:val="CharStyle3"/>
        </w:rPr>
        <w:t>specifikovanými v příloze č. 1 této smlouvy vedenými u Katastrálního úřadu pro Ústecký kraj Katastrálního pracoviště Litoměřice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Příloha č. 1 je nedílnou součástí této smlouvy.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Příloha č. 2 mapové výkresy nebudou v RS uveřejněny z důvodu výjimky z povinnosti uveřejnění § 3 dle zákona č. 350/2015 Sb.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  <w:b/>
          <w:bCs/>
        </w:rPr>
        <w:t>ČI. II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20" w:right="0" w:hanging="720"/>
        <w:jc w:val="left"/>
      </w:pPr>
      <w:r>
        <w:rPr>
          <w:rStyle w:val="CharStyle3"/>
        </w:rPr>
        <w:t xml:space="preserve">Propachtovatel přenechává pachtýři pozemek uvedený v čl. I této smlouvy do užívání za účelem: - </w:t>
      </w:r>
      <w:r>
        <w:rPr>
          <w:rStyle w:val="CharStyle3"/>
          <w:u w:val="single"/>
        </w:rPr>
        <w:t>provozování zemědělské výroby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  <w:b/>
          <w:bCs/>
        </w:rPr>
        <w:t xml:space="preserve">Čl. </w:t>
      </w:r>
      <w:r>
        <w:rPr>
          <w:rStyle w:val="CharStyle3"/>
          <w:b/>
          <w:bCs/>
          <w:lang w:val="en-US" w:eastAsia="en-US" w:bidi="en-US"/>
        </w:rPr>
        <w:t>Ill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Pachtýř je povinen: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užívat pozemek řádně v souladu sjeho účelovým určením, hospodařit na něm způsobem založeným na střídání plodin a hnojení organickou hmotou ve dvou až čtyřletých cyklech podle fyzikálních vlastností půdy, způsobu hospodaření a nároků pěstovaných rostlin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a dále pak dodržovat omezení daná § 46 zákona č. 114/1992 Sb., o ochraně přírody a krajiny, ve znění pozdějších předpisů, vyplývající z existence památného stromu a ochranného pásma památného stromu a v souladu s podmínkami ochrany přírody a podmínkami omezujícími hospodářské využití uvedenými v zákoně č. 114/1992 Sb., o ochraně přírody a krajiny, ve znění pozdějších předpisů, tj. 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dodržovat povinnosti vyplývající ze zákona č. 326/2004 Sb., o rostlinolékařské péči a o změně některých souvisejících zákonů, ve znění pozdějších předpisů,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7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dodržovat zákaz hospodářské činnosti vyvolávající erozi a další degradaci půdy a používání toxických a jiných škodlivých látek s dlouhodobým reziduálním účinkem, dodržovat ustanovení § 3 odst. 1 zákona č. 334/1992 Sb., o ochraně zemědělského půdního fondu, ve znění pozdějších předpisů,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umožnit propachtovateli provádění kontroly k bodům a) až c) formou nahlédnutí do evidence rozborů a vstupem na pozemek,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dodržovat povinnosti vyplývající ze zákona č. 449/2001 Sb., o myslivosti, ve znění pozdějších předpisů, f) provádět podle podmínek sběr kamene,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vyžádat si písemný souhlas propachtovatele při realizaci </w:t>
      </w:r>
      <w:r>
        <w:rPr>
          <w:rStyle w:val="CharStyle3"/>
          <w:lang w:val="sk-SK" w:eastAsia="sk-SK" w:bidi="sk-SK"/>
        </w:rPr>
        <w:t xml:space="preserve">zúrodňovacích </w:t>
      </w:r>
      <w:r>
        <w:rPr>
          <w:rStyle w:val="CharStyle3"/>
        </w:rPr>
        <w:t>opatření, likvidaci a zakládání trvalých porostů na pozemku nebo při provádění změny druhu pozemku či změny využití území,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76" w:val="left"/>
        </w:tabs>
        <w:bidi w:val="0"/>
        <w:spacing w:before="0" w:after="80" w:line="240" w:lineRule="auto"/>
        <w:ind w:left="0" w:right="0" w:firstLine="0"/>
        <w:jc w:val="left"/>
      </w:pPr>
      <w:r>
        <w:rPr>
          <w:rStyle w:val="CharStyle3"/>
        </w:rPr>
        <w:t>trpět věcná břemena, resp. služebnosti spojené s pozemkem, jenž je předmětem pachtu,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7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platit v souladu se zákonnou úpravou daň z nemovitých věcí za propachtovaný pozemek, jenž je předmětem pachtu.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7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dodržovat veškeré povinnosti uložené zákonem č. 200/1994 Sb., o zeměměřictví, věznění pozdějších předpisů, týkající se značky geodetického bodu zřízené ve veřejném zájmu na pozemku, jenž je předmětem pachtu. Informace o značce a poloze bodu lze získat z aplikace Databáze bodových polí Českého úřadu zeměměřického a katastrálního.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  <w:b/>
          <w:bCs/>
        </w:rPr>
        <w:t>ČI. IV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1" w:val="left"/>
        </w:tabs>
        <w:bidi w:val="0"/>
        <w:spacing w:before="0" w:after="0" w:line="240" w:lineRule="auto"/>
        <w:ind w:left="0" w:right="0" w:firstLine="380"/>
        <w:jc w:val="both"/>
      </w:pPr>
      <w:r>
        <w:rPr>
          <w:rStyle w:val="CharStyle3"/>
        </w:rPr>
        <w:t xml:space="preserve">Tato smlouva se uzavírá </w:t>
      </w:r>
      <w:r>
        <w:rPr>
          <w:rStyle w:val="CharStyle3"/>
          <w:b/>
          <w:bCs/>
          <w:u w:val="single"/>
        </w:rPr>
        <w:t>od 1. 12. 2024 na dobu neurčitou.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1" w:val="left"/>
        </w:tabs>
        <w:bidi w:val="0"/>
        <w:spacing w:before="0" w:after="0" w:line="240" w:lineRule="auto"/>
        <w:ind w:left="720" w:right="0" w:hanging="340"/>
        <w:jc w:val="both"/>
      </w:pPr>
      <w:r>
        <w:rPr>
          <w:rStyle w:val="CharStyle3"/>
        </w:rPr>
        <w:t>Právní vztah založený touto smlouvou lze ukončit vzájemnou písemnou dohodou smluvních stran nebo jednostrannou písemnou výpovědí.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1" w:val="left"/>
        </w:tabs>
        <w:bidi w:val="0"/>
        <w:spacing w:before="0" w:after="0" w:line="240" w:lineRule="auto"/>
        <w:ind w:left="720" w:right="0" w:hanging="340"/>
        <w:jc w:val="both"/>
      </w:pPr>
      <w:r>
        <w:rPr>
          <w:rStyle w:val="CharStyle3"/>
        </w:rPr>
        <w:t>Pacht lze v souladu s ustanovením § 2347 OZ vypovědět v dvanáctiměsíční výpovědní době, a to vždy jen k 1. říjnu běžného roku.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1" w:val="left"/>
        </w:tabs>
        <w:bidi w:val="0"/>
        <w:spacing w:before="0" w:after="0" w:line="240" w:lineRule="auto"/>
        <w:ind w:left="720" w:right="0" w:hanging="340"/>
        <w:jc w:val="both"/>
      </w:pPr>
      <w:r>
        <w:rPr>
          <w:rStyle w:val="CharStyle3"/>
        </w:rPr>
        <w:t>Stane-li se pachtýř ze zdravotních důvodů nezpůsobilý na pozemku hospodařit, má dle ustanovení § 2348 OZ právo vypovědět pacht v tříměsíční výpovědní době.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1" w:val="left"/>
        </w:tabs>
        <w:bidi w:val="0"/>
        <w:spacing w:before="0" w:after="0" w:line="240" w:lineRule="auto"/>
        <w:ind w:left="720" w:right="0" w:hanging="340"/>
        <w:jc w:val="both"/>
      </w:pPr>
      <w:r>
        <w:rPr>
          <w:rStyle w:val="CharStyle3"/>
        </w:rPr>
        <w:t>Propachtovatel může v souladu s ustanovením § 2334 OZ vypovědět pacht bez výpovědní doby, jestliže pachtýř propachtuje propachtovaný pozemek jinému, přenechá-li ho k užívání nebo změní-li hospodářské určení pozemku, anebo způsob jeho užívání nebo požívání bez propachtovatelova předchozího souhlasu.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Vznikne-li k plnění funkcí státu nebo jiných úkolů v rámci působnosti nebo stanoveného předmětu činnosti propachtovatele anebo pro realizaci veřejně prospěšné stavby nebo z důvodu jinak určeného veřejného zájmu, potřeba uvolnit předmět pachtu nebo jeho část, tj. 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Pachtýř s jednostranným ukončením pachtu pozemku či jeho části z důvodu potřeby uvolnění k plnění funkcí státu nebo jiných úkolů v rámci působnosti nebo stanoveného předmětu činnosti pronajímatele anebo pro realizaci veřejně prospěšné stavby nebo z důvodu jinak určeného veřejného zájmu výslovně souhlasí a stvrzuje, že nebude z titulu tohoto ukončení smlouvy uplatňovat žádné jiné náhrady ani majetkové nároky a sankce.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Bude-li se na pozemku nacházet rozpracovaná výroba a požádá-li pachtýř o kompenzaci, náleží mu náhrada ve výši prokázaných nákladových položek na ni vynaložených, v daném místě a čase obvyklých za obvyklé ceny.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5" w:name="bookmark5"/>
      <w:r>
        <w:rPr>
          <w:rStyle w:val="CharStyle10"/>
          <w:b/>
          <w:bCs/>
        </w:rPr>
        <w:t>ČI. V</w:t>
      </w:r>
      <w:bookmarkEnd w:id="5"/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62" w:val="left"/>
        </w:tabs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Pachtýř je povinen platit propachtovateli pachtovné.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62" w:val="left"/>
        </w:tabs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 xml:space="preserve">Pachtovné se platí </w:t>
      </w:r>
      <w:r>
        <w:rPr>
          <w:rStyle w:val="CharStyle3"/>
          <w:b/>
          <w:bCs/>
          <w:u w:val="single"/>
        </w:rPr>
        <w:t>ročně pozadu</w:t>
      </w:r>
      <w:r>
        <w:rPr>
          <w:rStyle w:val="CharStyle3"/>
          <w:b/>
          <w:bCs/>
        </w:rPr>
        <w:t xml:space="preserve"> </w:t>
      </w:r>
      <w:r>
        <w:rPr>
          <w:rStyle w:val="CharStyle3"/>
        </w:rPr>
        <w:t>vždy k 1. 10. běžného roku.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6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  <w:u w:val="single"/>
        </w:rPr>
        <w:t xml:space="preserve">Roční pachtovné se stanovuje dohodou ve výši </w:t>
      </w:r>
      <w:r>
        <w:rPr>
          <w:rStyle w:val="CharStyle3"/>
          <w:b/>
          <w:bCs/>
          <w:u w:val="single"/>
        </w:rPr>
        <w:t>14.187,- Kč</w:t>
      </w:r>
      <w:r>
        <w:rPr>
          <w:rStyle w:val="CharStyle3"/>
          <w:b/>
          <w:bCs/>
        </w:rPr>
        <w:t xml:space="preserve"> </w:t>
      </w:r>
      <w:r>
        <w:rPr>
          <w:rStyle w:val="CharStyle3"/>
        </w:rPr>
        <w:t>(slovy: čtrnácttisícstoosmdesátsedm korun českých).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6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Pachtovné za období od účinnosti smlouvy do 30. 9. 2025 včetně činí </w:t>
      </w:r>
      <w:r>
        <w:rPr>
          <w:rStyle w:val="CharStyle3"/>
          <w:b/>
          <w:bCs/>
        </w:rPr>
        <w:t xml:space="preserve">11.816,- Kč </w:t>
      </w:r>
      <w:r>
        <w:rPr>
          <w:rStyle w:val="CharStyle3"/>
        </w:rPr>
        <w:t>(slovy: jedenácttisícosmsetšestnáct korun českých) a bude uhrazeno k 1. 10. 2025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6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Pachtovné bude hrazeno převodem na účet propachtovatele vedený u České národní banky, </w:t>
      </w:r>
      <w:r>
        <w:rPr>
          <w:rStyle w:val="CharStyle3"/>
          <w:b/>
          <w:bCs/>
        </w:rPr>
        <w:t>číslo účtu 60011-3723001 / 0710, variabilní symbol 39712438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60"/>
        <w:jc w:val="both"/>
      </w:pPr>
      <w:r>
        <w:rPr>
          <w:rStyle w:val="CharStyle3"/>
        </w:rPr>
        <w:t>Zaplacením se rozumí připsání placené částky na účet propachtovatele.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62" w:val="left"/>
        </w:tabs>
        <w:bidi w:val="0"/>
        <w:spacing w:before="0" w:after="0" w:line="240" w:lineRule="auto"/>
        <w:ind w:left="380" w:right="0" w:hanging="380"/>
        <w:jc w:val="both"/>
      </w:pPr>
      <w:r>
        <w:rPr>
          <w:rStyle w:val="CharStyle3"/>
        </w:rPr>
        <w:t>Nedodrží-li pachtýř lhůtu pro úhradu pachtovného, je povinen podle ustanovení § 1970 OZ zaplatit propachtovateli úrok z prodlení, a to na účet propachtovatele vedený u České národní banky, číslo účtu 180013-3723001/0710, variabilní symbol 39712438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6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Prodlení pachtýře s úhradou pachtovného delší než 60 dnů se považuje za porušení smlouvy, které zakládá právo propachtovatele smlouvu vypovědět bez výpovědní doby (ustanovení § 2232 OZ).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6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Smluvní strany se dohodly, že propachtovatel je oprávněn vždy k 1. 10. běžného roku jednostranně zvýšit pachtovné o míru inflace vyjádřenou přírůstkem průměrného ročního indexu spotřebitelských cen vyhlášenou Českým statistickým úřadem za předcházející běžný rok.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Zvýšené pachtovné bude uplatněno písemným oznámením ze strany propachtovatele nejpozději do 1. 9. běžného roku, a to bez nutnosti uzavírat dodatek a pachtýř bude povinen novou výši pachtovného platit s účinností od nejbližší platby pachtovného.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Základem pro výpočet zvýšeného pachtovného bude pachtovné sjednané před tímto zvýšením.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rStyle w:val="CharStyle3"/>
        </w:rPr>
        <w:t>V 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  <w:r>
        <w:br w:type="page"/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62" w:val="left"/>
        </w:tabs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Smluvní strany sjednávají odlišně od § 2337 OZ to, že pachtýř nemá právo na slevu z pachtovného nebo prominutí pachtovného ve vazbě na to, že k pozemku, který je předmětem pachtu dle této smlouvy, není zajištěn přístup.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7" w:name="bookmark7"/>
      <w:r>
        <w:rPr>
          <w:rStyle w:val="CharStyle10"/>
          <w:b/>
          <w:bCs/>
        </w:rPr>
        <w:t>ČI. VI</w:t>
      </w:r>
      <w:bookmarkEnd w:id="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860" w:right="0" w:hanging="860"/>
        <w:jc w:val="left"/>
      </w:pPr>
      <w:r>
        <w:rPr>
          <w:rStyle w:val="CharStyle3"/>
        </w:rPr>
        <w:t xml:space="preserve">Pokud je na propachtovaném pozemku zřízeno </w:t>
      </w:r>
      <w:r>
        <w:rPr>
          <w:rStyle w:val="CharStyle3"/>
          <w:lang w:val="sk-SK" w:eastAsia="sk-SK" w:bidi="sk-SK"/>
        </w:rPr>
        <w:t xml:space="preserve">meliorační </w:t>
      </w:r>
      <w:r>
        <w:rPr>
          <w:rStyle w:val="CharStyle3"/>
        </w:rPr>
        <w:t>zařízení, pachtýř se zavazuje: - u melioračních zařízení umístěných pod povrchem půdy zajistit jejich údržbu, - k hlavním melioračním zařízením umožnit přístup za účelem provedení údržby.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9" w:name="bookmark9"/>
      <w:r>
        <w:rPr>
          <w:rStyle w:val="CharStyle10"/>
          <w:b/>
          <w:bCs/>
        </w:rPr>
        <w:t>ČI. VII</w:t>
      </w:r>
      <w:bookmarkEnd w:id="9"/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Pachtýř bere na vědomí a je srozuměn s tím, že pozemek, který je předmětem pachtu dle této smlouvy, může být propachtovatelem převeden na třetí osoby v souladu sjeho dispozičním oprávněním. V případě změny vlastnictví platí ustanovení § 2221 a § 2222 OZ.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4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Pachtýř bere na vědomí a je srozuměn </w:t>
      </w:r>
      <w:r>
        <w:rPr>
          <w:rStyle w:val="CharStyle3"/>
          <w:lang w:val="sk-SK" w:eastAsia="sk-SK" w:bidi="sk-SK"/>
        </w:rPr>
        <w:t xml:space="preserve">s </w:t>
      </w:r>
      <w:r>
        <w:rPr>
          <w:rStyle w:val="CharStyle3"/>
        </w:rPr>
        <w:t>tím, že k pozemku, který je předmětem pachtu dle této smlouvy, nemá zajištěn přístup a tuto smlouvu uzavírá s tím, že si přístup zajistí bez toho, aby mohl požadovat po propachtovateli jakékoli plnění.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1" w:name="bookmark11"/>
      <w:r>
        <w:rPr>
          <w:rStyle w:val="CharStyle10"/>
          <w:b/>
          <w:bCs/>
        </w:rPr>
        <w:t>ČI. Vlil</w:t>
      </w:r>
      <w:bookmarkEnd w:id="1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Pachtýř je oprávněn propachtovaný pozemek nebo jeho část, některé z nich nebo jejich části propachtovat nebo dát do užívání třetí osobě jen s předchozím písemným souhlasem propachtovatele.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3" w:name="bookmark13"/>
      <w:r>
        <w:rPr>
          <w:rStyle w:val="CharStyle10"/>
          <w:b/>
          <w:bCs/>
        </w:rPr>
        <w:t>ČI. IX</w:t>
      </w:r>
      <w:bookmarkEnd w:id="1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 xml:space="preserve">Propachtovatel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propachtovatel zavazuje dodržovat po celou dobu trvání </w:t>
      </w:r>
      <w:r>
        <w:rPr>
          <w:rStyle w:val="CharStyle3"/>
          <w:lang w:val="sk-SK" w:eastAsia="sk-SK" w:bidi="sk-SK"/>
        </w:rPr>
        <w:t xml:space="preserve">škartační </w:t>
      </w:r>
      <w:r>
        <w:rPr>
          <w:rStyle w:val="CharStyle3"/>
        </w:rPr>
        <w:t>lhůty ve smyslu § 2 písm. s) zákona č. 499/2004 Sb., o archivnictví a spisové službě a o změně některých zákonů, ve znění pozdějších předpisů.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5" w:name="bookmark15"/>
      <w:r>
        <w:rPr>
          <w:rStyle w:val="CharStyle10"/>
          <w:b/>
          <w:bCs/>
        </w:rPr>
        <w:t>ČI. X</w:t>
      </w:r>
      <w:bookmarkEnd w:id="15"/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4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Smluvní strany se dohodly, že jakékoliv změny a doplňky této smlouvy jsou možné pouze písemnou formou dodatku k této smlouvě, a to na základě dohody smluv, stran, není-li stanoveno jinak.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44" w:val="left"/>
        </w:tabs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Smluvní strany jsou povinny se vzájemně informovat o jakékoli změně údajů týkajících se jejich specifikace jako smluvní strany této smlouvy, a to nejpozději do 30 dnů ode dne změny.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7" w:name="bookmark17"/>
      <w:r>
        <w:rPr>
          <w:rStyle w:val="CharStyle10"/>
          <w:b/>
          <w:bCs/>
        </w:rPr>
        <w:t>ČI. XI</w:t>
      </w:r>
      <w:bookmarkEnd w:id="1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Tato smlouva je vyhotovena ve 2 stejnopisech, z nichž každý má platnost originálu. Jeden stejnopis přebírá pachtýř a jeden je určen pro propachtovatele.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9" w:name="bookmark19"/>
      <w:r>
        <w:rPr>
          <w:rStyle w:val="CharStyle10"/>
          <w:b/>
          <w:bCs/>
        </w:rPr>
        <w:t>ČI. XII</w:t>
      </w:r>
      <w:bookmarkEnd w:id="1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Tato smlouva nabývá platnosti dnem podpisu smluvními stranami a účinnosti dnem uvedeným v ČI.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Uveřejnění této smlouvy v registru smluv zajistí propachtovatel.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1" w:name="bookmark21"/>
      <w:r>
        <w:rPr>
          <w:rStyle w:val="CharStyle10"/>
          <w:b/>
          <w:bCs/>
        </w:rPr>
        <w:t>ČI. XIII</w:t>
      </w:r>
      <w:bookmarkEnd w:id="2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Smluvní strany po přečtení této smlouvy prohlašují, že s jejím obsahem souhlasí a že tato smlouva je shodným projevem jejich vážné a svobodné vůle, a na důkaz toho připojují své podpisy.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V Litoměřicích, dne 25. 11. 2024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601" w:right="736" w:bottom="904" w:left="638" w:header="173" w:footer="476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402590" distB="0" distL="0" distR="0" simplePos="0" relativeHeight="125829378" behindDoc="0" locked="0" layoutInCell="1" allowOverlap="1">
                <wp:simplePos x="0" y="0"/>
                <wp:positionH relativeFrom="page">
                  <wp:posOffset>577850</wp:posOffset>
                </wp:positionH>
                <wp:positionV relativeFrom="paragraph">
                  <wp:posOffset>402590</wp:posOffset>
                </wp:positionV>
                <wp:extent cx="1783080" cy="654050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83080" cy="654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0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Ing. Lenka Drábová vedoucí Pobočky Litoměřice Státní pozemkový úřad propachtovatel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5.5pt;margin-top:31.699999999999999pt;width:140.40000000000001pt;height:51.5pt;z-index:-125829375;mso-wrap-distance-left:0;mso-wrap-distance-top:31.699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00"/>
                        <w:jc w:val="left"/>
                      </w:pPr>
                      <w:r>
                        <w:rPr>
                          <w:rStyle w:val="CharStyle3"/>
                        </w:rPr>
                        <w:t>Ing. Lenka Drábová vedoucí Pobočky Litoměřice Státní pozemkový úřad propachtovatel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93700" distB="8890" distL="0" distR="0" simplePos="0" relativeHeight="125829380" behindDoc="0" locked="0" layoutInCell="1" allowOverlap="1">
                <wp:simplePos x="0" y="0"/>
                <wp:positionH relativeFrom="page">
                  <wp:posOffset>4185285</wp:posOffset>
                </wp:positionH>
                <wp:positionV relativeFrom="paragraph">
                  <wp:posOffset>393700</wp:posOffset>
                </wp:positionV>
                <wp:extent cx="1929130" cy="65405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29130" cy="654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0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Ing. Ivo Kadeřábek AGROKOMPLEX OHŘE a.s. člen představenstva a ředitel pachtýř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29.55000000000001pt;margin-top:31.pt;width:151.90000000000001pt;height:51.5pt;z-index:-125829373;mso-wrap-distance-left:0;mso-wrap-distance-top:31.pt;mso-wrap-distance-right:0;mso-wrap-distance-bottom:0.70000000000000007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00"/>
                        <w:jc w:val="left"/>
                      </w:pPr>
                      <w:r>
                        <w:rPr>
                          <w:rStyle w:val="CharStyle3"/>
                        </w:rPr>
                        <w:t>Ing. Ivo Kadeřábek AGROKOMPLEX OHŘE a.s. člen představenstva a ředitel pachtýř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25" w:lineRule="exact"/>
        <w:rPr>
          <w:sz w:val="10"/>
          <w:szCs w:val="10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39" w:right="0" w:bottom="639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39" w:right="746" w:bottom="639" w:left="638" w:header="0" w:footer="3" w:gutter="0"/>
          <w:cols w:space="720"/>
          <w:noEndnote/>
          <w:rtlGutter w:val="0"/>
          <w:docGrid w:linePitch="360"/>
        </w:sectPr>
      </w:pPr>
      <w:r>
        <w:rPr>
          <w:rStyle w:val="CharStyle3"/>
        </w:rPr>
        <w:t>Za správnost: Bc. Daniela Vašáková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3"/>
        </w:rPr>
        <w:t>Tato pachtovní smlouva byla uveřejněna v registru smluv dle zákona č. 340/2015 Sb., o zvláštních podmínkách účinnosti některých smluv, uveřejňování těchto smluv a o registru smluv (zákon o registru smluv), ve znění pozdějších předpisů.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99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Datum registrace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99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ID smlouvy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99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ID verze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both"/>
      </w:pPr>
      <w:r>
        <w:rPr>
          <w:rStyle w:val="CharStyle3"/>
        </w:rPr>
        <w:t>Registraci provedl Bc. Daniela Vašáková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3424" w:val="left"/>
          <w:tab w:leader="dot" w:pos="849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V Litoměřicích, dne </w:t>
        <w:tab/>
        <w:t xml:space="preserve">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5860" w:right="0" w:firstLine="0"/>
        <w:jc w:val="both"/>
      </w:pPr>
      <w:r>
        <w:rPr>
          <w:rStyle w:val="CharStyle3"/>
        </w:rPr>
        <w:t>Bc. Daniela Vašáková</w:t>
      </w:r>
    </w:p>
    <w:sectPr>
      <w:footnotePr>
        <w:pos w:val="pageBottom"/>
        <w:numFmt w:val="decimal"/>
        <w:numRestart w:val="continuous"/>
      </w:footnotePr>
      <w:pgSz w:w="11900" w:h="16840"/>
      <w:pgMar w:top="883" w:right="760" w:bottom="883" w:left="649" w:header="455" w:footer="455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7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Body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Heading #1_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0">
    <w:name w:val="Heading #2_"/>
    <w:basedOn w:val="DefaultParagraphFont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styleId="Style2">
    <w:name w:val="Body text"/>
    <w:basedOn w:val="Normal"/>
    <w:link w:val="CharStyle3"/>
    <w:qFormat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Heading #1"/>
    <w:basedOn w:val="Normal"/>
    <w:link w:val="CharStyle6"/>
    <w:pPr>
      <w:widowControl w:val="0"/>
      <w:shd w:val="clear" w:color="auto" w:fill="auto"/>
      <w:spacing w:after="9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9">
    <w:name w:val="Heading #2"/>
    <w:basedOn w:val="Normal"/>
    <w:link w:val="CharStyle10"/>
    <w:pPr>
      <w:widowControl w:val="0"/>
      <w:shd w:val="clear" w:color="auto" w:fill="auto"/>
      <w:jc w:val="center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0050AA46F26A241125112819</dc:title>
  <dc:subject/>
  <dc:creator>vasakovad</dc:creator>
  <cp:keywords/>
</cp:coreProperties>
</file>