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1046/2022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„ŠP Hasištejn – rekonstrukce přehrážky 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2069465" cy="15303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1530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4.pt;width:162.95000000000002pt;height:120.5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820420" distL="0" distR="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177800</wp:posOffset>
                </wp:positionV>
                <wp:extent cx="2225040" cy="7099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2.10000000000002pt;margin-top:14.pt;width:175.20000000000002pt;height:55.899999999999999pt;z-index:-125829373;mso-wrap-distance-left:0;mso-wrap-distance-top:14.pt;mso-wrap-distance-right:0;mso-wrap-distance-bottom:64.5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„objednatel“).</w:t>
      </w:r>
    </w:p>
    <w:p>
      <w:pPr>
        <w:pStyle w:val="Style11"/>
        <w:keepNext/>
        <w:keepLines/>
        <w:widowControl w:val="0"/>
        <w:shd w:val="clear" w:color="auto" w:fill="auto"/>
        <w:tabs>
          <w:tab w:pos="4205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AV ProENVI, s.r.o.</w:t>
      </w:r>
      <w:bookmarkEnd w:id="0"/>
      <w:bookmarkEnd w:id="1"/>
      <w:bookmarkEnd w:id="2"/>
    </w:p>
    <w:p>
      <w:pPr>
        <w:pStyle w:val="Style11"/>
        <w:keepNext/>
        <w:keepLines/>
        <w:widowControl w:val="0"/>
        <w:shd w:val="clear" w:color="auto" w:fill="auto"/>
        <w:tabs>
          <w:tab w:pos="4205" w:val="left"/>
        </w:tabs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Kolonka 118/8, 165 00 Praha 6 - Lysolaje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 oprávněn(i) jednat o věcech technických:</w:t>
      </w:r>
      <w:bookmarkEnd w:id="6"/>
      <w:bookmarkEnd w:id="7"/>
    </w:p>
    <w:p>
      <w:pPr>
        <w:pStyle w:val="Style11"/>
        <w:keepNext/>
        <w:keepLines/>
        <w:widowControl w:val="0"/>
        <w:shd w:val="clear" w:color="auto" w:fill="auto"/>
        <w:tabs>
          <w:tab w:pos="4205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28364643</w:t>
      </w:r>
      <w:bookmarkEnd w:id="10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CZ28364643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rejstříku, vedeného Městským soudem v Praze oddíl C, vložka 136333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89" w:bottom="146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 dodatek je zažádáno z důvodu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ednání závodové i podnikové investiční komise a z nich vyplývajících závěrů spočívající ve změně technického řešení rekonstrukce objektu.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s přihlédnutím k změně technického řešení, vyžadující opětovné provedení některých posudků a posouzení, zhotovitel žádá o navýšení ceny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Dodatkem jsou řešeny změny v legislativě.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díla, ČI. III. Termíny plnění a Čl. IV. Cena a Čl. V. Platební podmínky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1" w:val="left"/>
        </w:tabs>
        <w:bidi w:val="0"/>
        <w:spacing w:before="0" w:after="180" w:line="240" w:lineRule="auto"/>
        <w:ind w:left="0" w:right="0" w:firstLine="0"/>
        <w:jc w:val="center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DÍLO A ZPŮSOB PROVEDENÍ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5" w:val="left"/>
        </w:tabs>
        <w:bidi w:val="0"/>
        <w:spacing w:before="0" w:after="180" w:line="240" w:lineRule="auto"/>
        <w:ind w:left="0" w:right="0" w:firstLine="0"/>
        <w:jc w:val="center"/>
      </w:pPr>
      <w:bookmarkStart w:id="12" w:name="bookmark12"/>
      <w:bookmarkEnd w:id="1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300"/>
        <w:jc w:val="both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1" w:val="left"/>
        </w:tabs>
        <w:bidi w:val="0"/>
        <w:spacing w:before="0" w:after="180" w:line="254" w:lineRule="auto"/>
        <w:ind w:left="300" w:right="0" w:firstLine="0"/>
        <w:jc w:val="both"/>
        <w:rPr>
          <w:sz w:val="18"/>
          <w:szCs w:val="18"/>
        </w:rPr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zahájení prací na předmětu plnění: bez zbytečného odkladu, nejpozději však do 10 týdnů po nabytí účinnosti smlouvy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2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9" w:val="left"/>
        </w:tabs>
        <w:bidi w:val="0"/>
        <w:spacing w:before="0" w:line="240" w:lineRule="auto"/>
        <w:ind w:left="580" w:right="0" w:hanging="28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plnění v den protokolárního předání a převzetí geodetického zaměření a geologického průzkumu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9" w:val="left"/>
        </w:tabs>
        <w:bidi w:val="0"/>
        <w:spacing w:before="0" w:line="240" w:lineRule="auto"/>
        <w:ind w:left="580" w:right="0" w:hanging="28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- předání kompletní PD (2 x tištěné + 1 x elektronicky) po projednání na ZVV: nejpozději do 3 měsíců od předání biologického průzkumu - 11.10.2024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9" w:val="left"/>
        </w:tabs>
        <w:bidi w:val="0"/>
        <w:spacing w:before="0" w:after="0" w:line="240" w:lineRule="auto"/>
        <w:ind w:left="0" w:right="0" w:firstLine="26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260"/>
        <w:jc w:val="both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20"/>
      <w:bookmarkEnd w:id="21"/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bez zbytečného odkladu, nejpozději však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7" w:val="left"/>
        </w:tabs>
        <w:bidi w:val="0"/>
        <w:spacing w:before="0" w:line="240" w:lineRule="auto"/>
        <w:ind w:left="720" w:right="0" w:hanging="34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plnění v den protokolárního předání a převzetí geodetického zaměření a geologického průzkumu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62" w:val="left"/>
        </w:tabs>
        <w:bidi w:val="0"/>
        <w:spacing w:before="0" w:line="240" w:lineRule="auto"/>
        <w:ind w:left="720" w:right="0" w:hanging="34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- předání kompletní PD (2 x tištěné + elektronicky) po projednání na ZVV: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28.02.2025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29" w:val="left"/>
        </w:tabs>
        <w:bidi w:val="0"/>
        <w:spacing w:before="0" w:after="300" w:line="240" w:lineRule="auto"/>
        <w:ind w:left="3560" w:right="0" w:firstLine="0"/>
        <w:jc w:val="both"/>
      </w:pPr>
      <w:bookmarkStart w:id="27" w:name="bookmark27"/>
      <w:bookmarkEnd w:id="2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 495 000,-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zahrnuje veškeré náklady zhotovitele související s realizací díla,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navyšuje se o 53 000,00 Kč bez DPH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32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548 000,00 Kč bez DPH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28" w:name="bookmark28"/>
      <w:bookmarkStart w:id="29" w:name="bookmark29"/>
      <w:bookmarkStart w:id="30" w:name="bookmark3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PLATEBNÍ PODMÍNKY</w:t>
      </w:r>
      <w:bookmarkEnd w:id="28"/>
      <w:bookmarkEnd w:id="29"/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line="240" w:lineRule="auto"/>
        <w:ind w:left="720" w:right="0" w:hanging="42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prvního dílčího plnění dnem protokolárního předání a převzetí geodetického zaměření a geologického průzkumu ve výši 100 %, tj. 76 300,- Kč bez DPH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720" w:right="0" w:hanging="42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druhého dílčího plnění dnem protokolárního předání a převzetí kompletní PD ve výši 80 % z částky 418 700,- Kč, tj. 334 960,- Kč bez DPH.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1291" w:left="1394" w:right="1384" w:bottom="1133" w:header="0" w:footer="705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Stránka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6" w:val="left"/>
        </w:tabs>
        <w:bidi w:val="0"/>
        <w:spacing w:before="0" w:after="480" w:line="240" w:lineRule="auto"/>
        <w:ind w:left="720" w:right="0" w:hanging="42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celkového plnění dnem podpisu „Rozhodnutí“ o schválení PD stupně generálním ředitelem Povodí Ohře, s. p., po předchozím projednání v dokumentační komisi a předáním zbylých paré ve výši zbývajících 20 % z částky 418 700,- Kč, tj. 83 740,- Kč bez DPH. Schválení PD v DK je povinen objednatel oznámit zhotoviteli do 5 pracovních dnů po podpisu Rozhodnutí generálním ředitelem Povodí Ohře,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6" w:val="left"/>
        </w:tabs>
        <w:bidi w:val="0"/>
        <w:spacing w:before="0" w:line="252" w:lineRule="auto"/>
        <w:ind w:left="720" w:right="0" w:hanging="42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prvního dílčího plnění dnem protokolárního předání a převzetí geodetického zaměření a geologického průzkumu ve výši 100 %,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76 300,- Kč bez DPH - vyfakturováno a uhrazeno dne 25.03.2024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6" w:val="left"/>
        </w:tabs>
        <w:bidi w:val="0"/>
        <w:spacing w:before="0" w:line="254" w:lineRule="auto"/>
        <w:ind w:left="720" w:right="0" w:hanging="42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druhého dílčího plnění dnem protokolárního předání a převzetí kompletní PD ve výši 80 % z částky 471 700,-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377 360,-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6" w:val="left"/>
        </w:tabs>
        <w:bidi w:val="0"/>
        <w:spacing w:before="0" w:after="960" w:line="240" w:lineRule="auto"/>
        <w:ind w:left="720" w:right="0" w:hanging="420"/>
        <w:jc w:val="both"/>
        <w:rPr>
          <w:sz w:val="24"/>
          <w:szCs w:val="24"/>
        </w:rPr>
      </w:pPr>
      <w:bookmarkStart w:id="36" w:name="bookmark36"/>
      <w:bookmarkEnd w:id="3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případě celkového plnění dnem podpisu „Rozhodnutí“ o schválení PD stupně generálním ředitelem Povodí Ohře, s. p., po předchozím projednání v dokumentační komisi a předáním zbylých paré ve výši zbývajících 20 % z částky 471 700,- Kč,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tj. 94 340,- Kč bez DPH.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Schválení PD v DK je povinen objednatel oznámit zhotoviteli do 5 pracovních dnů po podpisu Rozhodnutí generálním ředitelem Povodí Ohře, s. p.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1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4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960" w:line="240" w:lineRule="auto"/>
        <w:ind w:left="440" w:right="0" w:hanging="44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1301" w:left="1394" w:right="1389" w:bottom="206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19785" cy="228600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7.40000000000003pt;margin-top:1.pt;width:64.549999999999997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01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01" w:left="1394" w:right="2935" w:bottom="1421" w:header="0" w:footer="3" w:gutter="0"/>
          <w:cols w:num="2" w:space="228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 ProENVI, s.r.o. zhotovitel (podpis, razítko)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01" w:left="1394" w:right="2935" w:bottom="1421" w:header="0" w:footer="3" w:gutter="0"/>
      <w:cols w:num="2" w:space="2284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1.69999999999999pt;margin-top:770.85000000000002pt;width:53.050000000000004pt;height:12.9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5106670</wp:posOffset>
              </wp:positionH>
              <wp:positionV relativeFrom="page">
                <wp:posOffset>438785</wp:posOffset>
              </wp:positionV>
              <wp:extent cx="1554480" cy="15557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448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4 k SoD 1046/2022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02.10000000000002pt;margin-top:34.550000000000004pt;width:122.40000000000001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4 k SoD 1046/2022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5106670</wp:posOffset>
              </wp:positionH>
              <wp:positionV relativeFrom="page">
                <wp:posOffset>438785</wp:posOffset>
              </wp:positionV>
              <wp:extent cx="1554480" cy="1555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448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4 k SoD 1046/2022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02.10000000000002pt;margin-top:34.550000000000004pt;width:122.40000000000001pt;height:12.2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4 k SoD 1046/2022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5106670</wp:posOffset>
              </wp:positionH>
              <wp:positionV relativeFrom="page">
                <wp:posOffset>438785</wp:posOffset>
              </wp:positionV>
              <wp:extent cx="1554480" cy="1555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4480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Dodatek č. 4 k SoD 1046/2022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02.10000000000002pt;margin-top:34.550000000000004pt;width:122.40000000000001pt;height:12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Dodatek č. 4 k SoD 1046/2022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90"/>
      <w:ind w:firstLine="2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20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