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3670BB79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212536">
        <w:rPr>
          <w:rFonts w:ascii="Arial" w:hAnsi="Arial" w:cs="Arial"/>
          <w:b/>
          <w:sz w:val="24"/>
          <w:szCs w:val="24"/>
        </w:rPr>
        <w:t>2024/5565/NM</w:t>
      </w:r>
    </w:p>
    <w:p w14:paraId="06B8D81D" w14:textId="1CAD77CC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D82C29">
        <w:rPr>
          <w:rFonts w:ascii="Arial" w:hAnsi="Arial" w:cs="Arial"/>
          <w:b/>
          <w:sz w:val="24"/>
          <w:szCs w:val="24"/>
        </w:rPr>
        <w:t>241593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73FA3685" w:rsidR="00135BB1" w:rsidRPr="00587D3E" w:rsidRDefault="00FC6FFB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CSF, s.r.o.</w:t>
      </w:r>
    </w:p>
    <w:p w14:paraId="03EBA5F8" w14:textId="7034563F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FC6FFB">
        <w:rPr>
          <w:rFonts w:ascii="Arial" w:hAnsi="Arial" w:cs="Arial"/>
          <w:sz w:val="24"/>
          <w:szCs w:val="24"/>
        </w:rPr>
        <w:t>Střelecká 672</w:t>
      </w:r>
      <w:r w:rsidR="00721041">
        <w:rPr>
          <w:rFonts w:ascii="Arial" w:hAnsi="Arial" w:cs="Arial"/>
          <w:sz w:val="24"/>
          <w:szCs w:val="24"/>
        </w:rPr>
        <w:t xml:space="preserve">/14, 500 02 Hradec Králové </w:t>
      </w:r>
    </w:p>
    <w:p w14:paraId="03EBA5F9" w14:textId="111A5172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22753F">
        <w:rPr>
          <w:rFonts w:ascii="Arial" w:hAnsi="Arial" w:cs="Arial"/>
          <w:color w:val="1A1A18"/>
          <w:szCs w:val="24"/>
        </w:rPr>
        <w:t>25289462</w:t>
      </w:r>
      <w:r w:rsidR="007825B1" w:rsidRPr="00587D3E">
        <w:rPr>
          <w:rFonts w:ascii="Arial" w:hAnsi="Arial" w:cs="Arial"/>
          <w:szCs w:val="24"/>
        </w:rPr>
        <w:t>, DIČ:</w:t>
      </w:r>
      <w:r w:rsidR="0022753F">
        <w:rPr>
          <w:rFonts w:ascii="Arial" w:hAnsi="Arial" w:cs="Arial"/>
          <w:szCs w:val="24"/>
        </w:rPr>
        <w:t>CZ25289462</w:t>
      </w:r>
    </w:p>
    <w:p w14:paraId="1579206B" w14:textId="3732D82F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093F18">
        <w:rPr>
          <w:rFonts w:ascii="Arial" w:hAnsi="Arial" w:cs="Arial"/>
          <w:sz w:val="24"/>
          <w:szCs w:val="24"/>
        </w:rPr>
        <w:t>xxxxxxxxxxxxxxxxxxxxxxxxxx</w:t>
      </w:r>
    </w:p>
    <w:p w14:paraId="03EBA5FA" w14:textId="2F40D46E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</w:t>
      </w:r>
      <w:r w:rsidR="00D525D0">
        <w:rPr>
          <w:rFonts w:ascii="Arial" w:hAnsi="Arial" w:cs="Arial"/>
          <w:sz w:val="24"/>
          <w:szCs w:val="24"/>
        </w:rPr>
        <w:t>toupena</w:t>
      </w:r>
      <w:r w:rsidR="00EC43F5">
        <w:rPr>
          <w:rFonts w:ascii="Arial" w:hAnsi="Arial" w:cs="Arial"/>
          <w:sz w:val="24"/>
          <w:szCs w:val="24"/>
        </w:rPr>
        <w:t>: Tomášem Pavelkou, jednatelem</w:t>
      </w:r>
    </w:p>
    <w:p w14:paraId="03EBA5FB" w14:textId="2DBA80E3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CE17AE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EC43F5" w:rsidRPr="00CE17AE">
        <w:rPr>
          <w:rFonts w:ascii="Arial" w:hAnsi="Arial" w:cs="Arial"/>
          <w:sz w:val="24"/>
          <w:szCs w:val="24"/>
        </w:rPr>
        <w:t xml:space="preserve">u Krajského soudu </w:t>
      </w:r>
      <w:r w:rsidRPr="00CE17AE">
        <w:rPr>
          <w:rFonts w:ascii="Arial" w:hAnsi="Arial" w:cs="Arial"/>
          <w:sz w:val="24"/>
          <w:szCs w:val="24"/>
        </w:rPr>
        <w:t>v</w:t>
      </w:r>
      <w:r w:rsidR="00CE17AE" w:rsidRPr="00CE17AE">
        <w:rPr>
          <w:rFonts w:ascii="Arial" w:hAnsi="Arial" w:cs="Arial"/>
          <w:sz w:val="24"/>
          <w:szCs w:val="24"/>
        </w:rPr>
        <w:t> Hradci Králové</w:t>
      </w:r>
      <w:r w:rsidRPr="00CE17AE">
        <w:rPr>
          <w:rFonts w:ascii="Arial" w:hAnsi="Arial" w:cs="Arial"/>
          <w:sz w:val="24"/>
          <w:szCs w:val="24"/>
        </w:rPr>
        <w:t xml:space="preserve"> oddíl</w:t>
      </w:r>
      <w:r w:rsidR="00CE17AE" w:rsidRPr="00CE17AE">
        <w:rPr>
          <w:rFonts w:ascii="Arial" w:hAnsi="Arial" w:cs="Arial"/>
          <w:sz w:val="24"/>
          <w:szCs w:val="24"/>
        </w:rPr>
        <w:t xml:space="preserve"> C</w:t>
      </w:r>
      <w:r w:rsidRPr="00CE17AE">
        <w:rPr>
          <w:rFonts w:ascii="Arial" w:hAnsi="Arial" w:cs="Arial"/>
          <w:sz w:val="24"/>
          <w:szCs w:val="24"/>
        </w:rPr>
        <w:t>, vložka</w:t>
      </w:r>
      <w:r w:rsidR="00CE17AE" w:rsidRPr="00CE17AE">
        <w:rPr>
          <w:rFonts w:ascii="Arial" w:hAnsi="Arial" w:cs="Arial"/>
          <w:sz w:val="24"/>
          <w:szCs w:val="24"/>
        </w:rPr>
        <w:t xml:space="preserve"> 13316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22C33370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DA1414">
        <w:rPr>
          <w:rFonts w:ascii="Arial" w:hAnsi="Arial" w:cs="Arial"/>
          <w:sz w:val="24"/>
          <w:szCs w:val="24"/>
        </w:rPr>
        <w:t>240304, N006/24/V00035980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1E1A2078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</w:t>
      </w:r>
      <w:r w:rsidR="00DA1414">
        <w:rPr>
          <w:rFonts w:cs="Arial"/>
          <w:szCs w:val="24"/>
        </w:rPr>
        <w:t>o 30 dnů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44F68B3B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0D6C58">
        <w:rPr>
          <w:rFonts w:cs="Arial"/>
          <w:szCs w:val="24"/>
        </w:rPr>
        <w:t>676.200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771CD6">
        <w:rPr>
          <w:rFonts w:cs="Arial"/>
          <w:szCs w:val="24"/>
        </w:rPr>
        <w:t>142.002,-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771CD6">
        <w:rPr>
          <w:rFonts w:cs="Arial"/>
          <w:szCs w:val="24"/>
        </w:rPr>
        <w:t>818.202,-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0D28C3E9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</w:t>
            </w:r>
            <w:r w:rsidR="0073645B">
              <w:rPr>
                <w:rFonts w:ascii="Arial" w:hAnsi="Arial" w:cs="Arial"/>
                <w:sz w:val="24"/>
                <w:szCs w:val="24"/>
              </w:rPr>
              <w:t> Hradci Králové</w:t>
            </w:r>
            <w:r w:rsidRPr="00587D3E">
              <w:rPr>
                <w:rFonts w:ascii="Arial" w:hAnsi="Arial" w:cs="Arial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596DFB50" w:rsidR="006B0546" w:rsidRPr="00587D3E" w:rsidRDefault="00B167F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B2084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0EAD4325" w14:textId="77777777" w:rsidR="00B167FC" w:rsidRDefault="00B167FC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3937283" w:rsidR="00B167FC" w:rsidRPr="00587D3E" w:rsidRDefault="00B167F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5407C633" w:rsidR="006B0546" w:rsidRPr="00587D3E" w:rsidRDefault="0073645B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Tomáš Pavelka,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90ED28C" w:rsidR="00EB6B79" w:rsidRPr="00587D3E" w:rsidRDefault="00C921F4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Ing. Martin Souček, PhD., ředitel Odboru</w:t>
            </w:r>
            <w:r w:rsidR="00745AD0">
              <w:rPr>
                <w:rFonts w:ascii="Arial" w:hAnsi="Arial" w:cs="Arial"/>
                <w:i/>
                <w:sz w:val="24"/>
                <w:szCs w:val="24"/>
              </w:rPr>
              <w:t xml:space="preserve"> digitalizace a informačních systémů 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7EDDC5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261D8C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419F88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BFC07C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6F7552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264B1B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A68BD0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3A3517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0B499D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4A2C5D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BCD2DC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BF22F9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71A38A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0C97EC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B8315C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915C3F" w14:textId="6812FD1F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1 – Specifikace VZ </w:t>
      </w:r>
    </w:p>
    <w:p w14:paraId="0C304E7E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A0605A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2794"/>
        <w:gridCol w:w="710"/>
        <w:gridCol w:w="1248"/>
      </w:tblGrid>
      <w:tr w:rsidR="00D670F9" w14:paraId="017A3F6C" w14:textId="77777777" w:rsidTr="00D670F9">
        <w:trPr>
          <w:trHeight w:hRule="exact" w:val="250"/>
        </w:trPr>
        <w:tc>
          <w:tcPr>
            <w:tcW w:w="3730" w:type="dxa"/>
            <w:shd w:val="clear" w:color="auto" w:fill="FFFFFF"/>
          </w:tcPr>
          <w:p w14:paraId="2704947D" w14:textId="77777777" w:rsidR="00D670F9" w:rsidRDefault="00D670F9" w:rsidP="00D670F9">
            <w:pPr>
              <w:pStyle w:val="Other10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2D58AD"/>
                <w:sz w:val="17"/>
                <w:szCs w:val="17"/>
                <w:u w:val="single"/>
              </w:rPr>
              <w:t>HW- knihovna</w:t>
            </w:r>
          </w:p>
        </w:tc>
        <w:tc>
          <w:tcPr>
            <w:tcW w:w="2794" w:type="dxa"/>
            <w:shd w:val="clear" w:color="auto" w:fill="FFFFFF"/>
          </w:tcPr>
          <w:p w14:paraId="75C137D4" w14:textId="77777777" w:rsidR="00D670F9" w:rsidRDefault="00D670F9" w:rsidP="00D670F9">
            <w:pPr>
              <w:pStyle w:val="Other10"/>
              <w:ind w:left="148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cena/ks bez DPH</w:t>
            </w:r>
          </w:p>
        </w:tc>
        <w:tc>
          <w:tcPr>
            <w:tcW w:w="710" w:type="dxa"/>
            <w:shd w:val="clear" w:color="auto" w:fill="FFFFFF"/>
          </w:tcPr>
          <w:p w14:paraId="1087B79B" w14:textId="77777777" w:rsidR="00D670F9" w:rsidRDefault="00D670F9" w:rsidP="00D670F9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nnožství</w:t>
            </w:r>
          </w:p>
        </w:tc>
        <w:tc>
          <w:tcPr>
            <w:tcW w:w="1248" w:type="dxa"/>
            <w:shd w:val="clear" w:color="auto" w:fill="FFFFFF"/>
          </w:tcPr>
          <w:p w14:paraId="419B64E3" w14:textId="77777777" w:rsidR="00D670F9" w:rsidRDefault="00D670F9" w:rsidP="00D670F9">
            <w:pPr>
              <w:pStyle w:val="Other10"/>
              <w:ind w:right="22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celkem bez DPH</w:t>
            </w:r>
          </w:p>
        </w:tc>
      </w:tr>
      <w:tr w:rsidR="00D670F9" w14:paraId="5D6ED51D" w14:textId="77777777" w:rsidTr="00D670F9">
        <w:trPr>
          <w:trHeight w:hRule="exact" w:val="485"/>
        </w:trPr>
        <w:tc>
          <w:tcPr>
            <w:tcW w:w="65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DFB560" w14:textId="77777777" w:rsidR="00D670F9" w:rsidRDefault="00D670F9" w:rsidP="00D670F9">
            <w:pPr>
              <w:pStyle w:val="Other10"/>
              <w:tabs>
                <w:tab w:val="left" w:pos="5539"/>
              </w:tabs>
              <w:spacing w:after="60"/>
            </w:pPr>
            <w:r>
              <w:rPr>
                <w:b/>
                <w:bCs/>
                <w:color w:val="000000"/>
                <w:sz w:val="16"/>
                <w:szCs w:val="16"/>
              </w:rPr>
              <w:t>HPE StoreEver MSL3040 0 Drive 40 Slot Tape Library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color w:val="000000"/>
              </w:rPr>
              <w:t>521 217 Kč</w:t>
            </w:r>
          </w:p>
          <w:p w14:paraId="263E04FC" w14:textId="77777777" w:rsidR="00D670F9" w:rsidRDefault="00D670F9" w:rsidP="00D670F9">
            <w:pPr>
              <w:pStyle w:val="Other10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rackmount (3U) pásková knihovna; Ox pásková mechanika; max, 3x HH pásková mechanika;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4520613" w14:textId="77777777" w:rsidR="00D670F9" w:rsidRDefault="00D670F9" w:rsidP="00D670F9">
            <w:pPr>
              <w:pStyle w:val="Other10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ks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14:paraId="49BFC82A" w14:textId="77777777" w:rsidR="00D670F9" w:rsidRDefault="00D670F9" w:rsidP="00D670F9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521 217 Kč</w:t>
            </w:r>
          </w:p>
        </w:tc>
      </w:tr>
      <w:tr w:rsidR="00D670F9" w14:paraId="52134AC9" w14:textId="77777777" w:rsidTr="00D670F9">
        <w:trPr>
          <w:trHeight w:hRule="exact" w:val="211"/>
        </w:trPr>
        <w:tc>
          <w:tcPr>
            <w:tcW w:w="3730" w:type="dxa"/>
            <w:shd w:val="clear" w:color="auto" w:fill="FFFFFF"/>
          </w:tcPr>
          <w:p w14:paraId="7FF29BEA" w14:textId="77777777" w:rsidR="00D670F9" w:rsidRDefault="00D670F9" w:rsidP="00D670F9">
            <w:pPr>
              <w:pStyle w:val="Other10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kapacita 40x médium</w:t>
            </w:r>
          </w:p>
        </w:tc>
        <w:tc>
          <w:tcPr>
            <w:tcW w:w="4752" w:type="dxa"/>
            <w:gridSpan w:val="3"/>
            <w:shd w:val="clear" w:color="auto" w:fill="FFFFFF"/>
          </w:tcPr>
          <w:p w14:paraId="19544CCE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225EFE3B" w14:textId="77777777" w:rsidTr="00D670F9">
        <w:trPr>
          <w:trHeight w:hRule="exact" w:val="283"/>
        </w:trPr>
        <w:tc>
          <w:tcPr>
            <w:tcW w:w="6524" w:type="dxa"/>
            <w:gridSpan w:val="2"/>
            <w:shd w:val="clear" w:color="auto" w:fill="FFFFFF"/>
          </w:tcPr>
          <w:p w14:paraId="4928D397" w14:textId="77777777" w:rsidR="00D670F9" w:rsidRDefault="00D670F9" w:rsidP="00D670F9">
            <w:pPr>
              <w:pStyle w:val="Other10"/>
            </w:pPr>
            <w:r>
              <w:rPr>
                <w:color w:val="000000"/>
              </w:rPr>
              <w:t>HPE Ultrium 45000 SAS Drive Upgrade Kit - Ultrium 45000 SAS</w:t>
            </w:r>
          </w:p>
        </w:tc>
        <w:tc>
          <w:tcPr>
            <w:tcW w:w="710" w:type="dxa"/>
            <w:shd w:val="clear" w:color="auto" w:fill="FFFFFF"/>
          </w:tcPr>
          <w:p w14:paraId="3E4A2824" w14:textId="77777777" w:rsidR="00D670F9" w:rsidRDefault="00D670F9" w:rsidP="00D670F9">
            <w:pPr>
              <w:pStyle w:val="Other10"/>
              <w:ind w:firstLine="220"/>
              <w:jc w:val="both"/>
            </w:pPr>
            <w:r>
              <w:rPr>
                <w:color w:val="000000"/>
              </w:rPr>
              <w:t>2 ks</w:t>
            </w:r>
          </w:p>
        </w:tc>
        <w:tc>
          <w:tcPr>
            <w:tcW w:w="1248" w:type="dxa"/>
            <w:shd w:val="clear" w:color="auto" w:fill="FFFFFF"/>
          </w:tcPr>
          <w:p w14:paraId="3DF2B037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530D6C2F" w14:textId="77777777" w:rsidTr="00D670F9">
        <w:trPr>
          <w:trHeight w:hRule="exact" w:val="1171"/>
        </w:trPr>
        <w:tc>
          <w:tcPr>
            <w:tcW w:w="6524" w:type="dxa"/>
            <w:gridSpan w:val="2"/>
            <w:shd w:val="clear" w:color="auto" w:fill="FFFFFF"/>
            <w:vAlign w:val="bottom"/>
          </w:tcPr>
          <w:p w14:paraId="314BE584" w14:textId="77777777" w:rsidR="00D670F9" w:rsidRDefault="00D670F9" w:rsidP="00D670F9">
            <w:pPr>
              <w:pStyle w:val="Other10"/>
              <w:spacing w:after="120"/>
            </w:pPr>
            <w:r>
              <w:rPr>
                <w:color w:val="000000"/>
              </w:rPr>
              <w:t>HPE Redundantní napájecí zdroj pro knihovnu MSL3040</w:t>
            </w:r>
          </w:p>
          <w:p w14:paraId="47B0C8C0" w14:textId="77777777" w:rsidR="00D670F9" w:rsidRDefault="00D670F9" w:rsidP="00D670F9">
            <w:pPr>
              <w:pStyle w:val="Other10"/>
              <w:spacing w:after="120"/>
            </w:pPr>
            <w:r>
              <w:rPr>
                <w:color w:val="000000"/>
              </w:rPr>
              <w:t>HPE Ext 2.0m MiniSAS HD-MiniSAS HD Cbl</w:t>
            </w:r>
          </w:p>
          <w:p w14:paraId="641258BF" w14:textId="77777777" w:rsidR="00D670F9" w:rsidRDefault="00D670F9" w:rsidP="00D670F9">
            <w:pPr>
              <w:pStyle w:val="Other10"/>
              <w:spacing w:after="120"/>
            </w:pPr>
            <w:r>
              <w:rPr>
                <w:color w:val="000000"/>
              </w:rPr>
              <w:t>HPE LTO-9 45TB RW Non Cust Lbl 20 pack</w:t>
            </w:r>
          </w:p>
          <w:p w14:paraId="2EE37FEA" w14:textId="77777777" w:rsidR="00D670F9" w:rsidRDefault="00D670F9" w:rsidP="00D670F9">
            <w:pPr>
              <w:pStyle w:val="Other10"/>
              <w:spacing w:after="120"/>
            </w:pPr>
            <w:r>
              <w:rPr>
                <w:color w:val="000000"/>
              </w:rPr>
              <w:t>HPE Ultrium Universal Cleaning Cartridge</w:t>
            </w:r>
          </w:p>
        </w:tc>
        <w:tc>
          <w:tcPr>
            <w:tcW w:w="710" w:type="dxa"/>
            <w:shd w:val="clear" w:color="auto" w:fill="FFFFFF"/>
            <w:vAlign w:val="bottom"/>
          </w:tcPr>
          <w:p w14:paraId="68AEF664" w14:textId="77777777" w:rsidR="00D670F9" w:rsidRDefault="00D670F9" w:rsidP="00D670F9">
            <w:pPr>
              <w:pStyle w:val="Other10"/>
              <w:numPr>
                <w:ilvl w:val="0"/>
                <w:numId w:val="14"/>
              </w:numPr>
              <w:tabs>
                <w:tab w:val="left" w:pos="345"/>
              </w:tabs>
              <w:spacing w:after="120"/>
              <w:ind w:firstLine="220"/>
              <w:jc w:val="both"/>
            </w:pPr>
            <w:r>
              <w:rPr>
                <w:color w:val="000000"/>
              </w:rPr>
              <w:t>ks</w:t>
            </w:r>
          </w:p>
          <w:p w14:paraId="1B2F57FC" w14:textId="77777777" w:rsidR="00D670F9" w:rsidRDefault="00D670F9" w:rsidP="00D670F9">
            <w:pPr>
              <w:pStyle w:val="Other10"/>
              <w:numPr>
                <w:ilvl w:val="0"/>
                <w:numId w:val="14"/>
              </w:numPr>
              <w:tabs>
                <w:tab w:val="left" w:pos="354"/>
              </w:tabs>
              <w:spacing w:after="120"/>
              <w:ind w:firstLine="220"/>
              <w:jc w:val="both"/>
            </w:pPr>
            <w:r>
              <w:rPr>
                <w:color w:val="000000"/>
              </w:rPr>
              <w:t>ks</w:t>
            </w:r>
          </w:p>
          <w:p w14:paraId="024F297B" w14:textId="77777777" w:rsidR="00D670F9" w:rsidRDefault="00D670F9" w:rsidP="00D670F9">
            <w:pPr>
              <w:pStyle w:val="Other10"/>
              <w:spacing w:after="120"/>
              <w:ind w:firstLine="220"/>
              <w:jc w:val="both"/>
            </w:pPr>
            <w:r>
              <w:rPr>
                <w:color w:val="000000"/>
              </w:rPr>
              <w:t>4 ks</w:t>
            </w:r>
          </w:p>
          <w:p w14:paraId="31F6F960" w14:textId="77777777" w:rsidR="00D670F9" w:rsidRDefault="00D670F9" w:rsidP="00D670F9">
            <w:pPr>
              <w:pStyle w:val="Other10"/>
              <w:spacing w:after="120"/>
              <w:ind w:firstLine="220"/>
              <w:jc w:val="both"/>
            </w:pPr>
            <w:r>
              <w:rPr>
                <w:color w:val="000000"/>
              </w:rPr>
              <w:t>1 ks</w:t>
            </w:r>
          </w:p>
        </w:tc>
        <w:tc>
          <w:tcPr>
            <w:tcW w:w="1248" w:type="dxa"/>
            <w:shd w:val="clear" w:color="auto" w:fill="FFFFFF"/>
          </w:tcPr>
          <w:p w14:paraId="6AC9995D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2309351D" w14:textId="77777777" w:rsidTr="00D670F9">
        <w:trPr>
          <w:trHeight w:hRule="exact" w:val="283"/>
        </w:trPr>
        <w:tc>
          <w:tcPr>
            <w:tcW w:w="6524" w:type="dxa"/>
            <w:gridSpan w:val="2"/>
            <w:shd w:val="clear" w:color="auto" w:fill="FFFFFF"/>
          </w:tcPr>
          <w:p w14:paraId="44FC3A64" w14:textId="77777777" w:rsidR="00D670F9" w:rsidRDefault="00D670F9" w:rsidP="00D670F9">
            <w:pPr>
              <w:pStyle w:val="Other10"/>
            </w:pPr>
            <w:r>
              <w:rPr>
                <w:color w:val="000000"/>
              </w:rPr>
              <w:t>HPE 5-letá servisní podpora HPE Tech Care Basic - zásah NBD</w:t>
            </w:r>
          </w:p>
        </w:tc>
        <w:tc>
          <w:tcPr>
            <w:tcW w:w="710" w:type="dxa"/>
            <w:shd w:val="clear" w:color="auto" w:fill="FFFFFF"/>
          </w:tcPr>
          <w:p w14:paraId="1B58D6B6" w14:textId="77777777" w:rsidR="00D670F9" w:rsidRDefault="00D670F9" w:rsidP="00D670F9">
            <w:pPr>
              <w:pStyle w:val="Other10"/>
              <w:ind w:firstLine="220"/>
              <w:jc w:val="both"/>
            </w:pPr>
            <w:r>
              <w:rPr>
                <w:color w:val="000000"/>
              </w:rPr>
              <w:t>1 ks</w:t>
            </w:r>
          </w:p>
        </w:tc>
        <w:tc>
          <w:tcPr>
            <w:tcW w:w="1248" w:type="dxa"/>
            <w:shd w:val="clear" w:color="auto" w:fill="FFFFFF"/>
          </w:tcPr>
          <w:p w14:paraId="3A31C96D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4C51939D" w14:textId="77777777" w:rsidTr="00D670F9">
        <w:trPr>
          <w:trHeight w:hRule="exact" w:val="283"/>
        </w:trPr>
        <w:tc>
          <w:tcPr>
            <w:tcW w:w="3730" w:type="dxa"/>
            <w:shd w:val="clear" w:color="auto" w:fill="FFFFFF"/>
          </w:tcPr>
          <w:p w14:paraId="33475D32" w14:textId="77777777" w:rsidR="00D670F9" w:rsidRDefault="00D670F9" w:rsidP="00D670F9">
            <w:pPr>
              <w:pStyle w:val="Other10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2D58AD"/>
                <w:sz w:val="17"/>
                <w:szCs w:val="17"/>
                <w:u w:val="single"/>
              </w:rPr>
              <w:t>HW - server</w:t>
            </w:r>
          </w:p>
        </w:tc>
        <w:tc>
          <w:tcPr>
            <w:tcW w:w="4752" w:type="dxa"/>
            <w:gridSpan w:val="3"/>
            <w:shd w:val="clear" w:color="auto" w:fill="FFFFFF"/>
          </w:tcPr>
          <w:p w14:paraId="53CF21D4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121F1534" w14:textId="77777777" w:rsidTr="00D670F9">
        <w:trPr>
          <w:trHeight w:hRule="exact" w:val="538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FFFFFF"/>
          </w:tcPr>
          <w:p w14:paraId="7098C074" w14:textId="77777777" w:rsidR="00D670F9" w:rsidRDefault="00D670F9" w:rsidP="00D670F9">
            <w:pPr>
              <w:pStyle w:val="Other10"/>
              <w:spacing w:after="6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HPE ProLiant DL360 Genii</w:t>
            </w:r>
          </w:p>
          <w:p w14:paraId="2F1C1ADA" w14:textId="77777777" w:rsidR="00D670F9" w:rsidRDefault="00D670F9" w:rsidP="00D670F9">
            <w:pPr>
              <w:pStyle w:val="Other10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4510 2.4GHz 12c IP 64GB-R 8SFF MR408Í-O 2x960GB</w:t>
            </w:r>
          </w:p>
        </w:tc>
        <w:tc>
          <w:tcPr>
            <w:tcW w:w="2794" w:type="dxa"/>
            <w:shd w:val="clear" w:color="auto" w:fill="FFFFFF"/>
          </w:tcPr>
          <w:p w14:paraId="643EE8A5" w14:textId="77777777" w:rsidR="00D670F9" w:rsidRDefault="00D670F9" w:rsidP="00D670F9">
            <w:pPr>
              <w:pStyle w:val="Other10"/>
              <w:spacing w:after="60"/>
              <w:ind w:left="1900"/>
            </w:pPr>
            <w:r>
              <w:rPr>
                <w:color w:val="000000"/>
              </w:rPr>
              <w:t>154 983 Kč</w:t>
            </w:r>
          </w:p>
          <w:p w14:paraId="5C6FFEC5" w14:textId="77777777" w:rsidR="00D670F9" w:rsidRDefault="00D670F9" w:rsidP="00D670F9">
            <w:pPr>
              <w:pStyle w:val="Other1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SSD 2X1000W PS EMEA Server</w:t>
            </w:r>
          </w:p>
        </w:tc>
        <w:tc>
          <w:tcPr>
            <w:tcW w:w="710" w:type="dxa"/>
            <w:shd w:val="clear" w:color="auto" w:fill="FFFFFF"/>
          </w:tcPr>
          <w:p w14:paraId="4F8DBCEF" w14:textId="77777777" w:rsidR="00D670F9" w:rsidRDefault="00D670F9" w:rsidP="00D670F9">
            <w:pPr>
              <w:pStyle w:val="Other10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ks</w:t>
            </w:r>
          </w:p>
        </w:tc>
        <w:tc>
          <w:tcPr>
            <w:tcW w:w="1248" w:type="dxa"/>
            <w:shd w:val="clear" w:color="auto" w:fill="FFFFFF"/>
          </w:tcPr>
          <w:p w14:paraId="0B95EFD9" w14:textId="77777777" w:rsidR="00D670F9" w:rsidRDefault="00D670F9" w:rsidP="00D670F9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154 983 Kč</w:t>
            </w:r>
          </w:p>
        </w:tc>
      </w:tr>
      <w:tr w:rsidR="00D670F9" w14:paraId="03D3F0CC" w14:textId="77777777" w:rsidTr="00D670F9">
        <w:trPr>
          <w:trHeight w:hRule="exact" w:val="614"/>
        </w:trPr>
        <w:tc>
          <w:tcPr>
            <w:tcW w:w="6524" w:type="dxa"/>
            <w:gridSpan w:val="2"/>
            <w:shd w:val="clear" w:color="auto" w:fill="FFFFFF"/>
            <w:vAlign w:val="bottom"/>
          </w:tcPr>
          <w:p w14:paraId="4D7D164D" w14:textId="77777777" w:rsidR="00D670F9" w:rsidRDefault="00D670F9" w:rsidP="00D670F9">
            <w:pPr>
              <w:pStyle w:val="Other10"/>
              <w:spacing w:line="422" w:lineRule="auto"/>
            </w:pPr>
            <w:r>
              <w:rPr>
                <w:color w:val="000000"/>
              </w:rPr>
              <w:t>HPE 2,4TB SAS 12G Mission Critical 10KSFF BC 3yr Wty pevný disk HPE Smart Array E208e RAID kontrolér</w:t>
            </w:r>
          </w:p>
        </w:tc>
        <w:tc>
          <w:tcPr>
            <w:tcW w:w="710" w:type="dxa"/>
            <w:shd w:val="clear" w:color="auto" w:fill="FFFFFF"/>
            <w:vAlign w:val="bottom"/>
          </w:tcPr>
          <w:p w14:paraId="52CD5A78" w14:textId="77777777" w:rsidR="00D670F9" w:rsidRDefault="00D670F9" w:rsidP="00D670F9">
            <w:pPr>
              <w:pStyle w:val="Other10"/>
              <w:spacing w:after="120"/>
              <w:ind w:firstLine="220"/>
              <w:jc w:val="both"/>
            </w:pPr>
            <w:r>
              <w:rPr>
                <w:color w:val="000000"/>
              </w:rPr>
              <w:t>2 ks</w:t>
            </w:r>
          </w:p>
          <w:p w14:paraId="2B1486E9" w14:textId="77777777" w:rsidR="00D670F9" w:rsidRDefault="00D670F9" w:rsidP="00D670F9">
            <w:pPr>
              <w:pStyle w:val="Other10"/>
              <w:ind w:firstLine="220"/>
              <w:jc w:val="both"/>
            </w:pPr>
            <w:r>
              <w:rPr>
                <w:color w:val="000000"/>
              </w:rPr>
              <w:t>1 ks</w:t>
            </w:r>
          </w:p>
        </w:tc>
        <w:tc>
          <w:tcPr>
            <w:tcW w:w="1248" w:type="dxa"/>
            <w:shd w:val="clear" w:color="auto" w:fill="FFFFFF"/>
          </w:tcPr>
          <w:p w14:paraId="4D885FE7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3F3114FD" w14:textId="77777777" w:rsidTr="00D670F9">
        <w:trPr>
          <w:trHeight w:hRule="exact" w:val="869"/>
        </w:trPr>
        <w:tc>
          <w:tcPr>
            <w:tcW w:w="6524" w:type="dxa"/>
            <w:gridSpan w:val="2"/>
            <w:shd w:val="clear" w:color="auto" w:fill="FFFFFF"/>
            <w:vAlign w:val="bottom"/>
          </w:tcPr>
          <w:p w14:paraId="74C96759" w14:textId="77777777" w:rsidR="00D670F9" w:rsidRDefault="00D670F9" w:rsidP="00D670F9">
            <w:pPr>
              <w:pStyle w:val="Other10"/>
              <w:spacing w:after="120"/>
            </w:pPr>
            <w:r>
              <w:rPr>
                <w:color w:val="000000"/>
              </w:rPr>
              <w:t>HPE Broadcom BCM57414 Ethernet 10/25GĎ 2-port SFP28 adaptér</w:t>
            </w:r>
          </w:p>
          <w:p w14:paraId="6D8EA5BC" w14:textId="77777777" w:rsidR="00D670F9" w:rsidRDefault="00D670F9" w:rsidP="00D670F9">
            <w:pPr>
              <w:pStyle w:val="Other10"/>
              <w:spacing w:after="120"/>
            </w:pPr>
            <w:r>
              <w:rPr>
                <w:color w:val="000000"/>
              </w:rPr>
              <w:t>HPE BLc 10G SFP+ SFP+ 3m DAC Cable</w:t>
            </w:r>
          </w:p>
          <w:p w14:paraId="1479066D" w14:textId="77777777" w:rsidR="00D670F9" w:rsidRDefault="00D670F9" w:rsidP="00D670F9">
            <w:pPr>
              <w:pStyle w:val="Other10"/>
              <w:spacing w:after="120"/>
            </w:pPr>
            <w:r>
              <w:rPr>
                <w:color w:val="000000"/>
              </w:rPr>
              <w:t>HPE Integrated Lights-Out (iLO) Advanced licence</w:t>
            </w:r>
          </w:p>
        </w:tc>
        <w:tc>
          <w:tcPr>
            <w:tcW w:w="710" w:type="dxa"/>
            <w:shd w:val="clear" w:color="auto" w:fill="FFFFFF"/>
            <w:vAlign w:val="bottom"/>
          </w:tcPr>
          <w:p w14:paraId="01F83115" w14:textId="77777777" w:rsidR="00D670F9" w:rsidRDefault="00D670F9" w:rsidP="00D670F9">
            <w:pPr>
              <w:pStyle w:val="Other10"/>
              <w:numPr>
                <w:ilvl w:val="0"/>
                <w:numId w:val="15"/>
              </w:numPr>
              <w:tabs>
                <w:tab w:val="left" w:pos="345"/>
              </w:tabs>
              <w:spacing w:after="120"/>
              <w:ind w:firstLine="220"/>
              <w:jc w:val="both"/>
            </w:pPr>
            <w:r>
              <w:rPr>
                <w:color w:val="000000"/>
              </w:rPr>
              <w:t>ks</w:t>
            </w:r>
          </w:p>
          <w:p w14:paraId="297FAFEC" w14:textId="77777777" w:rsidR="00D670F9" w:rsidRDefault="00D670F9" w:rsidP="00D670F9">
            <w:pPr>
              <w:pStyle w:val="Other10"/>
              <w:numPr>
                <w:ilvl w:val="0"/>
                <w:numId w:val="15"/>
              </w:numPr>
              <w:tabs>
                <w:tab w:val="left" w:pos="354"/>
              </w:tabs>
              <w:spacing w:after="120"/>
              <w:ind w:firstLine="220"/>
              <w:jc w:val="both"/>
            </w:pPr>
            <w:r>
              <w:rPr>
                <w:color w:val="000000"/>
              </w:rPr>
              <w:t>ks</w:t>
            </w:r>
          </w:p>
          <w:p w14:paraId="228CBA8B" w14:textId="77777777" w:rsidR="00D670F9" w:rsidRDefault="00D670F9" w:rsidP="00D670F9">
            <w:pPr>
              <w:pStyle w:val="Other10"/>
              <w:spacing w:after="120"/>
              <w:ind w:firstLine="220"/>
              <w:jc w:val="both"/>
            </w:pPr>
            <w:r>
              <w:rPr>
                <w:color w:val="000000"/>
              </w:rPr>
              <w:t>1 ks</w:t>
            </w:r>
          </w:p>
        </w:tc>
        <w:tc>
          <w:tcPr>
            <w:tcW w:w="1248" w:type="dxa"/>
            <w:shd w:val="clear" w:color="auto" w:fill="FFFFFF"/>
          </w:tcPr>
          <w:p w14:paraId="0BDD2DC2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41D2DBD3" w14:textId="77777777" w:rsidTr="00D670F9">
        <w:trPr>
          <w:trHeight w:hRule="exact" w:val="283"/>
        </w:trPr>
        <w:tc>
          <w:tcPr>
            <w:tcW w:w="6524" w:type="dxa"/>
            <w:gridSpan w:val="2"/>
            <w:shd w:val="clear" w:color="auto" w:fill="FFFFFF"/>
            <w:vAlign w:val="bottom"/>
          </w:tcPr>
          <w:p w14:paraId="58FEF983" w14:textId="77777777" w:rsidR="00D670F9" w:rsidRDefault="00D670F9" w:rsidP="00D670F9">
            <w:pPr>
              <w:pStyle w:val="Other10"/>
            </w:pPr>
            <w:r>
              <w:rPr>
                <w:color w:val="000000"/>
              </w:rPr>
              <w:t>HPE 5-letá servisní podpora HPE Tech Care Basic - zásah NBD</w:t>
            </w:r>
          </w:p>
        </w:tc>
        <w:tc>
          <w:tcPr>
            <w:tcW w:w="710" w:type="dxa"/>
            <w:shd w:val="clear" w:color="auto" w:fill="FFFFFF"/>
            <w:vAlign w:val="bottom"/>
          </w:tcPr>
          <w:p w14:paraId="48B6FAFE" w14:textId="77777777" w:rsidR="00D670F9" w:rsidRDefault="00D670F9" w:rsidP="00D670F9">
            <w:pPr>
              <w:pStyle w:val="Other10"/>
              <w:ind w:firstLine="220"/>
              <w:jc w:val="both"/>
            </w:pPr>
            <w:r>
              <w:rPr>
                <w:color w:val="000000"/>
              </w:rPr>
              <w:t>1 ks</w:t>
            </w:r>
          </w:p>
        </w:tc>
        <w:tc>
          <w:tcPr>
            <w:tcW w:w="1248" w:type="dxa"/>
            <w:shd w:val="clear" w:color="auto" w:fill="FFFFFF"/>
          </w:tcPr>
          <w:p w14:paraId="2EC7CB66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449DB8C4" w14:textId="77777777" w:rsidTr="00D670F9">
        <w:trPr>
          <w:trHeight w:hRule="exact" w:val="336"/>
        </w:trPr>
        <w:tc>
          <w:tcPr>
            <w:tcW w:w="6524" w:type="dxa"/>
            <w:gridSpan w:val="2"/>
            <w:shd w:val="clear" w:color="auto" w:fill="FFFFFF"/>
          </w:tcPr>
          <w:p w14:paraId="51480A57" w14:textId="77777777" w:rsidR="00D670F9" w:rsidRDefault="00D670F9" w:rsidP="00D670F9">
            <w:pPr>
              <w:pStyle w:val="Other10"/>
            </w:pPr>
            <w:r>
              <w:rPr>
                <w:color w:val="000000"/>
              </w:rPr>
              <w:t>HPE 5-letá Tech Care Essential iLO Advance Non Blade 3 year Service</w:t>
            </w:r>
          </w:p>
        </w:tc>
        <w:tc>
          <w:tcPr>
            <w:tcW w:w="710" w:type="dxa"/>
            <w:shd w:val="clear" w:color="auto" w:fill="FFFFFF"/>
          </w:tcPr>
          <w:p w14:paraId="53C17988" w14:textId="77777777" w:rsidR="00D670F9" w:rsidRDefault="00D670F9" w:rsidP="00D670F9">
            <w:pPr>
              <w:pStyle w:val="Other10"/>
              <w:ind w:firstLine="220"/>
              <w:jc w:val="both"/>
            </w:pPr>
            <w:r>
              <w:rPr>
                <w:color w:val="000000"/>
              </w:rPr>
              <w:t>1 ks</w:t>
            </w:r>
          </w:p>
        </w:tc>
        <w:tc>
          <w:tcPr>
            <w:tcW w:w="1248" w:type="dxa"/>
            <w:shd w:val="clear" w:color="auto" w:fill="FFFFFF"/>
          </w:tcPr>
          <w:p w14:paraId="40602CA6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</w:tr>
      <w:tr w:rsidR="00D670F9" w14:paraId="4D41E6FC" w14:textId="77777777" w:rsidTr="00D670F9">
        <w:trPr>
          <w:trHeight w:hRule="exact" w:val="293"/>
        </w:trPr>
        <w:tc>
          <w:tcPr>
            <w:tcW w:w="3730" w:type="dxa"/>
            <w:tcBorders>
              <w:top w:val="single" w:sz="4" w:space="0" w:color="auto"/>
            </w:tcBorders>
            <w:shd w:val="clear" w:color="auto" w:fill="FFFFFF"/>
          </w:tcPr>
          <w:p w14:paraId="71C61696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5D5B19" w14:textId="77777777" w:rsidR="00D670F9" w:rsidRDefault="00D670F9" w:rsidP="00D670F9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Celkem bez DPH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37CA96C" w14:textId="77777777" w:rsidR="00D670F9" w:rsidRDefault="00D670F9" w:rsidP="00D670F9">
            <w:pPr>
              <w:pStyle w:val="Other10"/>
              <w:jc w:val="right"/>
            </w:pPr>
            <w:r>
              <w:rPr>
                <w:color w:val="2A5333"/>
              </w:rPr>
              <w:t>F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7C57D2" w14:textId="77777777" w:rsidR="00D670F9" w:rsidRDefault="00D670F9" w:rsidP="00D670F9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676 200,00 Kč</w:t>
            </w:r>
          </w:p>
        </w:tc>
      </w:tr>
      <w:tr w:rsidR="00D670F9" w14:paraId="5DA143C9" w14:textId="77777777" w:rsidTr="00D670F9">
        <w:trPr>
          <w:trHeight w:hRule="exact" w:val="874"/>
        </w:trPr>
        <w:tc>
          <w:tcPr>
            <w:tcW w:w="3730" w:type="dxa"/>
            <w:shd w:val="clear" w:color="auto" w:fill="FFFFFF"/>
          </w:tcPr>
          <w:p w14:paraId="74472743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14:paraId="68BA2DBF" w14:textId="77777777" w:rsidR="00D670F9" w:rsidRDefault="00D670F9" w:rsidP="00D670F9">
            <w:pPr>
              <w:pStyle w:val="Other10"/>
              <w:spacing w:after="100"/>
              <w:ind w:right="580"/>
              <w:jc w:val="right"/>
            </w:pPr>
            <w:r>
              <w:rPr>
                <w:color w:val="000000"/>
              </w:rPr>
              <w:t>DPH</w:t>
            </w:r>
          </w:p>
          <w:p w14:paraId="4979F4B1" w14:textId="77777777" w:rsidR="00D670F9" w:rsidRDefault="00D670F9" w:rsidP="00D670F9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Celkem vč. DPH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6AD1140" w14:textId="77777777" w:rsidR="00D670F9" w:rsidRDefault="00D670F9" w:rsidP="00D670F9">
            <w:pPr>
              <w:pStyle w:val="Other10"/>
              <w:ind w:firstLine="180"/>
            </w:pPr>
            <w:r>
              <w:rPr>
                <w:color w:val="000000"/>
              </w:rPr>
              <w:t>21%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14:paraId="187BB41F" w14:textId="77777777" w:rsidR="00D670F9" w:rsidRDefault="00D670F9" w:rsidP="00D670F9">
            <w:pPr>
              <w:pStyle w:val="Other10"/>
              <w:spacing w:after="100"/>
              <w:jc w:val="right"/>
            </w:pPr>
            <w:r>
              <w:rPr>
                <w:color w:val="000000"/>
              </w:rPr>
              <w:t>142 002,00 Kč</w:t>
            </w:r>
          </w:p>
          <w:p w14:paraId="5CB9C401" w14:textId="77777777" w:rsidR="00D670F9" w:rsidRDefault="00D670F9" w:rsidP="00D670F9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818 202,00 Kč</w:t>
            </w:r>
          </w:p>
        </w:tc>
      </w:tr>
      <w:tr w:rsidR="00D670F9" w14:paraId="501FD5E7" w14:textId="77777777" w:rsidTr="00D670F9">
        <w:trPr>
          <w:trHeight w:hRule="exact" w:val="326"/>
        </w:trPr>
        <w:tc>
          <w:tcPr>
            <w:tcW w:w="3730" w:type="dxa"/>
            <w:shd w:val="clear" w:color="auto" w:fill="FFFFFF"/>
          </w:tcPr>
          <w:p w14:paraId="0EB265AB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D5D4D9"/>
            <w:vAlign w:val="bottom"/>
          </w:tcPr>
          <w:p w14:paraId="6CF2F6F5" w14:textId="77777777" w:rsidR="00D670F9" w:rsidRDefault="00D670F9" w:rsidP="00D670F9">
            <w:pPr>
              <w:pStyle w:val="Other10"/>
              <w:ind w:firstLine="20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5D4D9"/>
            <w:vAlign w:val="bottom"/>
          </w:tcPr>
          <w:p w14:paraId="3FF90ACB" w14:textId="77777777" w:rsidR="00D670F9" w:rsidRDefault="00D670F9" w:rsidP="00D670F9">
            <w:pPr>
              <w:pStyle w:val="Other10"/>
              <w:ind w:firstLine="26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676 200,00 Kč</w:t>
            </w:r>
          </w:p>
        </w:tc>
      </w:tr>
      <w:tr w:rsidR="00D670F9" w14:paraId="120A0EF3" w14:textId="77777777" w:rsidTr="00D670F9">
        <w:trPr>
          <w:trHeight w:hRule="exact" w:val="326"/>
        </w:trPr>
        <w:tc>
          <w:tcPr>
            <w:tcW w:w="3730" w:type="dxa"/>
            <w:shd w:val="clear" w:color="auto" w:fill="FFFFFF"/>
          </w:tcPr>
          <w:p w14:paraId="705DD5AF" w14:textId="77777777" w:rsidR="00D670F9" w:rsidRDefault="00D670F9" w:rsidP="00D670F9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5D4D9"/>
          </w:tcPr>
          <w:p w14:paraId="5ADB8173" w14:textId="77777777" w:rsidR="00D670F9" w:rsidRDefault="00D670F9" w:rsidP="00D670F9">
            <w:pPr>
              <w:pStyle w:val="Other10"/>
              <w:ind w:firstLine="20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celkem včetně DPH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5D4D9"/>
          </w:tcPr>
          <w:p w14:paraId="320201C1" w14:textId="77777777" w:rsidR="00D670F9" w:rsidRDefault="00D670F9" w:rsidP="00D670F9">
            <w:pPr>
              <w:pStyle w:val="Other10"/>
              <w:ind w:firstLine="26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818 202,00 Kč</w:t>
            </w:r>
          </w:p>
        </w:tc>
      </w:tr>
    </w:tbl>
    <w:p w14:paraId="222EB1E6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07B8A0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83EC1F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7C9C7A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17B093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85941E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AEB2BC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ED1D5B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15D6DD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D72E5E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0EDE3E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6ED3AE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7F1028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557BB0" w14:textId="77777777" w:rsidR="00745AD0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9BE2A7" w14:textId="77777777" w:rsidR="00745AD0" w:rsidRPr="00587D3E" w:rsidRDefault="00745AD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45AD0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85B48" w14:textId="77777777" w:rsidR="00236196" w:rsidRDefault="00236196">
      <w:r>
        <w:separator/>
      </w:r>
    </w:p>
  </w:endnote>
  <w:endnote w:type="continuationSeparator" w:id="0">
    <w:p w14:paraId="169D808A" w14:textId="77777777" w:rsidR="00236196" w:rsidRDefault="00236196">
      <w:r>
        <w:continuationSeparator/>
      </w:r>
    </w:p>
  </w:endnote>
  <w:endnote w:type="continuationNotice" w:id="1">
    <w:p w14:paraId="46B90301" w14:textId="77777777" w:rsidR="005A4EA4" w:rsidRDefault="005A4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689EA" w14:textId="77777777" w:rsidR="00236196" w:rsidRDefault="00236196">
      <w:r>
        <w:separator/>
      </w:r>
    </w:p>
  </w:footnote>
  <w:footnote w:type="continuationSeparator" w:id="0">
    <w:p w14:paraId="3EF44CF1" w14:textId="77777777" w:rsidR="00236196" w:rsidRDefault="00236196">
      <w:r>
        <w:continuationSeparator/>
      </w:r>
    </w:p>
  </w:footnote>
  <w:footnote w:type="continuationNotice" w:id="1">
    <w:p w14:paraId="4B9F2AD2" w14:textId="77777777" w:rsidR="005A4EA4" w:rsidRDefault="005A4E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93B2BF8"/>
    <w:multiLevelType w:val="multilevel"/>
    <w:tmpl w:val="02585A6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4F03DB"/>
    <w:multiLevelType w:val="multilevel"/>
    <w:tmpl w:val="1FCC553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3"/>
  </w:num>
  <w:num w:numId="2" w16cid:durableId="684936860">
    <w:abstractNumId w:val="10"/>
  </w:num>
  <w:num w:numId="3" w16cid:durableId="1238856995">
    <w:abstractNumId w:val="11"/>
  </w:num>
  <w:num w:numId="4" w16cid:durableId="501703196">
    <w:abstractNumId w:val="1"/>
  </w:num>
  <w:num w:numId="5" w16cid:durableId="974875113">
    <w:abstractNumId w:val="14"/>
  </w:num>
  <w:num w:numId="6" w16cid:durableId="1080060152">
    <w:abstractNumId w:val="3"/>
  </w:num>
  <w:num w:numId="7" w16cid:durableId="923026887">
    <w:abstractNumId w:val="12"/>
  </w:num>
  <w:num w:numId="8" w16cid:durableId="1929919030">
    <w:abstractNumId w:val="0"/>
  </w:num>
  <w:num w:numId="9" w16cid:durableId="326524034">
    <w:abstractNumId w:val="9"/>
  </w:num>
  <w:num w:numId="10" w16cid:durableId="557593275">
    <w:abstractNumId w:val="5"/>
  </w:num>
  <w:num w:numId="11" w16cid:durableId="1324890763">
    <w:abstractNumId w:val="6"/>
  </w:num>
  <w:num w:numId="12" w16cid:durableId="1310939029">
    <w:abstractNumId w:val="7"/>
  </w:num>
  <w:num w:numId="13" w16cid:durableId="188640278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195021">
    <w:abstractNumId w:val="2"/>
  </w:num>
  <w:num w:numId="15" w16cid:durableId="862018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3F18"/>
    <w:rsid w:val="00094D44"/>
    <w:rsid w:val="000A00EB"/>
    <w:rsid w:val="000B4ACC"/>
    <w:rsid w:val="000C5A20"/>
    <w:rsid w:val="000C61F6"/>
    <w:rsid w:val="000D6C58"/>
    <w:rsid w:val="00125B4F"/>
    <w:rsid w:val="00134E01"/>
    <w:rsid w:val="00135BB1"/>
    <w:rsid w:val="00171B43"/>
    <w:rsid w:val="00195BDA"/>
    <w:rsid w:val="001A2B7A"/>
    <w:rsid w:val="001D0730"/>
    <w:rsid w:val="001D40F1"/>
    <w:rsid w:val="002116E8"/>
    <w:rsid w:val="00212536"/>
    <w:rsid w:val="0022753F"/>
    <w:rsid w:val="00236196"/>
    <w:rsid w:val="0025451D"/>
    <w:rsid w:val="00254CB7"/>
    <w:rsid w:val="00266C0C"/>
    <w:rsid w:val="002759C2"/>
    <w:rsid w:val="00291328"/>
    <w:rsid w:val="002A0EA7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64B98"/>
    <w:rsid w:val="00377A24"/>
    <w:rsid w:val="00391EBA"/>
    <w:rsid w:val="003A16C2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A4EA4"/>
    <w:rsid w:val="005B1086"/>
    <w:rsid w:val="005E3F58"/>
    <w:rsid w:val="00636177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21041"/>
    <w:rsid w:val="00734455"/>
    <w:rsid w:val="00734668"/>
    <w:rsid w:val="0073645B"/>
    <w:rsid w:val="00745AD0"/>
    <w:rsid w:val="007677E5"/>
    <w:rsid w:val="00771CD6"/>
    <w:rsid w:val="007825B1"/>
    <w:rsid w:val="007A118E"/>
    <w:rsid w:val="007B0EBB"/>
    <w:rsid w:val="007B16BA"/>
    <w:rsid w:val="007B2994"/>
    <w:rsid w:val="007C4A67"/>
    <w:rsid w:val="007E5BDA"/>
    <w:rsid w:val="00807875"/>
    <w:rsid w:val="0082484E"/>
    <w:rsid w:val="008274ED"/>
    <w:rsid w:val="00830719"/>
    <w:rsid w:val="0084392A"/>
    <w:rsid w:val="008469AE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3769A"/>
    <w:rsid w:val="00957820"/>
    <w:rsid w:val="00996521"/>
    <w:rsid w:val="009A6026"/>
    <w:rsid w:val="009F2B03"/>
    <w:rsid w:val="00A23393"/>
    <w:rsid w:val="00A34FC3"/>
    <w:rsid w:val="00A55667"/>
    <w:rsid w:val="00A9632E"/>
    <w:rsid w:val="00AA51BA"/>
    <w:rsid w:val="00AB7062"/>
    <w:rsid w:val="00AD1433"/>
    <w:rsid w:val="00AE50A2"/>
    <w:rsid w:val="00B07093"/>
    <w:rsid w:val="00B167FC"/>
    <w:rsid w:val="00B2055B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921F4"/>
    <w:rsid w:val="00CB1B2A"/>
    <w:rsid w:val="00CC0185"/>
    <w:rsid w:val="00CC6DDA"/>
    <w:rsid w:val="00CE0D2D"/>
    <w:rsid w:val="00CE17AE"/>
    <w:rsid w:val="00D51A52"/>
    <w:rsid w:val="00D525D0"/>
    <w:rsid w:val="00D670F9"/>
    <w:rsid w:val="00D82C29"/>
    <w:rsid w:val="00DA1414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C43F5"/>
    <w:rsid w:val="00EE58A5"/>
    <w:rsid w:val="00EE5D21"/>
    <w:rsid w:val="00EF20C4"/>
    <w:rsid w:val="00EF659E"/>
    <w:rsid w:val="00F03C53"/>
    <w:rsid w:val="00F22E89"/>
    <w:rsid w:val="00F24517"/>
    <w:rsid w:val="00F403C2"/>
    <w:rsid w:val="00F46AA2"/>
    <w:rsid w:val="00FC6FFB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Other1">
    <w:name w:val="Other|1_"/>
    <w:basedOn w:val="Standardnpsmoodstavce"/>
    <w:link w:val="Other10"/>
    <w:rsid w:val="00D670F9"/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sid w:val="00D670F9"/>
    <w:pPr>
      <w:widowControl w:val="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E4F9-607B-44F8-B288-1CFDE34C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5</cp:revision>
  <cp:lastPrinted>2007-01-18T13:22:00Z</cp:lastPrinted>
  <dcterms:created xsi:type="dcterms:W3CDTF">2024-11-22T12:17:00Z</dcterms:created>
  <dcterms:modified xsi:type="dcterms:W3CDTF">2024-11-22T12:19:00Z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