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A2" w:rsidRDefault="007C4CA2"/>
    <w:p w:rsidR="007C4CA2" w:rsidRDefault="00577E59" w:rsidP="00577E59">
      <w:pPr>
        <w:tabs>
          <w:tab w:val="left" w:pos="330"/>
          <w:tab w:val="center" w:pos="4536"/>
        </w:tabs>
        <w:spacing w:line="360" w:lineRule="auto"/>
        <w:rPr>
          <w:b/>
          <w:sz w:val="28"/>
          <w:szCs w:val="28"/>
        </w:rPr>
      </w:pPr>
      <w:r w:rsidRPr="00577E59">
        <w:rPr>
          <w:b/>
          <w:sz w:val="28"/>
          <w:szCs w:val="28"/>
        </w:rPr>
        <w:tab/>
      </w:r>
      <w:r w:rsidRPr="00577E59">
        <w:rPr>
          <w:b/>
          <w:sz w:val="28"/>
          <w:szCs w:val="28"/>
        </w:rPr>
        <w:tab/>
      </w:r>
      <w:r w:rsidR="007C4CA2" w:rsidRPr="00577E59">
        <w:rPr>
          <w:b/>
          <w:sz w:val="28"/>
          <w:szCs w:val="28"/>
        </w:rPr>
        <w:t xml:space="preserve">DODATEK č. </w:t>
      </w:r>
      <w:r w:rsidR="007B5978">
        <w:rPr>
          <w:b/>
          <w:sz w:val="28"/>
          <w:szCs w:val="28"/>
        </w:rPr>
        <w:t>2</w:t>
      </w:r>
    </w:p>
    <w:p w:rsidR="008173AE" w:rsidRPr="008173AE" w:rsidRDefault="008173AE" w:rsidP="008173AE">
      <w:pPr>
        <w:tabs>
          <w:tab w:val="left" w:pos="330"/>
          <w:tab w:val="center" w:pos="4536"/>
        </w:tabs>
        <w:spacing w:line="360" w:lineRule="auto"/>
        <w:jc w:val="center"/>
        <w:rPr>
          <w:sz w:val="24"/>
          <w:szCs w:val="24"/>
        </w:rPr>
      </w:pPr>
      <w:r w:rsidRPr="008173AE">
        <w:rPr>
          <w:sz w:val="24"/>
          <w:szCs w:val="24"/>
        </w:rPr>
        <w:t>ev. č. DS201700831</w:t>
      </w:r>
    </w:p>
    <w:p w:rsidR="00E159FE" w:rsidRPr="00A717A1" w:rsidRDefault="000D3D38" w:rsidP="00887914">
      <w:pPr>
        <w:jc w:val="both"/>
        <w:rPr>
          <w:sz w:val="24"/>
          <w:szCs w:val="24"/>
        </w:rPr>
      </w:pPr>
      <w:r>
        <w:rPr>
          <w:sz w:val="24"/>
          <w:szCs w:val="24"/>
        </w:rPr>
        <w:t>K POVĚŘENÍ K POSKYTOVÁNÍ SLUŽEB OBECNÉHO HOSPODÁŘSKÉHO ZÁJMU</w:t>
      </w:r>
      <w:r w:rsidR="00BD2441" w:rsidRPr="00A717A1">
        <w:rPr>
          <w:sz w:val="24"/>
          <w:szCs w:val="24"/>
        </w:rPr>
        <w:t xml:space="preserve"> </w:t>
      </w:r>
      <w:r w:rsidR="00887914" w:rsidRPr="00A717A1">
        <w:rPr>
          <w:sz w:val="24"/>
          <w:szCs w:val="24"/>
        </w:rPr>
        <w:t xml:space="preserve">uzavřenému dne </w:t>
      </w:r>
      <w:r w:rsidR="00942BBA">
        <w:rPr>
          <w:sz w:val="24"/>
          <w:szCs w:val="24"/>
        </w:rPr>
        <w:t>2. 2</w:t>
      </w:r>
      <w:r w:rsidR="00887914" w:rsidRPr="00A717A1">
        <w:rPr>
          <w:sz w:val="24"/>
          <w:szCs w:val="24"/>
        </w:rPr>
        <w:t>. 201</w:t>
      </w:r>
      <w:r w:rsidR="00C9147F">
        <w:rPr>
          <w:sz w:val="24"/>
          <w:szCs w:val="24"/>
        </w:rPr>
        <w:t>7, ve znění dodatku č. 1 ze dne</w:t>
      </w:r>
      <w:r w:rsidR="00942BBA">
        <w:rPr>
          <w:sz w:val="24"/>
          <w:szCs w:val="24"/>
        </w:rPr>
        <w:t xml:space="preserve"> 5. 5. 2017</w:t>
      </w:r>
      <w:r>
        <w:rPr>
          <w:sz w:val="24"/>
          <w:szCs w:val="24"/>
        </w:rPr>
        <w:t xml:space="preserve"> </w:t>
      </w:r>
      <w:r w:rsidRPr="00A717A1">
        <w:rPr>
          <w:sz w:val="24"/>
          <w:szCs w:val="24"/>
        </w:rPr>
        <w:t>(dále jen „Pověření“)</w:t>
      </w:r>
      <w:r w:rsidR="00C9147F">
        <w:rPr>
          <w:sz w:val="24"/>
          <w:szCs w:val="24"/>
        </w:rPr>
        <w:t>,</w:t>
      </w:r>
      <w:r w:rsidR="00887914" w:rsidRPr="00A717A1">
        <w:rPr>
          <w:sz w:val="24"/>
          <w:szCs w:val="24"/>
        </w:rPr>
        <w:t xml:space="preserve"> mezi </w:t>
      </w:r>
    </w:p>
    <w:p w:rsidR="00887914" w:rsidRDefault="00887914" w:rsidP="00887914">
      <w:pPr>
        <w:jc w:val="both"/>
        <w:rPr>
          <w:sz w:val="28"/>
          <w:szCs w:val="28"/>
        </w:rPr>
      </w:pPr>
    </w:p>
    <w:p w:rsidR="008939A6" w:rsidRDefault="008939A6" w:rsidP="00887914">
      <w:pPr>
        <w:jc w:val="both"/>
        <w:rPr>
          <w:sz w:val="28"/>
          <w:szCs w:val="28"/>
        </w:rPr>
      </w:pPr>
    </w:p>
    <w:p w:rsidR="00153AE9" w:rsidRPr="00153AE9" w:rsidRDefault="00153AE9" w:rsidP="00153AE9">
      <w:pPr>
        <w:rPr>
          <w:b/>
          <w:sz w:val="24"/>
          <w:szCs w:val="24"/>
        </w:rPr>
      </w:pPr>
      <w:r w:rsidRPr="00153AE9">
        <w:rPr>
          <w:b/>
          <w:sz w:val="24"/>
          <w:szCs w:val="24"/>
        </w:rPr>
        <w:t>statutární město Liberec</w:t>
      </w:r>
    </w:p>
    <w:p w:rsidR="00153AE9" w:rsidRPr="00153AE9" w:rsidRDefault="00153AE9" w:rsidP="00153AE9">
      <w:pPr>
        <w:rPr>
          <w:sz w:val="24"/>
          <w:szCs w:val="24"/>
        </w:rPr>
      </w:pPr>
      <w:r w:rsidRPr="00153AE9">
        <w:rPr>
          <w:sz w:val="24"/>
          <w:szCs w:val="24"/>
        </w:rPr>
        <w:t xml:space="preserve">sídlo: nám. Dr.E.Beneše 1, Liberec 1, PSČ 460 59, </w:t>
      </w:r>
    </w:p>
    <w:p w:rsidR="00153AE9" w:rsidRPr="00153AE9" w:rsidRDefault="00153AE9" w:rsidP="00153AE9">
      <w:pPr>
        <w:rPr>
          <w:sz w:val="24"/>
          <w:szCs w:val="24"/>
        </w:rPr>
      </w:pPr>
      <w:r w:rsidRPr="00153AE9">
        <w:rPr>
          <w:sz w:val="24"/>
          <w:szCs w:val="24"/>
        </w:rPr>
        <w:t>IČ: 00262978</w:t>
      </w:r>
    </w:p>
    <w:p w:rsidR="00153AE9" w:rsidRPr="00153AE9" w:rsidRDefault="00153AE9" w:rsidP="00153AE9">
      <w:pPr>
        <w:rPr>
          <w:sz w:val="24"/>
          <w:szCs w:val="24"/>
        </w:rPr>
      </w:pPr>
      <w:r w:rsidRPr="00153AE9">
        <w:rPr>
          <w:sz w:val="24"/>
          <w:szCs w:val="24"/>
        </w:rPr>
        <w:t>zastoupené Tiborem Batthyánym, primátorem města</w:t>
      </w:r>
    </w:p>
    <w:p w:rsidR="00153AE9" w:rsidRPr="00153AE9" w:rsidRDefault="00153AE9" w:rsidP="00153AE9">
      <w:pPr>
        <w:rPr>
          <w:sz w:val="24"/>
          <w:szCs w:val="24"/>
        </w:rPr>
      </w:pPr>
      <w:r w:rsidRPr="00153AE9">
        <w:rPr>
          <w:sz w:val="24"/>
          <w:szCs w:val="24"/>
        </w:rPr>
        <w:t xml:space="preserve">číslo bankovního účtu: 108692/0800, vedený u ČS, a.s. Liberec </w:t>
      </w:r>
    </w:p>
    <w:p w:rsidR="00153AE9" w:rsidRPr="00153AE9" w:rsidRDefault="00153AE9" w:rsidP="00153AE9">
      <w:pPr>
        <w:rPr>
          <w:b/>
          <w:sz w:val="24"/>
          <w:szCs w:val="24"/>
        </w:rPr>
      </w:pPr>
      <w:r w:rsidRPr="00153AE9">
        <w:rPr>
          <w:b/>
          <w:sz w:val="24"/>
          <w:szCs w:val="24"/>
        </w:rPr>
        <w:t>jako pověřovatel</w:t>
      </w:r>
    </w:p>
    <w:p w:rsidR="00153AE9" w:rsidRDefault="00153AE9" w:rsidP="00153AE9">
      <w:pPr>
        <w:rPr>
          <w:sz w:val="24"/>
          <w:szCs w:val="24"/>
        </w:rPr>
      </w:pPr>
      <w:r w:rsidRPr="00153AE9">
        <w:rPr>
          <w:sz w:val="24"/>
          <w:szCs w:val="24"/>
        </w:rPr>
        <w:t>(dále jen „</w:t>
      </w:r>
      <w:r w:rsidRPr="00153AE9">
        <w:rPr>
          <w:b/>
          <w:sz w:val="24"/>
          <w:szCs w:val="24"/>
        </w:rPr>
        <w:t>SML</w:t>
      </w:r>
      <w:r w:rsidRPr="00153AE9">
        <w:rPr>
          <w:sz w:val="24"/>
          <w:szCs w:val="24"/>
        </w:rPr>
        <w:t>“)</w:t>
      </w:r>
    </w:p>
    <w:p w:rsidR="00153AE9" w:rsidRPr="00153AE9" w:rsidRDefault="00153AE9" w:rsidP="00153AE9">
      <w:pPr>
        <w:rPr>
          <w:sz w:val="24"/>
          <w:szCs w:val="24"/>
        </w:rPr>
      </w:pPr>
    </w:p>
    <w:p w:rsidR="00153AE9" w:rsidRDefault="00153AE9" w:rsidP="00153AE9">
      <w:pPr>
        <w:rPr>
          <w:sz w:val="24"/>
          <w:szCs w:val="24"/>
        </w:rPr>
      </w:pPr>
      <w:r>
        <w:rPr>
          <w:sz w:val="24"/>
          <w:szCs w:val="24"/>
        </w:rPr>
        <w:t>a</w:t>
      </w:r>
    </w:p>
    <w:p w:rsidR="00153AE9" w:rsidRPr="00153AE9" w:rsidRDefault="00153AE9" w:rsidP="00153AE9">
      <w:pPr>
        <w:rPr>
          <w:sz w:val="24"/>
          <w:szCs w:val="24"/>
        </w:rPr>
      </w:pPr>
    </w:p>
    <w:p w:rsidR="00153AE9" w:rsidRPr="00153AE9" w:rsidRDefault="00153AE9" w:rsidP="00153AE9">
      <w:pPr>
        <w:rPr>
          <w:b/>
          <w:sz w:val="24"/>
          <w:szCs w:val="24"/>
        </w:rPr>
      </w:pPr>
      <w:r w:rsidRPr="00153AE9">
        <w:rPr>
          <w:b/>
          <w:sz w:val="24"/>
          <w:szCs w:val="24"/>
        </w:rPr>
        <w:t>Komunitní práce Liberec, o.p.s.</w:t>
      </w:r>
    </w:p>
    <w:p w:rsidR="00153AE9" w:rsidRPr="00153AE9" w:rsidRDefault="00153AE9" w:rsidP="00153AE9">
      <w:pPr>
        <w:rPr>
          <w:sz w:val="24"/>
          <w:szCs w:val="24"/>
        </w:rPr>
      </w:pPr>
      <w:r w:rsidRPr="00153AE9">
        <w:rPr>
          <w:sz w:val="24"/>
          <w:szCs w:val="24"/>
        </w:rPr>
        <w:t>sídlo: nám. Dr. E. Beneše 1, Liberec 1, PSČ 460 59</w:t>
      </w:r>
    </w:p>
    <w:p w:rsidR="00153AE9" w:rsidRPr="00153AE9" w:rsidRDefault="00153AE9" w:rsidP="00153AE9">
      <w:pPr>
        <w:rPr>
          <w:sz w:val="24"/>
          <w:szCs w:val="24"/>
        </w:rPr>
      </w:pPr>
      <w:r w:rsidRPr="00153AE9">
        <w:rPr>
          <w:sz w:val="24"/>
          <w:szCs w:val="24"/>
        </w:rPr>
        <w:t>doručovací adresa: Josefinino údolí 9/9, Liberec V – Kristiánov, PSČ 460 05</w:t>
      </w:r>
    </w:p>
    <w:p w:rsidR="00153AE9" w:rsidRPr="00153AE9" w:rsidRDefault="00153AE9" w:rsidP="00153AE9">
      <w:pPr>
        <w:rPr>
          <w:sz w:val="24"/>
          <w:szCs w:val="24"/>
        </w:rPr>
      </w:pPr>
      <w:r w:rsidRPr="00153AE9">
        <w:rPr>
          <w:sz w:val="24"/>
          <w:szCs w:val="24"/>
        </w:rPr>
        <w:t>IČ: 27275558</w:t>
      </w:r>
    </w:p>
    <w:p w:rsidR="00153AE9" w:rsidRPr="00153AE9" w:rsidRDefault="00153AE9" w:rsidP="00153AE9">
      <w:pPr>
        <w:rPr>
          <w:sz w:val="24"/>
          <w:szCs w:val="24"/>
        </w:rPr>
      </w:pPr>
      <w:r w:rsidRPr="00153AE9">
        <w:rPr>
          <w:sz w:val="24"/>
          <w:szCs w:val="24"/>
        </w:rPr>
        <w:t>číslo bankovního účtu:  3295053399/0800</w:t>
      </w:r>
    </w:p>
    <w:p w:rsidR="00153AE9" w:rsidRPr="00153AE9" w:rsidRDefault="00A67CD5" w:rsidP="00153AE9">
      <w:pPr>
        <w:rPr>
          <w:sz w:val="24"/>
          <w:szCs w:val="24"/>
        </w:rPr>
      </w:pPr>
      <w:r>
        <w:rPr>
          <w:sz w:val="24"/>
          <w:szCs w:val="24"/>
        </w:rPr>
        <w:t>zastoupené</w:t>
      </w:r>
      <w:r w:rsidR="00153AE9" w:rsidRPr="00153AE9">
        <w:rPr>
          <w:sz w:val="24"/>
          <w:szCs w:val="24"/>
        </w:rPr>
        <w:t xml:space="preserve"> Tomášem Kratochvílem, ředitelem</w:t>
      </w:r>
    </w:p>
    <w:p w:rsidR="00153AE9" w:rsidRPr="00153AE9" w:rsidRDefault="00153AE9" w:rsidP="00153AE9">
      <w:pPr>
        <w:rPr>
          <w:sz w:val="24"/>
          <w:szCs w:val="24"/>
        </w:rPr>
      </w:pPr>
      <w:r w:rsidRPr="00153AE9">
        <w:rPr>
          <w:sz w:val="24"/>
          <w:szCs w:val="24"/>
        </w:rPr>
        <w:t xml:space="preserve">zapsané v rejstříku obecně prospěšných společností vedeném Krajským soudem v Ústí nad Labem, spisová značka O 167 </w:t>
      </w:r>
    </w:p>
    <w:p w:rsidR="00153AE9" w:rsidRPr="00153AE9" w:rsidRDefault="00153AE9" w:rsidP="00153AE9">
      <w:pPr>
        <w:rPr>
          <w:b/>
          <w:sz w:val="24"/>
          <w:szCs w:val="24"/>
        </w:rPr>
      </w:pPr>
      <w:r w:rsidRPr="00153AE9">
        <w:rPr>
          <w:b/>
          <w:sz w:val="24"/>
          <w:szCs w:val="24"/>
        </w:rPr>
        <w:t>jako pověřený podnik</w:t>
      </w:r>
    </w:p>
    <w:p w:rsidR="00153AE9" w:rsidRDefault="00153AE9" w:rsidP="00153AE9">
      <w:pPr>
        <w:rPr>
          <w:sz w:val="24"/>
          <w:szCs w:val="24"/>
        </w:rPr>
      </w:pPr>
      <w:r w:rsidRPr="00153AE9">
        <w:rPr>
          <w:sz w:val="24"/>
          <w:szCs w:val="24"/>
        </w:rPr>
        <w:t>(dále jen „</w:t>
      </w:r>
      <w:r w:rsidRPr="00153AE9">
        <w:rPr>
          <w:b/>
          <w:sz w:val="24"/>
          <w:szCs w:val="24"/>
        </w:rPr>
        <w:t>Podnik</w:t>
      </w:r>
      <w:r w:rsidRPr="00153AE9">
        <w:rPr>
          <w:sz w:val="24"/>
          <w:szCs w:val="24"/>
        </w:rPr>
        <w:t>“)</w:t>
      </w:r>
    </w:p>
    <w:p w:rsidR="007375E3" w:rsidRDefault="007375E3" w:rsidP="007375E3">
      <w:pPr>
        <w:rPr>
          <w:sz w:val="24"/>
          <w:szCs w:val="24"/>
        </w:rPr>
      </w:pPr>
    </w:p>
    <w:p w:rsidR="008939A6" w:rsidRPr="007375E3" w:rsidRDefault="008939A6" w:rsidP="007375E3">
      <w:pPr>
        <w:rPr>
          <w:sz w:val="24"/>
          <w:szCs w:val="24"/>
        </w:rPr>
      </w:pPr>
    </w:p>
    <w:p w:rsidR="00153AE9" w:rsidRDefault="007C62B2" w:rsidP="007375E3">
      <w:pPr>
        <w:jc w:val="both"/>
        <w:rPr>
          <w:sz w:val="24"/>
          <w:szCs w:val="24"/>
        </w:rPr>
      </w:pPr>
      <w:r>
        <w:rPr>
          <w:sz w:val="24"/>
          <w:szCs w:val="24"/>
        </w:rPr>
        <w:t>Statutární město</w:t>
      </w:r>
      <w:r w:rsidR="000D3D38">
        <w:rPr>
          <w:sz w:val="24"/>
          <w:szCs w:val="24"/>
        </w:rPr>
        <w:t xml:space="preserve"> Liberec na základě usnesení Zast</w:t>
      </w:r>
      <w:r w:rsidR="00A67CD5">
        <w:rPr>
          <w:sz w:val="24"/>
          <w:szCs w:val="24"/>
        </w:rPr>
        <w:t xml:space="preserve">upitelstva města Liberec č. </w:t>
      </w:r>
      <w:r w:rsidR="008173AE">
        <w:rPr>
          <w:sz w:val="24"/>
          <w:szCs w:val="24"/>
        </w:rPr>
        <w:t>182</w:t>
      </w:r>
      <w:r w:rsidR="00A67CD5">
        <w:rPr>
          <w:sz w:val="24"/>
          <w:szCs w:val="24"/>
        </w:rPr>
        <w:t>/</w:t>
      </w:r>
      <w:r w:rsidR="000D3D38">
        <w:rPr>
          <w:sz w:val="24"/>
          <w:szCs w:val="24"/>
        </w:rPr>
        <w:t>2017 ze dne 29. 6. 2017 tímto Dodatkem č. 2 mění toto Pověření takto:</w:t>
      </w:r>
    </w:p>
    <w:p w:rsidR="000D3D38" w:rsidRDefault="000D3D38" w:rsidP="007375E3">
      <w:pPr>
        <w:jc w:val="both"/>
        <w:rPr>
          <w:sz w:val="24"/>
          <w:szCs w:val="24"/>
        </w:rPr>
      </w:pPr>
    </w:p>
    <w:p w:rsidR="008939A6" w:rsidRDefault="008939A6" w:rsidP="007375E3">
      <w:pPr>
        <w:jc w:val="both"/>
        <w:rPr>
          <w:sz w:val="24"/>
          <w:szCs w:val="24"/>
        </w:rPr>
      </w:pPr>
    </w:p>
    <w:p w:rsidR="000D3D38" w:rsidRDefault="000D3D38" w:rsidP="007375E3">
      <w:pPr>
        <w:jc w:val="both"/>
        <w:rPr>
          <w:sz w:val="24"/>
          <w:szCs w:val="24"/>
        </w:rPr>
      </w:pPr>
      <w:r>
        <w:rPr>
          <w:sz w:val="24"/>
          <w:szCs w:val="24"/>
        </w:rPr>
        <w:t>Článek III. VYROVNÁVACÍ PLATBA ZA POSKYTOVÁNÍ SLUŽEB OBECNÉHO HOSPODÁŘSKÉHO ZÁJMU</w:t>
      </w:r>
    </w:p>
    <w:p w:rsidR="000D3D38" w:rsidRDefault="000D3D38" w:rsidP="007375E3">
      <w:pPr>
        <w:jc w:val="both"/>
        <w:rPr>
          <w:sz w:val="24"/>
          <w:szCs w:val="24"/>
        </w:rPr>
      </w:pPr>
    </w:p>
    <w:p w:rsidR="000D3D38" w:rsidRDefault="000D3D38" w:rsidP="007375E3">
      <w:pPr>
        <w:jc w:val="both"/>
        <w:rPr>
          <w:sz w:val="24"/>
          <w:szCs w:val="24"/>
        </w:rPr>
      </w:pPr>
      <w:r>
        <w:rPr>
          <w:sz w:val="24"/>
          <w:szCs w:val="24"/>
        </w:rPr>
        <w:t>Odstavec 4. nově zní takto:</w:t>
      </w:r>
    </w:p>
    <w:p w:rsidR="00FB53D9" w:rsidRDefault="00FB53D9" w:rsidP="007375E3">
      <w:pPr>
        <w:jc w:val="both"/>
        <w:rPr>
          <w:sz w:val="24"/>
          <w:szCs w:val="24"/>
        </w:rPr>
      </w:pPr>
    </w:p>
    <w:p w:rsidR="000D3D38" w:rsidRDefault="000D3D38" w:rsidP="007375E3">
      <w:pPr>
        <w:jc w:val="both"/>
        <w:rPr>
          <w:sz w:val="24"/>
          <w:szCs w:val="24"/>
        </w:rPr>
      </w:pPr>
      <w:r>
        <w:rPr>
          <w:sz w:val="24"/>
          <w:szCs w:val="24"/>
        </w:rPr>
        <w:t>4. Předpokládaná výše roční vyrovnávací platby na pokrytí nákladů na plnění závazku veřejné služby je stanovena na částku 17.360.000 Kč a bude případně upravena na základě vyúčto</w:t>
      </w:r>
      <w:r w:rsidR="001219EF">
        <w:rPr>
          <w:sz w:val="24"/>
          <w:szCs w:val="24"/>
        </w:rPr>
        <w:t>vání skutečných nákl</w:t>
      </w:r>
      <w:bookmarkStart w:id="0" w:name="_GoBack"/>
      <w:bookmarkEnd w:id="0"/>
      <w:r w:rsidR="001219EF">
        <w:rPr>
          <w:sz w:val="24"/>
          <w:szCs w:val="24"/>
        </w:rPr>
        <w:t xml:space="preserve">adů </w:t>
      </w:r>
      <w:r w:rsidR="00874D58">
        <w:rPr>
          <w:sz w:val="24"/>
          <w:szCs w:val="24"/>
        </w:rPr>
        <w:t>a výnosů vzniklých P</w:t>
      </w:r>
      <w:r>
        <w:rPr>
          <w:sz w:val="24"/>
          <w:szCs w:val="24"/>
        </w:rPr>
        <w:t>odniku při plnění závazku veřejné služby dle tohoto Pověření v příslušném roce. Část roční vyrovnávací platby bude Podniku poskytnuta z rozpočtu SML formou dotace na základě veřejnoprávní smlouvy o poskytnutí dotace.</w:t>
      </w:r>
    </w:p>
    <w:p w:rsidR="00FB53D9" w:rsidRDefault="00FB53D9" w:rsidP="007375E3">
      <w:pPr>
        <w:jc w:val="both"/>
        <w:rPr>
          <w:sz w:val="24"/>
          <w:szCs w:val="24"/>
        </w:rPr>
      </w:pPr>
    </w:p>
    <w:p w:rsidR="008939A6" w:rsidRDefault="008939A6" w:rsidP="007375E3">
      <w:pPr>
        <w:jc w:val="both"/>
        <w:rPr>
          <w:sz w:val="24"/>
          <w:szCs w:val="24"/>
        </w:rPr>
      </w:pPr>
    </w:p>
    <w:p w:rsidR="00477DF4" w:rsidRDefault="00477DF4" w:rsidP="007375E3">
      <w:pPr>
        <w:jc w:val="both"/>
        <w:rPr>
          <w:sz w:val="24"/>
          <w:szCs w:val="24"/>
        </w:rPr>
      </w:pPr>
    </w:p>
    <w:p w:rsidR="00477DF4" w:rsidRDefault="00477DF4" w:rsidP="007375E3">
      <w:pPr>
        <w:jc w:val="both"/>
        <w:rPr>
          <w:sz w:val="24"/>
          <w:szCs w:val="24"/>
        </w:rPr>
      </w:pPr>
    </w:p>
    <w:p w:rsidR="00477DF4" w:rsidRDefault="00477DF4" w:rsidP="007375E3">
      <w:pPr>
        <w:jc w:val="both"/>
        <w:rPr>
          <w:sz w:val="24"/>
          <w:szCs w:val="24"/>
        </w:rPr>
      </w:pPr>
    </w:p>
    <w:p w:rsidR="00477DF4" w:rsidRDefault="00477DF4" w:rsidP="007375E3">
      <w:pPr>
        <w:jc w:val="both"/>
        <w:rPr>
          <w:sz w:val="24"/>
          <w:szCs w:val="24"/>
        </w:rPr>
      </w:pPr>
    </w:p>
    <w:p w:rsidR="00FB53D9" w:rsidRDefault="00FB53D9" w:rsidP="007375E3">
      <w:pPr>
        <w:jc w:val="both"/>
        <w:rPr>
          <w:sz w:val="24"/>
          <w:szCs w:val="24"/>
        </w:rPr>
      </w:pPr>
      <w:r>
        <w:rPr>
          <w:sz w:val="24"/>
          <w:szCs w:val="24"/>
        </w:rPr>
        <w:lastRenderedPageBreak/>
        <w:t>Dále se mění příloha č. 1 Pověření PRAVIDLA PRO STANOVENÍ VYROVNÁVACÍ PLATBY takto:</w:t>
      </w:r>
    </w:p>
    <w:p w:rsidR="00FB53D9" w:rsidRDefault="00FB53D9" w:rsidP="007375E3">
      <w:pPr>
        <w:jc w:val="both"/>
        <w:rPr>
          <w:sz w:val="24"/>
          <w:szCs w:val="24"/>
        </w:rPr>
      </w:pPr>
    </w:p>
    <w:p w:rsidR="00AC4870" w:rsidRDefault="00AC4870" w:rsidP="007375E3">
      <w:pPr>
        <w:jc w:val="both"/>
        <w:rPr>
          <w:sz w:val="24"/>
          <w:szCs w:val="24"/>
        </w:rPr>
      </w:pPr>
      <w:r>
        <w:rPr>
          <w:sz w:val="24"/>
          <w:szCs w:val="24"/>
        </w:rPr>
        <w:t xml:space="preserve">Výsledná předpokládaná výše vyrovnávací platby při požadovaném počtu 85 pracovních míst veřejně prospěšných prací byla dle výše popsaného postupu stanovena na částku 17.360.000 Kč, což odpovídá nákladům ve výši </w:t>
      </w:r>
      <w:r w:rsidR="001560D8">
        <w:rPr>
          <w:sz w:val="24"/>
          <w:szCs w:val="24"/>
        </w:rPr>
        <w:t>204.235 Kč na 1 pracovní místo veřejně prospěšných prací.</w:t>
      </w:r>
    </w:p>
    <w:p w:rsidR="001560D8" w:rsidRDefault="001560D8" w:rsidP="007375E3">
      <w:pPr>
        <w:jc w:val="both"/>
        <w:rPr>
          <w:sz w:val="24"/>
          <w:szCs w:val="24"/>
        </w:rPr>
      </w:pPr>
    </w:p>
    <w:p w:rsidR="00FB53D9" w:rsidRDefault="00FB53D9" w:rsidP="007375E3">
      <w:pPr>
        <w:jc w:val="both"/>
        <w:rPr>
          <w:sz w:val="24"/>
          <w:szCs w:val="24"/>
        </w:rPr>
      </w:pPr>
      <w:r>
        <w:rPr>
          <w:sz w:val="24"/>
          <w:szCs w:val="24"/>
        </w:rPr>
        <w:t>Z toho se stanoví část vyrovnávací platby poskytnuté statutárním městem Liberec formou dotace pro rok 2017 ve výši 6.440.000 Kč. Všechny případné rozdíly zjištěné při vyúčtování vyrovnávací platby ke dni 31. 12. příslušného kalendářního roku budou plně vypořádány.</w:t>
      </w:r>
    </w:p>
    <w:p w:rsidR="00ED7F34" w:rsidRDefault="00ED7F34" w:rsidP="00CC7303">
      <w:pPr>
        <w:spacing w:line="360" w:lineRule="auto"/>
        <w:jc w:val="both"/>
        <w:rPr>
          <w:sz w:val="24"/>
          <w:szCs w:val="24"/>
        </w:rPr>
      </w:pPr>
    </w:p>
    <w:p w:rsidR="00A717A1" w:rsidRPr="00346BA2" w:rsidRDefault="00A717A1" w:rsidP="00A717A1">
      <w:pPr>
        <w:jc w:val="both"/>
        <w:rPr>
          <w:b/>
          <w:sz w:val="24"/>
          <w:szCs w:val="24"/>
        </w:rPr>
      </w:pPr>
    </w:p>
    <w:p w:rsidR="008D1E3A" w:rsidRPr="00BD2441" w:rsidRDefault="00FB53D9" w:rsidP="00A717A1">
      <w:pPr>
        <w:jc w:val="both"/>
        <w:rPr>
          <w:sz w:val="24"/>
          <w:szCs w:val="24"/>
        </w:rPr>
      </w:pPr>
      <w:r>
        <w:rPr>
          <w:sz w:val="24"/>
          <w:szCs w:val="24"/>
        </w:rPr>
        <w:t>Ostatní ustanovení Pověření se nemění a zůstávají v platnosti.</w:t>
      </w:r>
    </w:p>
    <w:p w:rsidR="00346BA2" w:rsidRPr="001E2FE9" w:rsidRDefault="00346BA2" w:rsidP="00A717A1">
      <w:pPr>
        <w:rPr>
          <w:sz w:val="24"/>
          <w:szCs w:val="24"/>
        </w:rPr>
      </w:pPr>
    </w:p>
    <w:p w:rsidR="007B077D" w:rsidRDefault="007B077D" w:rsidP="00A717A1">
      <w:pPr>
        <w:rPr>
          <w:sz w:val="24"/>
          <w:szCs w:val="24"/>
        </w:rPr>
      </w:pPr>
    </w:p>
    <w:p w:rsidR="007B077D" w:rsidRDefault="007B077D" w:rsidP="00A717A1">
      <w:pPr>
        <w:rPr>
          <w:sz w:val="24"/>
          <w:szCs w:val="24"/>
        </w:rPr>
      </w:pPr>
    </w:p>
    <w:p w:rsidR="007C4CA2" w:rsidRDefault="007C4CA2" w:rsidP="00A717A1">
      <w:pPr>
        <w:rPr>
          <w:sz w:val="24"/>
          <w:szCs w:val="24"/>
        </w:rPr>
      </w:pPr>
      <w:r w:rsidRPr="001E2FE9">
        <w:rPr>
          <w:sz w:val="24"/>
          <w:szCs w:val="24"/>
        </w:rPr>
        <w:t xml:space="preserve">V Liberci </w:t>
      </w:r>
      <w:r w:rsidR="00875CF9" w:rsidRPr="001E2FE9">
        <w:rPr>
          <w:sz w:val="24"/>
          <w:szCs w:val="24"/>
        </w:rPr>
        <w:t>dne</w:t>
      </w:r>
      <w:r w:rsidR="00A717A1">
        <w:rPr>
          <w:sz w:val="24"/>
          <w:szCs w:val="24"/>
        </w:rPr>
        <w:t>: ………</w:t>
      </w:r>
      <w:r w:rsidR="007B077D">
        <w:rPr>
          <w:sz w:val="24"/>
          <w:szCs w:val="24"/>
        </w:rPr>
        <w:t>.</w:t>
      </w:r>
      <w:r w:rsidR="00AE07D9">
        <w:rPr>
          <w:sz w:val="24"/>
          <w:szCs w:val="24"/>
        </w:rPr>
        <w:t xml:space="preserve"> </w:t>
      </w:r>
      <w:r w:rsidR="00A717A1">
        <w:rPr>
          <w:sz w:val="24"/>
          <w:szCs w:val="24"/>
        </w:rPr>
        <w:t>2017</w:t>
      </w:r>
      <w:r w:rsidR="007B077D">
        <w:rPr>
          <w:sz w:val="24"/>
          <w:szCs w:val="24"/>
        </w:rPr>
        <w:tab/>
      </w:r>
      <w:r w:rsidR="007B077D">
        <w:rPr>
          <w:sz w:val="24"/>
          <w:szCs w:val="24"/>
        </w:rPr>
        <w:tab/>
      </w:r>
      <w:r w:rsidR="007B077D">
        <w:rPr>
          <w:sz w:val="24"/>
          <w:szCs w:val="24"/>
        </w:rPr>
        <w:tab/>
      </w:r>
      <w:r w:rsidR="007B077D">
        <w:rPr>
          <w:sz w:val="24"/>
          <w:szCs w:val="24"/>
        </w:rPr>
        <w:tab/>
      </w:r>
      <w:r w:rsidR="007B077D">
        <w:rPr>
          <w:sz w:val="24"/>
          <w:szCs w:val="24"/>
        </w:rPr>
        <w:tab/>
      </w:r>
      <w:r w:rsidR="007B077D" w:rsidRPr="001E2FE9">
        <w:rPr>
          <w:sz w:val="24"/>
          <w:szCs w:val="24"/>
        </w:rPr>
        <w:t>V Liberci dne</w:t>
      </w:r>
      <w:r w:rsidR="007B077D">
        <w:rPr>
          <w:sz w:val="24"/>
          <w:szCs w:val="24"/>
        </w:rPr>
        <w:t xml:space="preserve">: …….. </w:t>
      </w:r>
      <w:r w:rsidR="00C9147F">
        <w:rPr>
          <w:sz w:val="24"/>
          <w:szCs w:val="24"/>
        </w:rPr>
        <w:t xml:space="preserve">  </w:t>
      </w:r>
      <w:r w:rsidR="007B077D">
        <w:rPr>
          <w:sz w:val="24"/>
          <w:szCs w:val="24"/>
        </w:rPr>
        <w:t>2017</w:t>
      </w:r>
      <w:r w:rsidR="007B077D">
        <w:rPr>
          <w:sz w:val="24"/>
          <w:szCs w:val="24"/>
        </w:rPr>
        <w:tab/>
      </w:r>
      <w:r w:rsidR="007B077D">
        <w:rPr>
          <w:sz w:val="24"/>
          <w:szCs w:val="24"/>
        </w:rPr>
        <w:tab/>
      </w:r>
      <w:r w:rsidR="007B077D">
        <w:rPr>
          <w:sz w:val="24"/>
          <w:szCs w:val="24"/>
        </w:rPr>
        <w:tab/>
      </w:r>
    </w:p>
    <w:p w:rsidR="00A717A1" w:rsidRDefault="00A717A1" w:rsidP="00A717A1">
      <w:pPr>
        <w:rPr>
          <w:sz w:val="24"/>
          <w:szCs w:val="24"/>
        </w:rPr>
      </w:pPr>
    </w:p>
    <w:p w:rsidR="00A717A1" w:rsidRDefault="00A717A1" w:rsidP="00A717A1">
      <w:pPr>
        <w:rPr>
          <w:sz w:val="24"/>
          <w:szCs w:val="24"/>
        </w:rPr>
      </w:pPr>
    </w:p>
    <w:p w:rsidR="00B528FF" w:rsidRDefault="00B528FF" w:rsidP="00A717A1">
      <w:pPr>
        <w:rPr>
          <w:sz w:val="24"/>
          <w:szCs w:val="24"/>
        </w:rPr>
      </w:pPr>
    </w:p>
    <w:p w:rsidR="00B528FF" w:rsidRDefault="00B528FF" w:rsidP="00A717A1">
      <w:pPr>
        <w:rPr>
          <w:sz w:val="24"/>
          <w:szCs w:val="24"/>
        </w:rPr>
      </w:pPr>
    </w:p>
    <w:p w:rsidR="00B528FF" w:rsidRDefault="00B528FF" w:rsidP="00A717A1">
      <w:pPr>
        <w:rPr>
          <w:sz w:val="24"/>
          <w:szCs w:val="24"/>
        </w:rPr>
      </w:pPr>
    </w:p>
    <w:p w:rsidR="00A717A1" w:rsidRDefault="00A717A1" w:rsidP="00A717A1">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153AE9" w:rsidRPr="00153AE9" w:rsidRDefault="00153AE9" w:rsidP="00153AE9">
      <w:pPr>
        <w:rPr>
          <w:sz w:val="24"/>
          <w:szCs w:val="24"/>
        </w:rPr>
      </w:pPr>
      <w:r w:rsidRPr="00153AE9">
        <w:rPr>
          <w:sz w:val="24"/>
          <w:szCs w:val="24"/>
        </w:rPr>
        <w:t xml:space="preserve">                 pověřovatel</w:t>
      </w:r>
      <w:r w:rsidRPr="00153AE9">
        <w:rPr>
          <w:sz w:val="24"/>
          <w:szCs w:val="24"/>
        </w:rPr>
        <w:tab/>
      </w:r>
      <w:r w:rsidRPr="00153AE9">
        <w:rPr>
          <w:sz w:val="24"/>
          <w:szCs w:val="24"/>
        </w:rPr>
        <w:tab/>
      </w:r>
      <w:r w:rsidRPr="00153AE9">
        <w:rPr>
          <w:sz w:val="24"/>
          <w:szCs w:val="24"/>
        </w:rPr>
        <w:tab/>
      </w:r>
      <w:r w:rsidRPr="00153AE9">
        <w:rPr>
          <w:sz w:val="24"/>
          <w:szCs w:val="24"/>
        </w:rPr>
        <w:tab/>
      </w:r>
      <w:r w:rsidRPr="00153AE9">
        <w:rPr>
          <w:sz w:val="24"/>
          <w:szCs w:val="24"/>
        </w:rPr>
        <w:tab/>
      </w:r>
      <w:r w:rsidRPr="00153AE9">
        <w:rPr>
          <w:sz w:val="24"/>
          <w:szCs w:val="24"/>
        </w:rPr>
        <w:tab/>
        <w:t>pověřený podnik</w:t>
      </w:r>
    </w:p>
    <w:p w:rsidR="00153AE9" w:rsidRPr="00153AE9" w:rsidRDefault="00153AE9" w:rsidP="00153AE9">
      <w:pPr>
        <w:rPr>
          <w:sz w:val="24"/>
          <w:szCs w:val="24"/>
        </w:rPr>
      </w:pPr>
      <w:r w:rsidRPr="00153AE9">
        <w:rPr>
          <w:sz w:val="24"/>
          <w:szCs w:val="24"/>
        </w:rPr>
        <w:t xml:space="preserve">          statutární město Liberec</w:t>
      </w:r>
      <w:r w:rsidRPr="00153AE9">
        <w:rPr>
          <w:sz w:val="24"/>
          <w:szCs w:val="24"/>
        </w:rPr>
        <w:tab/>
      </w:r>
      <w:r w:rsidRPr="00153AE9">
        <w:rPr>
          <w:sz w:val="24"/>
          <w:szCs w:val="24"/>
        </w:rPr>
        <w:tab/>
      </w:r>
      <w:r w:rsidRPr="00153AE9">
        <w:rPr>
          <w:sz w:val="24"/>
          <w:szCs w:val="24"/>
        </w:rPr>
        <w:tab/>
        <w:t xml:space="preserve">      </w:t>
      </w:r>
      <w:r>
        <w:rPr>
          <w:sz w:val="24"/>
          <w:szCs w:val="24"/>
        </w:rPr>
        <w:t xml:space="preserve">      </w:t>
      </w:r>
      <w:r w:rsidR="00477DF4">
        <w:rPr>
          <w:sz w:val="24"/>
          <w:szCs w:val="24"/>
        </w:rPr>
        <w:t xml:space="preserve"> </w:t>
      </w:r>
      <w:r w:rsidRPr="00153AE9">
        <w:rPr>
          <w:sz w:val="24"/>
          <w:szCs w:val="24"/>
        </w:rPr>
        <w:t>Komunitní práce Liberec, o.p.s.</w:t>
      </w:r>
    </w:p>
    <w:p w:rsidR="00153AE9" w:rsidRPr="00153AE9" w:rsidRDefault="00153AE9" w:rsidP="00153AE9">
      <w:pPr>
        <w:rPr>
          <w:sz w:val="24"/>
          <w:szCs w:val="24"/>
        </w:rPr>
      </w:pPr>
      <w:r w:rsidRPr="00153AE9">
        <w:rPr>
          <w:sz w:val="24"/>
          <w:szCs w:val="24"/>
        </w:rPr>
        <w:t xml:space="preserve">               Tibor Batthyány </w:t>
      </w:r>
      <w:r w:rsidRPr="00153AE9">
        <w:rPr>
          <w:sz w:val="24"/>
          <w:szCs w:val="24"/>
        </w:rPr>
        <w:tab/>
      </w:r>
      <w:r w:rsidRPr="00153AE9">
        <w:rPr>
          <w:sz w:val="24"/>
          <w:szCs w:val="24"/>
        </w:rPr>
        <w:tab/>
      </w:r>
      <w:r w:rsidRPr="00153AE9">
        <w:rPr>
          <w:sz w:val="24"/>
          <w:szCs w:val="24"/>
        </w:rPr>
        <w:tab/>
      </w:r>
      <w:r w:rsidRPr="00153AE9">
        <w:rPr>
          <w:sz w:val="24"/>
          <w:szCs w:val="24"/>
        </w:rPr>
        <w:tab/>
      </w:r>
      <w:r w:rsidRPr="00153AE9">
        <w:rPr>
          <w:sz w:val="24"/>
          <w:szCs w:val="24"/>
        </w:rPr>
        <w:tab/>
      </w:r>
      <w:r>
        <w:rPr>
          <w:sz w:val="24"/>
          <w:szCs w:val="24"/>
        </w:rPr>
        <w:t xml:space="preserve">          </w:t>
      </w:r>
      <w:r w:rsidRPr="00153AE9">
        <w:rPr>
          <w:sz w:val="24"/>
          <w:szCs w:val="24"/>
        </w:rPr>
        <w:t xml:space="preserve">Tomáš Kratochvíl   </w:t>
      </w:r>
    </w:p>
    <w:p w:rsidR="0048454E" w:rsidRDefault="00153AE9" w:rsidP="00153AE9">
      <w:pPr>
        <w:rPr>
          <w:sz w:val="24"/>
          <w:szCs w:val="24"/>
        </w:rPr>
      </w:pPr>
      <w:r w:rsidRPr="00153AE9">
        <w:rPr>
          <w:sz w:val="24"/>
          <w:szCs w:val="24"/>
        </w:rPr>
        <w:t xml:space="preserve">               primátor města</w:t>
      </w:r>
      <w:r w:rsidRPr="00153AE9">
        <w:rPr>
          <w:sz w:val="24"/>
          <w:szCs w:val="24"/>
        </w:rPr>
        <w:tab/>
      </w:r>
      <w:r w:rsidRPr="00153AE9">
        <w:rPr>
          <w:sz w:val="24"/>
          <w:szCs w:val="24"/>
        </w:rPr>
        <w:tab/>
      </w:r>
      <w:r w:rsidRPr="00153AE9">
        <w:rPr>
          <w:sz w:val="24"/>
          <w:szCs w:val="24"/>
        </w:rPr>
        <w:tab/>
      </w:r>
      <w:r w:rsidRPr="00153AE9">
        <w:rPr>
          <w:sz w:val="24"/>
          <w:szCs w:val="24"/>
        </w:rPr>
        <w:tab/>
      </w:r>
      <w:r w:rsidRPr="00153AE9">
        <w:rPr>
          <w:sz w:val="24"/>
          <w:szCs w:val="24"/>
        </w:rPr>
        <w:tab/>
        <w:t xml:space="preserve">            </w:t>
      </w:r>
      <w:r>
        <w:rPr>
          <w:sz w:val="24"/>
          <w:szCs w:val="24"/>
        </w:rPr>
        <w:t xml:space="preserve">       </w:t>
      </w:r>
      <w:r w:rsidRPr="00153AE9">
        <w:rPr>
          <w:sz w:val="24"/>
          <w:szCs w:val="24"/>
        </w:rPr>
        <w:t>ředitel</w:t>
      </w:r>
      <w:r w:rsidR="00A717A1">
        <w:rPr>
          <w:sz w:val="24"/>
          <w:szCs w:val="24"/>
        </w:rPr>
        <w:tab/>
      </w:r>
      <w:r w:rsidR="00A717A1">
        <w:rPr>
          <w:sz w:val="24"/>
          <w:szCs w:val="24"/>
        </w:rPr>
        <w:tab/>
      </w: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r>
        <w:rPr>
          <w:sz w:val="24"/>
          <w:szCs w:val="24"/>
        </w:rPr>
        <w:t>Přílohy:</w:t>
      </w:r>
    </w:p>
    <w:p w:rsidR="0048454E" w:rsidRDefault="0048454E" w:rsidP="00153AE9">
      <w:pPr>
        <w:rPr>
          <w:sz w:val="24"/>
          <w:szCs w:val="24"/>
        </w:rPr>
      </w:pPr>
    </w:p>
    <w:p w:rsidR="0048454E" w:rsidRDefault="0048454E" w:rsidP="00153AE9">
      <w:pPr>
        <w:rPr>
          <w:sz w:val="24"/>
          <w:szCs w:val="24"/>
        </w:rPr>
      </w:pPr>
      <w:r>
        <w:rPr>
          <w:sz w:val="24"/>
          <w:szCs w:val="24"/>
        </w:rPr>
        <w:t xml:space="preserve">1.Upravená </w:t>
      </w:r>
      <w:r w:rsidR="00A67CD5">
        <w:rPr>
          <w:sz w:val="24"/>
          <w:szCs w:val="24"/>
        </w:rPr>
        <w:t>p</w:t>
      </w:r>
      <w:r>
        <w:rPr>
          <w:sz w:val="24"/>
          <w:szCs w:val="24"/>
        </w:rPr>
        <w:t>ravidla pro stanovení vyrovnávací platby</w:t>
      </w:r>
    </w:p>
    <w:p w:rsidR="0048454E" w:rsidRDefault="0048454E" w:rsidP="00153AE9">
      <w:pPr>
        <w:rPr>
          <w:sz w:val="24"/>
          <w:szCs w:val="24"/>
        </w:rPr>
      </w:pPr>
      <w:r>
        <w:rPr>
          <w:sz w:val="24"/>
          <w:szCs w:val="24"/>
        </w:rPr>
        <w:t>2.Veřejná podpora poskytnutá formou bezúplatně poskytnutých služeb</w:t>
      </w:r>
      <w:r w:rsidR="00A717A1">
        <w:rPr>
          <w:sz w:val="24"/>
          <w:szCs w:val="24"/>
        </w:rPr>
        <w:tab/>
      </w:r>
      <w:r w:rsidR="007C4CA2" w:rsidRPr="001E2FE9">
        <w:rPr>
          <w:sz w:val="24"/>
          <w:szCs w:val="24"/>
        </w:rPr>
        <w:tab/>
      </w:r>
      <w:r w:rsidR="007C4CA2" w:rsidRPr="001E2FE9">
        <w:rPr>
          <w:sz w:val="24"/>
          <w:szCs w:val="24"/>
        </w:rPr>
        <w:tab/>
      </w: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48454E" w:rsidRDefault="0048454E" w:rsidP="00153AE9">
      <w:pPr>
        <w:rPr>
          <w:sz w:val="24"/>
          <w:szCs w:val="24"/>
        </w:rPr>
      </w:pPr>
    </w:p>
    <w:p w:rsidR="00B528FF" w:rsidRDefault="00B528FF" w:rsidP="0048454E">
      <w:pPr>
        <w:rPr>
          <w:sz w:val="24"/>
          <w:szCs w:val="24"/>
        </w:rPr>
      </w:pPr>
    </w:p>
    <w:p w:rsidR="0048454E" w:rsidRPr="0048454E" w:rsidRDefault="0048454E" w:rsidP="0048454E">
      <w:pPr>
        <w:rPr>
          <w:rFonts w:eastAsiaTheme="minorHAnsi"/>
          <w:b/>
          <w:sz w:val="24"/>
          <w:szCs w:val="24"/>
          <w:lang w:eastAsia="en-US"/>
        </w:rPr>
      </w:pPr>
      <w:r w:rsidRPr="0048454E">
        <w:rPr>
          <w:rFonts w:eastAsiaTheme="minorHAnsi"/>
          <w:b/>
          <w:sz w:val="24"/>
          <w:szCs w:val="24"/>
          <w:lang w:eastAsia="en-US"/>
        </w:rPr>
        <w:lastRenderedPageBreak/>
        <w:t>Příloha č. 1</w:t>
      </w:r>
    </w:p>
    <w:p w:rsidR="0048454E" w:rsidRPr="00AD3076" w:rsidRDefault="0048454E" w:rsidP="0048454E">
      <w:pPr>
        <w:ind w:firstLine="708"/>
        <w:jc w:val="center"/>
        <w:rPr>
          <w:rFonts w:eastAsiaTheme="minorHAnsi"/>
          <w:b/>
          <w:sz w:val="32"/>
          <w:szCs w:val="32"/>
          <w:lang w:eastAsia="en-US"/>
        </w:rPr>
      </w:pPr>
    </w:p>
    <w:p w:rsidR="0048454E" w:rsidRPr="00AD3076" w:rsidRDefault="0048454E" w:rsidP="0048454E">
      <w:pPr>
        <w:ind w:firstLine="708"/>
        <w:jc w:val="center"/>
        <w:rPr>
          <w:rFonts w:eastAsiaTheme="minorHAnsi"/>
          <w:b/>
          <w:sz w:val="32"/>
          <w:szCs w:val="32"/>
          <w:lang w:eastAsia="en-US"/>
        </w:rPr>
      </w:pPr>
      <w:r w:rsidRPr="00A67CD5">
        <w:rPr>
          <w:rFonts w:eastAsiaTheme="minorHAnsi"/>
          <w:b/>
          <w:sz w:val="32"/>
          <w:szCs w:val="32"/>
          <w:lang w:eastAsia="en-US"/>
        </w:rPr>
        <w:t>Upravená</w:t>
      </w:r>
      <w:r>
        <w:rPr>
          <w:rFonts w:eastAsiaTheme="minorHAnsi"/>
          <w:b/>
          <w:sz w:val="32"/>
          <w:szCs w:val="32"/>
          <w:lang w:eastAsia="en-US"/>
        </w:rPr>
        <w:t xml:space="preserve"> </w:t>
      </w:r>
      <w:r w:rsidR="00A67CD5">
        <w:rPr>
          <w:rFonts w:eastAsiaTheme="minorHAnsi"/>
          <w:b/>
          <w:sz w:val="32"/>
          <w:szCs w:val="32"/>
          <w:lang w:eastAsia="en-US"/>
        </w:rPr>
        <w:t>p</w:t>
      </w:r>
      <w:r w:rsidRPr="00AD3076">
        <w:rPr>
          <w:rFonts w:eastAsiaTheme="minorHAnsi"/>
          <w:b/>
          <w:sz w:val="32"/>
          <w:szCs w:val="32"/>
          <w:lang w:eastAsia="en-US"/>
        </w:rPr>
        <w:t>ravidla pro stanovení vyrovnávací platby</w:t>
      </w:r>
    </w:p>
    <w:p w:rsidR="0048454E" w:rsidRPr="00AD3076" w:rsidRDefault="0048454E" w:rsidP="0048454E">
      <w:pPr>
        <w:ind w:firstLine="708"/>
        <w:rPr>
          <w:rFonts w:eastAsiaTheme="minorHAnsi"/>
          <w:b/>
          <w:szCs w:val="24"/>
          <w:lang w:eastAsia="en-US"/>
        </w:rPr>
      </w:pPr>
    </w:p>
    <w:p w:rsidR="0048454E" w:rsidRPr="00AD3076" w:rsidRDefault="0048454E" w:rsidP="0048454E">
      <w:pPr>
        <w:ind w:firstLine="708"/>
        <w:rPr>
          <w:rFonts w:eastAsiaTheme="minorHAnsi"/>
          <w:b/>
          <w:szCs w:val="24"/>
          <w:lang w:eastAsia="en-US"/>
        </w:rPr>
      </w:pP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 xml:space="preserve">Tato pravidla obsahují popis kompenzačního mechanismu a upravují postup a parametry pro stanovení vyrovnávací platby. </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b/>
          <w:sz w:val="24"/>
          <w:szCs w:val="24"/>
          <w:lang w:eastAsia="en-US"/>
        </w:rPr>
      </w:pPr>
      <w:r w:rsidRPr="0048454E">
        <w:rPr>
          <w:rFonts w:eastAsiaTheme="minorHAnsi"/>
          <w:b/>
          <w:sz w:val="24"/>
          <w:szCs w:val="24"/>
          <w:lang w:eastAsia="en-US"/>
        </w:rPr>
        <w:t>1. Vyrovnávací platba</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Vyrovnávací platba se stanoví jako částka nezbytná ke krytí čistých nákladů na poskytování služeb obecného hospodářského zájmu Podnikem dle čl. II odst. 1 Pověření. Čisté náklady se stanoví jako rozdíl mezi náklady a výnosy, které Podniku vzniknou v souvislosti s plněním závazku veřejné služby dle čl. II odst. 1 Pověření.</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b/>
          <w:sz w:val="24"/>
          <w:szCs w:val="24"/>
          <w:lang w:eastAsia="en-US"/>
        </w:rPr>
      </w:pPr>
      <w:r w:rsidRPr="0048454E">
        <w:rPr>
          <w:rFonts w:eastAsiaTheme="minorHAnsi"/>
          <w:b/>
          <w:sz w:val="24"/>
          <w:szCs w:val="24"/>
          <w:lang w:eastAsia="en-US"/>
        </w:rPr>
        <w:t>2. Výnosy</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 xml:space="preserve">Vzhledem k tomu, že Podnik poskytuje služby obecného hospodářského zájmů bezúplatně, zahrnují výnosy ze služby finanční příspěvky, dotace, dary apod. z veřejných či soukromých zdrojů (dotace od obcí, krajů, úřadu práce, ústředních orgánů státní správy, z Evropských či jiných fondů, nadací, finanční dary od fyzických či právnických osob apod.). </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b/>
          <w:sz w:val="24"/>
          <w:szCs w:val="24"/>
          <w:lang w:eastAsia="en-US"/>
        </w:rPr>
      </w:pPr>
      <w:r w:rsidRPr="0048454E">
        <w:rPr>
          <w:rFonts w:eastAsiaTheme="minorHAnsi"/>
          <w:b/>
          <w:sz w:val="24"/>
          <w:szCs w:val="24"/>
          <w:lang w:eastAsia="en-US"/>
        </w:rPr>
        <w:t xml:space="preserve">3. Náklady </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Při stanovení výše vyrovnávací platby se vychází z údajů uzavřených účetních období předchozích let, doplněných o předpokládané náklady a výnosy na realizaci závazku veřejné služby pro další rozpočtové období. Současně se vychází z vnitřní metodiky Podniku pro rozúčtování nákladů společných závazku veřejné služby a doplňkovým činnostem, kdy poměr rozúčtování činí 85:15. Tyto náklady jsou vyhodnoceny z hlediska pravidla hospodárnosti, efektivnosti, účelnosti a uznatelnosti jednotlivých nákladů. Do odhadu nákladů pro příslušný rok se bere v úvahu prognózovaná inflace, dále možný růst některých spotřebitelských cen zboží či služeb a případné nutné nečekané náklady vzniklé v souvislosti s plněním závazku veřejné služby. Náklady jsou z důvodu velkého množství proměnných stanoveny odhadem. Skutečné náklady Podniku budou vyúčtovány vždy ke dni 31.12. příslušného kalendářního roku a vzniklé rozdíly budou s pověřovatelem plně vypořádány.</w:t>
      </w:r>
    </w:p>
    <w:p w:rsidR="0048454E" w:rsidRPr="0048454E" w:rsidRDefault="0048454E" w:rsidP="0048454E">
      <w:pPr>
        <w:ind w:firstLine="708"/>
        <w:jc w:val="both"/>
        <w:rPr>
          <w:rFonts w:eastAsiaTheme="minorHAnsi"/>
          <w:sz w:val="24"/>
          <w:szCs w:val="24"/>
          <w:lang w:eastAsia="en-US"/>
        </w:rPr>
      </w:pP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 xml:space="preserve">U mzdových nákladů a zákonného sociálního pojištění se vychází opět z výše skutečných nákladů dle údajů uzavřených účetních období předchozích let. Tyto náklady jsou pro rok 2017 navýšeny o 854.000 Kč z důvodu zákonného navýšení minimální mzdy. Jelikož Úřad práce zatím neschválil navýšení podpory z tohoto důvodu, bude tyto zvýšené náklady hradit pověřovatel. Pokud v průběhu roku 2017 dojde k navýšení podpory od Úřadu práce, je Podnik povinen o tom pověřovatele informovat v souladu s čl. V odst. 4 tohoto Pověření a s pověřovatelem plně vypořádat nadměrně poskytnutou vyrovnávací platbu. Obecně mzdové náklady a zákonné sociální pojištění nelze přesně spočítat i z důvodu, že na ně mají vliv různé faktory jako např. velká fluktuace pracovníků, jejich velmi častá nemocnost či neomluvené absence, místa terénních koordinátorů částečně financovaných z úřadu práce, která nejsou vždy obsazena, a další. Z tohoto důvodu se tyto náklady stanoví odhadem. Vzhledem k tomu, že i tyto náklady podléhají přesnému každoročnímu vyúčtování, jak je uvedeno výše, budou případné rozdíly plně vypořádány. </w:t>
      </w:r>
    </w:p>
    <w:p w:rsidR="0048454E" w:rsidRPr="0048454E" w:rsidRDefault="0048454E" w:rsidP="0048454E">
      <w:pPr>
        <w:jc w:val="both"/>
        <w:rPr>
          <w:rFonts w:eastAsiaTheme="minorHAnsi"/>
          <w:sz w:val="24"/>
          <w:szCs w:val="24"/>
          <w:lang w:eastAsia="en-US"/>
        </w:rPr>
      </w:pPr>
    </w:p>
    <w:p w:rsidR="0048454E" w:rsidRDefault="0048454E" w:rsidP="0048454E">
      <w:pPr>
        <w:jc w:val="both"/>
        <w:rPr>
          <w:rFonts w:eastAsiaTheme="minorHAnsi"/>
          <w:sz w:val="24"/>
          <w:szCs w:val="24"/>
          <w:highlight w:val="yellow"/>
          <w:lang w:eastAsia="en-US"/>
        </w:rPr>
      </w:pPr>
    </w:p>
    <w:p w:rsidR="0048454E" w:rsidRPr="0048454E" w:rsidRDefault="0048454E" w:rsidP="0048454E">
      <w:pPr>
        <w:jc w:val="both"/>
        <w:rPr>
          <w:rFonts w:eastAsiaTheme="minorHAnsi"/>
          <w:sz w:val="24"/>
          <w:szCs w:val="24"/>
          <w:lang w:eastAsia="en-US"/>
        </w:rPr>
      </w:pPr>
      <w:r w:rsidRPr="00A67CD5">
        <w:rPr>
          <w:rFonts w:eastAsiaTheme="minorHAnsi"/>
          <w:sz w:val="24"/>
          <w:szCs w:val="24"/>
          <w:lang w:eastAsia="en-US"/>
        </w:rPr>
        <w:t>Dle usnesení Správní rady ze dne 3. 11. 2016 bude management Podniku rozšířen o novou pozici zástupce ředitele/provozní vedoucí. Tato pozice byla zřízena na základě dlouhodobé stagnace Podniku (nulový rozvoj, nízká míra efektivity práce zaměstnanců, nezvyšování pracovních kompetencí VPP apod.). Pro další rozvoj Podniku bude ředitel nově zajišťovat další zdroje financování (zakázky, dotace).</w:t>
      </w:r>
    </w:p>
    <w:p w:rsidR="0048454E" w:rsidRPr="0048454E" w:rsidRDefault="0048454E" w:rsidP="0048454E">
      <w:pPr>
        <w:ind w:firstLine="708"/>
        <w:jc w:val="both"/>
        <w:rPr>
          <w:rFonts w:eastAsiaTheme="minorHAnsi"/>
          <w:sz w:val="24"/>
          <w:szCs w:val="24"/>
          <w:lang w:eastAsia="en-US"/>
        </w:rPr>
      </w:pP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 xml:space="preserve">Pro určení výše vyrovnávací platby platí dále stanovené podmínky pro uznatelnost jednotlivých nákladů. </w:t>
      </w:r>
    </w:p>
    <w:p w:rsidR="0048454E" w:rsidRPr="0048454E" w:rsidRDefault="0048454E" w:rsidP="0048454E">
      <w:pPr>
        <w:ind w:firstLine="708"/>
        <w:jc w:val="both"/>
        <w:rPr>
          <w:rFonts w:eastAsiaTheme="minorHAnsi"/>
          <w:sz w:val="24"/>
          <w:szCs w:val="24"/>
          <w:lang w:eastAsia="en-US"/>
        </w:rPr>
      </w:pPr>
    </w:p>
    <w:p w:rsidR="0048454E" w:rsidRPr="0048454E" w:rsidRDefault="0048454E" w:rsidP="0048454E">
      <w:pPr>
        <w:jc w:val="both"/>
        <w:rPr>
          <w:rFonts w:eastAsiaTheme="minorHAnsi"/>
          <w:b/>
          <w:sz w:val="24"/>
          <w:szCs w:val="24"/>
          <w:lang w:eastAsia="en-US"/>
        </w:rPr>
      </w:pPr>
    </w:p>
    <w:p w:rsidR="0048454E" w:rsidRPr="0048454E" w:rsidRDefault="0048454E" w:rsidP="0048454E">
      <w:pPr>
        <w:jc w:val="both"/>
        <w:rPr>
          <w:rFonts w:asciiTheme="minorHAnsi" w:hAnsiTheme="minorHAnsi" w:cstheme="minorHAnsi"/>
          <w:sz w:val="24"/>
          <w:szCs w:val="24"/>
        </w:rPr>
      </w:pPr>
      <w:r w:rsidRPr="0048454E">
        <w:rPr>
          <w:rFonts w:eastAsiaTheme="minorHAnsi"/>
          <w:b/>
          <w:sz w:val="24"/>
          <w:szCs w:val="24"/>
          <w:lang w:eastAsia="en-US"/>
        </w:rPr>
        <w:t>Uznatelné náklady</w:t>
      </w:r>
    </w:p>
    <w:p w:rsidR="0048454E" w:rsidRPr="0048454E" w:rsidRDefault="0048454E" w:rsidP="0048454E">
      <w:pPr>
        <w:jc w:val="both"/>
        <w:rPr>
          <w:rFonts w:asciiTheme="minorHAnsi" w:hAnsiTheme="minorHAnsi" w:cstheme="minorHAnsi"/>
          <w:sz w:val="24"/>
          <w:szCs w:val="24"/>
        </w:rPr>
      </w:pP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 xml:space="preserve">Za uznatelné náklady se považují ty náklady, které prokazatelně vznikly v době trvání závazku veřejné služby, byly vynaloženy v přímé souvislosti s poskytováním služby a jsou nezbytné na zajištění služby obecného hospodářského zájmu dle čl. II Pověření. Náklady musí odpovídat cenám v místě a čase obvyklým pro danou nákladovou položku. </w:t>
      </w:r>
    </w:p>
    <w:p w:rsidR="0048454E" w:rsidRPr="0048454E" w:rsidRDefault="0048454E" w:rsidP="0048454E">
      <w:pPr>
        <w:jc w:val="both"/>
        <w:rPr>
          <w:rFonts w:eastAsiaTheme="minorHAnsi"/>
          <w:b/>
          <w:sz w:val="24"/>
          <w:szCs w:val="24"/>
          <w:lang w:eastAsia="en-US"/>
        </w:rPr>
      </w:pPr>
    </w:p>
    <w:p w:rsidR="0048454E" w:rsidRPr="0048454E" w:rsidRDefault="0048454E" w:rsidP="0048454E">
      <w:pPr>
        <w:jc w:val="both"/>
        <w:rPr>
          <w:rFonts w:eastAsiaTheme="minorHAnsi"/>
          <w:b/>
          <w:sz w:val="24"/>
          <w:szCs w:val="24"/>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501 spotřeba materiálu</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 xml:space="preserve">501/001 SM režijní materiál  - pouze nezbytně nutný materiál v cenách obvyklých  </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501/002 pracovní oděvy HČ</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501/003 drobný hmotný majetek</w:t>
      </w:r>
    </w:p>
    <w:p w:rsidR="0048454E" w:rsidRPr="0048454E" w:rsidRDefault="0048454E" w:rsidP="0048454E">
      <w:pPr>
        <w:numPr>
          <w:ilvl w:val="0"/>
          <w:numId w:val="4"/>
        </w:numPr>
        <w:overflowPunct/>
        <w:autoSpaceDE/>
        <w:autoSpaceDN/>
        <w:adjustRightInd/>
        <w:spacing w:after="160" w:line="259" w:lineRule="auto"/>
        <w:contextualSpacing/>
        <w:jc w:val="both"/>
        <w:rPr>
          <w:rFonts w:eastAsiaTheme="minorHAnsi"/>
          <w:sz w:val="24"/>
          <w:szCs w:val="24"/>
          <w:lang w:eastAsia="en-US"/>
        </w:rPr>
      </w:pPr>
      <w:r w:rsidRPr="0048454E">
        <w:rPr>
          <w:rFonts w:eastAsiaTheme="minorHAnsi"/>
          <w:sz w:val="24"/>
          <w:szCs w:val="24"/>
          <w:lang w:eastAsia="en-US"/>
        </w:rPr>
        <w:t>kancelářské vybavení jako např. telefon, počítače, skartovačka atd. pouze v případě nefunkčnosti stávajícího vybavení či v případě přechozího schválení pověřovatelem na základě žádosti příjemce s odůvodněním potřebnosti pořízení</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501/004 auto - pouze nezbytné standardní potřeby v cenách obvyklých</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501/005 drobný hmotný majetek OE</w:t>
      </w:r>
    </w:p>
    <w:p w:rsidR="0048454E" w:rsidRPr="0048454E" w:rsidRDefault="0048454E" w:rsidP="0048454E">
      <w:pPr>
        <w:numPr>
          <w:ilvl w:val="0"/>
          <w:numId w:val="4"/>
        </w:numPr>
        <w:overflowPunct/>
        <w:autoSpaceDE/>
        <w:autoSpaceDN/>
        <w:adjustRightInd/>
        <w:spacing w:after="160" w:line="259" w:lineRule="auto"/>
        <w:contextualSpacing/>
        <w:jc w:val="both"/>
        <w:rPr>
          <w:rFonts w:eastAsiaTheme="minorHAnsi"/>
          <w:sz w:val="24"/>
          <w:szCs w:val="24"/>
          <w:lang w:eastAsia="en-US"/>
        </w:rPr>
      </w:pPr>
      <w:r w:rsidRPr="0048454E">
        <w:rPr>
          <w:rFonts w:eastAsiaTheme="minorHAnsi"/>
          <w:sz w:val="24"/>
          <w:szCs w:val="24"/>
          <w:lang w:eastAsia="en-US"/>
        </w:rPr>
        <w:t>kancelářské vybavení jako např. diktafon, flash disk, kuchyňské vybavení pouze v případě nefunkčnosti stávajícího vybavení nebo v případě přechozího schválení pověřovatelem na základě žádosti příjemce s odůvodněním potřebnosti pořízení</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501/007 hygienické prostředky pro zaměstnance</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501/011 PHM</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511 opravy a udržování</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511/001 opravy a udržování</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511/101 auto (mytí auta pouze standardní v ceně obvyklé)</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lang w:eastAsia="en-US"/>
        </w:rPr>
      </w:pPr>
      <w:r w:rsidRPr="0048454E">
        <w:rPr>
          <w:rFonts w:eastAsiaTheme="minorHAnsi"/>
          <w:sz w:val="24"/>
          <w:szCs w:val="24"/>
          <w:u w:val="single"/>
          <w:lang w:eastAsia="en-US"/>
        </w:rPr>
        <w:t>512 cestovné</w:t>
      </w:r>
      <w:r w:rsidRPr="0048454E">
        <w:rPr>
          <w:rFonts w:eastAsiaTheme="minorHAnsi"/>
          <w:sz w:val="24"/>
          <w:szCs w:val="24"/>
          <w:lang w:eastAsia="en-US"/>
        </w:rPr>
        <w:t xml:space="preserve"> </w:t>
      </w:r>
    </w:p>
    <w:p w:rsidR="0048454E" w:rsidRPr="0048454E" w:rsidRDefault="0048454E" w:rsidP="0048454E">
      <w:pPr>
        <w:numPr>
          <w:ilvl w:val="0"/>
          <w:numId w:val="4"/>
        </w:numPr>
        <w:overflowPunct/>
        <w:autoSpaceDE/>
        <w:autoSpaceDN/>
        <w:adjustRightInd/>
        <w:spacing w:after="160" w:line="259" w:lineRule="auto"/>
        <w:contextualSpacing/>
        <w:jc w:val="both"/>
        <w:rPr>
          <w:rFonts w:eastAsiaTheme="minorHAnsi"/>
          <w:sz w:val="24"/>
          <w:szCs w:val="24"/>
          <w:lang w:eastAsia="en-US"/>
        </w:rPr>
      </w:pPr>
      <w:r w:rsidRPr="0048454E">
        <w:rPr>
          <w:rFonts w:eastAsiaTheme="minorHAnsi"/>
          <w:sz w:val="24"/>
          <w:szCs w:val="24"/>
          <w:lang w:eastAsia="en-US"/>
        </w:rPr>
        <w:t xml:space="preserve">pouze dobití služební OPUS karty nebo nákup kupónu MHD v celkové výši max. 3000 Kč za rok </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lang w:eastAsia="en-US"/>
        </w:rPr>
      </w:pPr>
      <w:r w:rsidRPr="0048454E">
        <w:rPr>
          <w:rFonts w:eastAsiaTheme="minorHAnsi"/>
          <w:sz w:val="24"/>
          <w:szCs w:val="24"/>
          <w:u w:val="single"/>
          <w:lang w:eastAsia="en-US"/>
        </w:rPr>
        <w:t>513 náklady na reprezentaci</w:t>
      </w:r>
    </w:p>
    <w:p w:rsidR="0048454E" w:rsidRPr="0048454E" w:rsidRDefault="0048454E" w:rsidP="0048454E">
      <w:pPr>
        <w:numPr>
          <w:ilvl w:val="0"/>
          <w:numId w:val="4"/>
        </w:numPr>
        <w:overflowPunct/>
        <w:autoSpaceDE/>
        <w:autoSpaceDN/>
        <w:adjustRightInd/>
        <w:spacing w:after="160" w:line="259" w:lineRule="auto"/>
        <w:contextualSpacing/>
        <w:jc w:val="both"/>
        <w:rPr>
          <w:rFonts w:eastAsiaTheme="minorHAnsi"/>
          <w:sz w:val="24"/>
          <w:szCs w:val="24"/>
          <w:lang w:eastAsia="en-US"/>
        </w:rPr>
      </w:pPr>
      <w:r w:rsidRPr="0048454E">
        <w:rPr>
          <w:rFonts w:eastAsiaTheme="minorHAnsi"/>
          <w:sz w:val="24"/>
          <w:szCs w:val="24"/>
          <w:lang w:eastAsia="en-US"/>
        </w:rPr>
        <w:t>pouze pro potřeby oficiálních jednání tj. 4x ročně ve výši 500 Kč tj. 2000 Kč za rok</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518 ostatní služby</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518/001 telefony</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518/002 ostatní</w:t>
      </w:r>
    </w:p>
    <w:p w:rsidR="0048454E" w:rsidRPr="0048454E" w:rsidRDefault="0048454E" w:rsidP="0048454E">
      <w:pPr>
        <w:numPr>
          <w:ilvl w:val="0"/>
          <w:numId w:val="4"/>
        </w:numPr>
        <w:overflowPunct/>
        <w:autoSpaceDE/>
        <w:autoSpaceDN/>
        <w:adjustRightInd/>
        <w:spacing w:after="160" w:line="259" w:lineRule="auto"/>
        <w:contextualSpacing/>
        <w:jc w:val="both"/>
        <w:rPr>
          <w:rFonts w:eastAsiaTheme="minorHAnsi"/>
          <w:sz w:val="24"/>
          <w:szCs w:val="24"/>
          <w:lang w:eastAsia="en-US"/>
        </w:rPr>
      </w:pPr>
      <w:r w:rsidRPr="0048454E">
        <w:rPr>
          <w:rFonts w:eastAsiaTheme="minorHAnsi"/>
          <w:sz w:val="24"/>
          <w:szCs w:val="24"/>
          <w:lang w:eastAsia="en-US"/>
        </w:rPr>
        <w:t xml:space="preserve">  školení pouze potřebná pro výkon pověřené činnosti</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518/003 poštovné</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518/004 nájemné</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518/005 drobný nehmotný majetek</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518/006 čištění pracovních oděvů</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518/007 likvidace odpadů</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521 mzdové náklady*</w:t>
      </w:r>
    </w:p>
    <w:p w:rsidR="0048454E" w:rsidRPr="0048454E" w:rsidRDefault="0048454E" w:rsidP="0048454E">
      <w:pPr>
        <w:numPr>
          <w:ilvl w:val="0"/>
          <w:numId w:val="4"/>
        </w:numPr>
        <w:overflowPunct/>
        <w:autoSpaceDE/>
        <w:autoSpaceDN/>
        <w:adjustRightInd/>
        <w:spacing w:after="160" w:line="259" w:lineRule="auto"/>
        <w:contextualSpacing/>
        <w:jc w:val="both"/>
        <w:rPr>
          <w:rFonts w:eastAsiaTheme="minorHAnsi"/>
          <w:sz w:val="24"/>
          <w:szCs w:val="24"/>
          <w:lang w:eastAsia="en-US"/>
        </w:rPr>
      </w:pPr>
      <w:r w:rsidRPr="0048454E">
        <w:rPr>
          <w:rFonts w:eastAsiaTheme="minorHAnsi"/>
          <w:sz w:val="24"/>
          <w:szCs w:val="24"/>
          <w:lang w:eastAsia="en-US"/>
        </w:rPr>
        <w:t>případné odměny pouze s předchozím souhlasem pověřovatele</w:t>
      </w:r>
    </w:p>
    <w:p w:rsidR="0048454E" w:rsidRPr="0048454E" w:rsidRDefault="0048454E" w:rsidP="0048454E">
      <w:pPr>
        <w:ind w:left="720"/>
        <w:contextualSpacing/>
        <w:jc w:val="both"/>
        <w:rPr>
          <w:rFonts w:eastAsiaTheme="minorHAnsi"/>
          <w:sz w:val="24"/>
          <w:szCs w:val="24"/>
          <w:lang w:eastAsia="en-US"/>
        </w:rPr>
      </w:pPr>
    </w:p>
    <w:p w:rsidR="0048454E" w:rsidRPr="00A67CD5" w:rsidRDefault="0048454E" w:rsidP="0048454E">
      <w:pPr>
        <w:jc w:val="both"/>
        <w:rPr>
          <w:rFonts w:eastAsiaTheme="minorHAnsi"/>
          <w:sz w:val="24"/>
          <w:szCs w:val="24"/>
          <w:lang w:eastAsia="en-US"/>
        </w:rPr>
      </w:pPr>
      <w:r w:rsidRPr="0048454E">
        <w:rPr>
          <w:rFonts w:eastAsiaTheme="minorHAnsi"/>
          <w:sz w:val="24"/>
          <w:szCs w:val="24"/>
          <w:lang w:eastAsia="en-US"/>
        </w:rPr>
        <w:t>*</w:t>
      </w:r>
      <w:r w:rsidRPr="00A67CD5">
        <w:rPr>
          <w:rFonts w:eastAsiaTheme="minorHAnsi"/>
          <w:sz w:val="24"/>
          <w:szCs w:val="24"/>
          <w:lang w:eastAsia="en-US"/>
        </w:rPr>
        <w:t>Předpokládá se, že mzdy kmenových zaměstnanců budou v roce 2017 zachovány bez navyšování v průběhu roku 2017 (kromě zákonných navýšení). Doplněna nová pracovní pozice zástupce ředitele/provozní vedoucí.</w:t>
      </w:r>
    </w:p>
    <w:p w:rsidR="0048454E" w:rsidRPr="00A67CD5" w:rsidRDefault="0048454E" w:rsidP="0048454E">
      <w:pPr>
        <w:ind w:left="720"/>
        <w:contextualSpacing/>
        <w:jc w:val="both"/>
        <w:rPr>
          <w:rFonts w:eastAsiaTheme="minorHAnsi"/>
          <w:sz w:val="24"/>
          <w:szCs w:val="24"/>
          <w:lang w:eastAsia="en-US"/>
        </w:rPr>
      </w:pPr>
    </w:p>
    <w:p w:rsidR="0048454E" w:rsidRPr="00A67CD5" w:rsidRDefault="0048454E" w:rsidP="0048454E">
      <w:pPr>
        <w:jc w:val="both"/>
        <w:rPr>
          <w:rFonts w:eastAsiaTheme="minorHAnsi"/>
          <w:sz w:val="24"/>
          <w:szCs w:val="24"/>
          <w:lang w:eastAsia="en-US"/>
        </w:rPr>
      </w:pPr>
      <w:r w:rsidRPr="00A67CD5">
        <w:rPr>
          <w:rFonts w:eastAsiaTheme="minorHAnsi"/>
          <w:sz w:val="24"/>
          <w:szCs w:val="24"/>
          <w:lang w:eastAsia="en-US"/>
        </w:rPr>
        <w:t>Návrh nové struktury organogramu Podniku pro rok 2017</w:t>
      </w:r>
    </w:p>
    <w:tbl>
      <w:tblPr>
        <w:tblStyle w:val="Mkatabulky2"/>
        <w:tblW w:w="0" w:type="auto"/>
        <w:tblLook w:val="04A0" w:firstRow="1" w:lastRow="0" w:firstColumn="1" w:lastColumn="0" w:noHBand="0" w:noVBand="1"/>
      </w:tblPr>
      <w:tblGrid>
        <w:gridCol w:w="2265"/>
        <w:gridCol w:w="2409"/>
        <w:gridCol w:w="2409"/>
        <w:gridCol w:w="1979"/>
      </w:tblGrid>
      <w:tr w:rsidR="0048454E" w:rsidRPr="00A67CD5" w:rsidTr="002A6A29">
        <w:tc>
          <w:tcPr>
            <w:tcW w:w="2265" w:type="dxa"/>
          </w:tcPr>
          <w:p w:rsidR="0048454E" w:rsidRPr="00A67CD5" w:rsidRDefault="0048454E" w:rsidP="0048454E">
            <w:pPr>
              <w:spacing w:after="160" w:line="259" w:lineRule="auto"/>
              <w:jc w:val="both"/>
              <w:rPr>
                <w:rFonts w:eastAsiaTheme="minorHAnsi"/>
                <w:sz w:val="24"/>
                <w:szCs w:val="24"/>
                <w:lang w:eastAsia="en-US"/>
              </w:rPr>
            </w:pPr>
          </w:p>
        </w:tc>
        <w:tc>
          <w:tcPr>
            <w:tcW w:w="2409" w:type="dxa"/>
          </w:tcPr>
          <w:p w:rsidR="0048454E" w:rsidRPr="00A67CD5" w:rsidRDefault="0048454E" w:rsidP="0048454E">
            <w:pPr>
              <w:spacing w:after="160" w:line="259" w:lineRule="auto"/>
              <w:jc w:val="both"/>
              <w:rPr>
                <w:rFonts w:eastAsiaTheme="minorHAnsi"/>
                <w:sz w:val="24"/>
                <w:szCs w:val="24"/>
                <w:lang w:eastAsia="en-US"/>
              </w:rPr>
            </w:pPr>
            <w:r w:rsidRPr="00A67CD5">
              <w:rPr>
                <w:rFonts w:eastAsiaTheme="minorHAnsi"/>
                <w:sz w:val="24"/>
                <w:szCs w:val="24"/>
                <w:lang w:eastAsia="en-US"/>
              </w:rPr>
              <w:t>základní mzda</w:t>
            </w:r>
          </w:p>
        </w:tc>
        <w:tc>
          <w:tcPr>
            <w:tcW w:w="2409" w:type="dxa"/>
          </w:tcPr>
          <w:p w:rsidR="0048454E" w:rsidRPr="00A67CD5" w:rsidRDefault="0048454E" w:rsidP="0048454E">
            <w:pPr>
              <w:spacing w:after="160" w:line="259" w:lineRule="auto"/>
              <w:jc w:val="both"/>
              <w:rPr>
                <w:rFonts w:eastAsiaTheme="minorHAnsi"/>
                <w:sz w:val="24"/>
                <w:szCs w:val="24"/>
                <w:lang w:eastAsia="en-US"/>
              </w:rPr>
            </w:pPr>
            <w:r w:rsidRPr="00A67CD5">
              <w:rPr>
                <w:rFonts w:eastAsiaTheme="minorHAnsi"/>
                <w:sz w:val="24"/>
                <w:szCs w:val="24"/>
                <w:lang w:eastAsia="en-US"/>
              </w:rPr>
              <w:t>osobní příplatek</w:t>
            </w:r>
          </w:p>
        </w:tc>
        <w:tc>
          <w:tcPr>
            <w:tcW w:w="1979" w:type="dxa"/>
          </w:tcPr>
          <w:p w:rsidR="0048454E" w:rsidRPr="00A67CD5" w:rsidRDefault="0048454E" w:rsidP="0048454E">
            <w:pPr>
              <w:spacing w:after="160" w:line="259" w:lineRule="auto"/>
              <w:jc w:val="both"/>
              <w:rPr>
                <w:rFonts w:eastAsiaTheme="minorHAnsi"/>
                <w:sz w:val="24"/>
                <w:szCs w:val="24"/>
                <w:lang w:eastAsia="en-US"/>
              </w:rPr>
            </w:pPr>
          </w:p>
        </w:tc>
      </w:tr>
      <w:tr w:rsidR="0048454E" w:rsidRPr="00A67CD5" w:rsidTr="002A6A29">
        <w:tc>
          <w:tcPr>
            <w:tcW w:w="2265" w:type="dxa"/>
          </w:tcPr>
          <w:p w:rsidR="0048454E" w:rsidRPr="00A67CD5" w:rsidRDefault="0048454E" w:rsidP="0048454E">
            <w:pPr>
              <w:spacing w:after="160" w:line="259" w:lineRule="auto"/>
              <w:jc w:val="both"/>
              <w:rPr>
                <w:rFonts w:eastAsiaTheme="minorHAnsi"/>
                <w:sz w:val="24"/>
                <w:szCs w:val="24"/>
                <w:lang w:eastAsia="en-US"/>
              </w:rPr>
            </w:pPr>
            <w:r w:rsidRPr="00A67CD5">
              <w:rPr>
                <w:rFonts w:eastAsiaTheme="minorHAnsi"/>
                <w:sz w:val="24"/>
                <w:szCs w:val="24"/>
                <w:lang w:eastAsia="en-US"/>
              </w:rPr>
              <w:t>ředitel společnosti</w:t>
            </w:r>
          </w:p>
        </w:tc>
        <w:tc>
          <w:tcPr>
            <w:tcW w:w="2409" w:type="dxa"/>
          </w:tcPr>
          <w:p w:rsidR="0048454E" w:rsidRPr="00A67CD5" w:rsidRDefault="0048454E" w:rsidP="00A67CD5">
            <w:pPr>
              <w:spacing w:after="160" w:line="259" w:lineRule="auto"/>
              <w:jc w:val="right"/>
              <w:rPr>
                <w:rFonts w:eastAsiaTheme="minorHAnsi"/>
                <w:sz w:val="24"/>
                <w:szCs w:val="24"/>
                <w:lang w:eastAsia="en-US"/>
              </w:rPr>
            </w:pPr>
            <w:r w:rsidRPr="00A67CD5">
              <w:rPr>
                <w:rFonts w:eastAsiaTheme="minorHAnsi"/>
                <w:sz w:val="24"/>
                <w:szCs w:val="24"/>
                <w:lang w:eastAsia="en-US"/>
              </w:rPr>
              <w:t>40 000 Kč</w:t>
            </w:r>
          </w:p>
        </w:tc>
        <w:tc>
          <w:tcPr>
            <w:tcW w:w="2409" w:type="dxa"/>
          </w:tcPr>
          <w:p w:rsidR="0048454E" w:rsidRPr="00A67CD5" w:rsidRDefault="0048454E" w:rsidP="00A67CD5">
            <w:pPr>
              <w:spacing w:after="160" w:line="259" w:lineRule="auto"/>
              <w:jc w:val="right"/>
              <w:rPr>
                <w:rFonts w:eastAsiaTheme="minorHAnsi"/>
                <w:sz w:val="24"/>
                <w:szCs w:val="24"/>
                <w:lang w:eastAsia="en-US"/>
              </w:rPr>
            </w:pPr>
          </w:p>
        </w:tc>
        <w:tc>
          <w:tcPr>
            <w:tcW w:w="1979" w:type="dxa"/>
          </w:tcPr>
          <w:p w:rsidR="0048454E" w:rsidRPr="00A67CD5" w:rsidRDefault="0048454E" w:rsidP="0048454E">
            <w:pPr>
              <w:spacing w:after="160" w:line="259" w:lineRule="auto"/>
              <w:jc w:val="both"/>
              <w:rPr>
                <w:rFonts w:eastAsiaTheme="minorHAnsi"/>
                <w:sz w:val="24"/>
                <w:szCs w:val="24"/>
                <w:lang w:eastAsia="en-US"/>
              </w:rPr>
            </w:pPr>
          </w:p>
        </w:tc>
      </w:tr>
      <w:tr w:rsidR="0048454E" w:rsidRPr="0048454E" w:rsidTr="002A6A29">
        <w:tc>
          <w:tcPr>
            <w:tcW w:w="2265" w:type="dxa"/>
          </w:tcPr>
          <w:p w:rsidR="0048454E" w:rsidRPr="00A67CD5" w:rsidRDefault="00A67CD5" w:rsidP="0048454E">
            <w:pPr>
              <w:spacing w:after="160" w:line="259" w:lineRule="auto"/>
              <w:jc w:val="both"/>
              <w:rPr>
                <w:rFonts w:eastAsiaTheme="minorHAnsi"/>
                <w:sz w:val="24"/>
                <w:szCs w:val="24"/>
                <w:lang w:eastAsia="en-US"/>
              </w:rPr>
            </w:pPr>
            <w:r>
              <w:rPr>
                <w:rFonts w:eastAsiaTheme="minorHAnsi"/>
                <w:sz w:val="24"/>
                <w:szCs w:val="24"/>
                <w:lang w:eastAsia="en-US"/>
              </w:rPr>
              <w:t>z</w:t>
            </w:r>
            <w:r w:rsidR="0048454E" w:rsidRPr="00A67CD5">
              <w:rPr>
                <w:rFonts w:eastAsiaTheme="minorHAnsi"/>
                <w:sz w:val="24"/>
                <w:szCs w:val="24"/>
                <w:lang w:eastAsia="en-US"/>
              </w:rPr>
              <w:t>ástupce ředitele/provozní vedoucí</w:t>
            </w:r>
          </w:p>
        </w:tc>
        <w:tc>
          <w:tcPr>
            <w:tcW w:w="2409" w:type="dxa"/>
          </w:tcPr>
          <w:p w:rsidR="0048454E" w:rsidRPr="00A67CD5" w:rsidRDefault="0048454E" w:rsidP="00A67CD5">
            <w:pPr>
              <w:spacing w:after="160" w:line="259" w:lineRule="auto"/>
              <w:jc w:val="right"/>
              <w:rPr>
                <w:rFonts w:eastAsiaTheme="minorHAnsi"/>
                <w:sz w:val="24"/>
                <w:szCs w:val="24"/>
                <w:lang w:eastAsia="en-US"/>
              </w:rPr>
            </w:pPr>
            <w:r w:rsidRPr="00A67CD5">
              <w:rPr>
                <w:rFonts w:eastAsiaTheme="minorHAnsi"/>
                <w:sz w:val="24"/>
                <w:szCs w:val="24"/>
                <w:lang w:eastAsia="en-US"/>
              </w:rPr>
              <w:t>31 000 Kč</w:t>
            </w:r>
          </w:p>
        </w:tc>
        <w:tc>
          <w:tcPr>
            <w:tcW w:w="2409" w:type="dxa"/>
          </w:tcPr>
          <w:p w:rsidR="0048454E" w:rsidRPr="00A67CD5" w:rsidRDefault="0048454E" w:rsidP="00A67CD5">
            <w:pPr>
              <w:spacing w:after="160" w:line="259" w:lineRule="auto"/>
              <w:jc w:val="right"/>
              <w:rPr>
                <w:rFonts w:eastAsiaTheme="minorHAnsi"/>
                <w:sz w:val="24"/>
                <w:szCs w:val="24"/>
                <w:lang w:eastAsia="en-US"/>
              </w:rPr>
            </w:pPr>
            <w:r w:rsidRPr="00A67CD5">
              <w:rPr>
                <w:rFonts w:eastAsiaTheme="minorHAnsi"/>
                <w:sz w:val="24"/>
                <w:szCs w:val="24"/>
                <w:lang w:eastAsia="en-US"/>
              </w:rPr>
              <w:t>6 000 Kč</w:t>
            </w:r>
          </w:p>
        </w:tc>
        <w:tc>
          <w:tcPr>
            <w:tcW w:w="1979" w:type="dxa"/>
          </w:tcPr>
          <w:p w:rsidR="0048454E" w:rsidRPr="0048454E" w:rsidRDefault="0048454E" w:rsidP="0048454E">
            <w:pPr>
              <w:spacing w:after="160" w:line="259" w:lineRule="auto"/>
              <w:jc w:val="both"/>
              <w:rPr>
                <w:rFonts w:eastAsiaTheme="minorHAnsi"/>
                <w:sz w:val="24"/>
                <w:szCs w:val="24"/>
                <w:lang w:eastAsia="en-US"/>
              </w:rPr>
            </w:pPr>
            <w:r w:rsidRPr="00A67CD5">
              <w:rPr>
                <w:rFonts w:eastAsiaTheme="minorHAnsi"/>
                <w:sz w:val="24"/>
                <w:szCs w:val="24"/>
                <w:lang w:eastAsia="en-US"/>
              </w:rPr>
              <w:t>2 865 Kč služ.auto</w:t>
            </w:r>
          </w:p>
        </w:tc>
      </w:tr>
      <w:tr w:rsidR="0048454E" w:rsidRPr="0048454E" w:rsidTr="002A6A29">
        <w:tc>
          <w:tcPr>
            <w:tcW w:w="2265" w:type="dxa"/>
          </w:tcPr>
          <w:p w:rsidR="0048454E" w:rsidRPr="0048454E" w:rsidRDefault="0048454E" w:rsidP="0048454E">
            <w:pPr>
              <w:spacing w:after="160" w:line="259" w:lineRule="auto"/>
              <w:jc w:val="both"/>
              <w:rPr>
                <w:rFonts w:eastAsiaTheme="minorHAnsi"/>
                <w:sz w:val="24"/>
                <w:szCs w:val="24"/>
                <w:lang w:eastAsia="en-US"/>
              </w:rPr>
            </w:pPr>
            <w:r w:rsidRPr="0048454E">
              <w:rPr>
                <w:rFonts w:eastAsiaTheme="minorHAnsi"/>
                <w:sz w:val="24"/>
                <w:szCs w:val="24"/>
                <w:lang w:eastAsia="en-US"/>
              </w:rPr>
              <w:t>účetní</w:t>
            </w:r>
          </w:p>
        </w:tc>
        <w:tc>
          <w:tcPr>
            <w:tcW w:w="2409" w:type="dxa"/>
          </w:tcPr>
          <w:p w:rsidR="0048454E" w:rsidRPr="0048454E" w:rsidRDefault="0048454E" w:rsidP="00A67CD5">
            <w:pPr>
              <w:spacing w:after="160" w:line="259" w:lineRule="auto"/>
              <w:jc w:val="right"/>
              <w:rPr>
                <w:rFonts w:eastAsiaTheme="minorHAnsi"/>
                <w:sz w:val="24"/>
                <w:szCs w:val="24"/>
                <w:lang w:eastAsia="en-US"/>
              </w:rPr>
            </w:pPr>
            <w:r w:rsidRPr="0048454E">
              <w:rPr>
                <w:rFonts w:eastAsiaTheme="minorHAnsi"/>
                <w:sz w:val="24"/>
                <w:szCs w:val="24"/>
                <w:lang w:eastAsia="en-US"/>
              </w:rPr>
              <w:t>16 200 Kč</w:t>
            </w:r>
          </w:p>
        </w:tc>
        <w:tc>
          <w:tcPr>
            <w:tcW w:w="2409" w:type="dxa"/>
          </w:tcPr>
          <w:p w:rsidR="0048454E" w:rsidRPr="0048454E" w:rsidRDefault="0048454E" w:rsidP="00A67CD5">
            <w:pPr>
              <w:spacing w:after="160" w:line="259" w:lineRule="auto"/>
              <w:jc w:val="right"/>
              <w:rPr>
                <w:rFonts w:eastAsiaTheme="minorHAnsi"/>
                <w:sz w:val="24"/>
                <w:szCs w:val="24"/>
                <w:lang w:eastAsia="en-US"/>
              </w:rPr>
            </w:pPr>
            <w:r w:rsidRPr="0048454E">
              <w:rPr>
                <w:rFonts w:eastAsiaTheme="minorHAnsi"/>
                <w:sz w:val="24"/>
                <w:szCs w:val="24"/>
                <w:lang w:eastAsia="en-US"/>
              </w:rPr>
              <w:t>5 000 Kč</w:t>
            </w:r>
          </w:p>
        </w:tc>
        <w:tc>
          <w:tcPr>
            <w:tcW w:w="1979" w:type="dxa"/>
          </w:tcPr>
          <w:p w:rsidR="0048454E" w:rsidRPr="0048454E" w:rsidRDefault="0048454E" w:rsidP="0048454E">
            <w:pPr>
              <w:spacing w:after="160" w:line="259" w:lineRule="auto"/>
              <w:jc w:val="both"/>
              <w:rPr>
                <w:rFonts w:eastAsiaTheme="minorHAnsi"/>
                <w:sz w:val="24"/>
                <w:szCs w:val="24"/>
                <w:lang w:eastAsia="en-US"/>
              </w:rPr>
            </w:pPr>
          </w:p>
        </w:tc>
      </w:tr>
      <w:tr w:rsidR="0048454E" w:rsidRPr="0048454E" w:rsidTr="002A6A29">
        <w:tc>
          <w:tcPr>
            <w:tcW w:w="2265" w:type="dxa"/>
          </w:tcPr>
          <w:p w:rsidR="0048454E" w:rsidRPr="0048454E" w:rsidRDefault="0048454E" w:rsidP="0048454E">
            <w:pPr>
              <w:spacing w:after="160" w:line="259" w:lineRule="auto"/>
              <w:jc w:val="both"/>
              <w:rPr>
                <w:rFonts w:eastAsiaTheme="minorHAnsi"/>
                <w:sz w:val="24"/>
                <w:szCs w:val="24"/>
                <w:lang w:eastAsia="en-US"/>
              </w:rPr>
            </w:pPr>
            <w:r w:rsidRPr="0048454E">
              <w:rPr>
                <w:rFonts w:eastAsiaTheme="minorHAnsi"/>
                <w:sz w:val="24"/>
                <w:szCs w:val="24"/>
                <w:lang w:eastAsia="en-US"/>
              </w:rPr>
              <w:t>koordinátor</w:t>
            </w:r>
          </w:p>
        </w:tc>
        <w:tc>
          <w:tcPr>
            <w:tcW w:w="2409" w:type="dxa"/>
          </w:tcPr>
          <w:p w:rsidR="0048454E" w:rsidRPr="0048454E" w:rsidRDefault="0048454E" w:rsidP="00A67CD5">
            <w:pPr>
              <w:spacing w:after="160" w:line="259" w:lineRule="auto"/>
              <w:jc w:val="right"/>
              <w:rPr>
                <w:rFonts w:eastAsiaTheme="minorHAnsi"/>
                <w:sz w:val="24"/>
                <w:szCs w:val="24"/>
                <w:lang w:eastAsia="en-US"/>
              </w:rPr>
            </w:pPr>
            <w:r w:rsidRPr="0048454E">
              <w:rPr>
                <w:rFonts w:eastAsiaTheme="minorHAnsi"/>
                <w:sz w:val="24"/>
                <w:szCs w:val="24"/>
                <w:lang w:eastAsia="en-US"/>
              </w:rPr>
              <w:t>19 000 Kč</w:t>
            </w:r>
          </w:p>
        </w:tc>
        <w:tc>
          <w:tcPr>
            <w:tcW w:w="2409" w:type="dxa"/>
          </w:tcPr>
          <w:p w:rsidR="0048454E" w:rsidRPr="0048454E" w:rsidRDefault="0048454E" w:rsidP="00A67CD5">
            <w:pPr>
              <w:spacing w:after="160" w:line="259" w:lineRule="auto"/>
              <w:jc w:val="right"/>
              <w:rPr>
                <w:rFonts w:eastAsiaTheme="minorHAnsi"/>
                <w:sz w:val="24"/>
                <w:szCs w:val="24"/>
                <w:lang w:eastAsia="en-US"/>
              </w:rPr>
            </w:pPr>
            <w:r w:rsidRPr="0048454E">
              <w:rPr>
                <w:rFonts w:eastAsiaTheme="minorHAnsi"/>
                <w:sz w:val="24"/>
                <w:szCs w:val="24"/>
                <w:lang w:eastAsia="en-US"/>
              </w:rPr>
              <w:t>2 500 Kč</w:t>
            </w:r>
          </w:p>
        </w:tc>
        <w:tc>
          <w:tcPr>
            <w:tcW w:w="1979" w:type="dxa"/>
          </w:tcPr>
          <w:p w:rsidR="0048454E" w:rsidRPr="0048454E" w:rsidRDefault="0048454E" w:rsidP="0048454E">
            <w:pPr>
              <w:spacing w:after="160" w:line="259" w:lineRule="auto"/>
              <w:jc w:val="both"/>
              <w:rPr>
                <w:rFonts w:eastAsiaTheme="minorHAnsi"/>
                <w:sz w:val="24"/>
                <w:szCs w:val="24"/>
                <w:lang w:eastAsia="en-US"/>
              </w:rPr>
            </w:pPr>
          </w:p>
        </w:tc>
      </w:tr>
      <w:tr w:rsidR="0048454E" w:rsidRPr="0048454E" w:rsidTr="002A6A29">
        <w:tc>
          <w:tcPr>
            <w:tcW w:w="2265" w:type="dxa"/>
          </w:tcPr>
          <w:p w:rsidR="0048454E" w:rsidRPr="0048454E" w:rsidRDefault="0048454E" w:rsidP="0048454E">
            <w:pPr>
              <w:spacing w:after="160" w:line="259" w:lineRule="auto"/>
              <w:jc w:val="both"/>
              <w:rPr>
                <w:rFonts w:eastAsiaTheme="minorHAnsi"/>
                <w:sz w:val="24"/>
                <w:szCs w:val="24"/>
                <w:lang w:eastAsia="en-US"/>
              </w:rPr>
            </w:pPr>
            <w:r w:rsidRPr="0048454E">
              <w:rPr>
                <w:rFonts w:eastAsiaTheme="minorHAnsi"/>
                <w:sz w:val="24"/>
                <w:szCs w:val="24"/>
                <w:lang w:eastAsia="en-US"/>
              </w:rPr>
              <w:t>koordinátor</w:t>
            </w:r>
          </w:p>
        </w:tc>
        <w:tc>
          <w:tcPr>
            <w:tcW w:w="2409" w:type="dxa"/>
          </w:tcPr>
          <w:p w:rsidR="0048454E" w:rsidRPr="0048454E" w:rsidRDefault="0048454E" w:rsidP="00A67CD5">
            <w:pPr>
              <w:spacing w:after="160" w:line="259" w:lineRule="auto"/>
              <w:jc w:val="right"/>
              <w:rPr>
                <w:rFonts w:eastAsiaTheme="minorHAnsi"/>
                <w:sz w:val="24"/>
                <w:szCs w:val="24"/>
                <w:lang w:eastAsia="en-US"/>
              </w:rPr>
            </w:pPr>
            <w:r w:rsidRPr="0048454E">
              <w:rPr>
                <w:rFonts w:eastAsiaTheme="minorHAnsi"/>
                <w:sz w:val="24"/>
                <w:szCs w:val="24"/>
                <w:lang w:eastAsia="en-US"/>
              </w:rPr>
              <w:t>14 700 Kč</w:t>
            </w:r>
          </w:p>
        </w:tc>
        <w:tc>
          <w:tcPr>
            <w:tcW w:w="2409" w:type="dxa"/>
          </w:tcPr>
          <w:p w:rsidR="0048454E" w:rsidRPr="0048454E" w:rsidRDefault="0048454E" w:rsidP="00A67CD5">
            <w:pPr>
              <w:spacing w:after="160" w:line="259" w:lineRule="auto"/>
              <w:jc w:val="right"/>
              <w:rPr>
                <w:rFonts w:eastAsiaTheme="minorHAnsi"/>
                <w:sz w:val="24"/>
                <w:szCs w:val="24"/>
                <w:lang w:eastAsia="en-US"/>
              </w:rPr>
            </w:pPr>
            <w:r w:rsidRPr="0048454E">
              <w:rPr>
                <w:rFonts w:eastAsiaTheme="minorHAnsi"/>
                <w:sz w:val="24"/>
                <w:szCs w:val="24"/>
                <w:lang w:eastAsia="en-US"/>
              </w:rPr>
              <w:t>4 000 Kč</w:t>
            </w:r>
          </w:p>
        </w:tc>
        <w:tc>
          <w:tcPr>
            <w:tcW w:w="1979" w:type="dxa"/>
          </w:tcPr>
          <w:p w:rsidR="0048454E" w:rsidRPr="0048454E" w:rsidRDefault="0048454E" w:rsidP="0048454E">
            <w:pPr>
              <w:spacing w:after="160" w:line="259" w:lineRule="auto"/>
              <w:jc w:val="both"/>
              <w:rPr>
                <w:rFonts w:eastAsiaTheme="minorHAnsi"/>
                <w:sz w:val="24"/>
                <w:szCs w:val="24"/>
                <w:lang w:eastAsia="en-US"/>
              </w:rPr>
            </w:pPr>
          </w:p>
        </w:tc>
      </w:tr>
      <w:tr w:rsidR="0048454E" w:rsidRPr="0048454E" w:rsidTr="002A6A29">
        <w:tc>
          <w:tcPr>
            <w:tcW w:w="2265" w:type="dxa"/>
          </w:tcPr>
          <w:p w:rsidR="0048454E" w:rsidRPr="0048454E" w:rsidRDefault="0048454E" w:rsidP="0048454E">
            <w:pPr>
              <w:spacing w:after="160" w:line="259" w:lineRule="auto"/>
              <w:jc w:val="both"/>
              <w:rPr>
                <w:rFonts w:eastAsiaTheme="minorHAnsi"/>
                <w:sz w:val="24"/>
                <w:szCs w:val="24"/>
                <w:lang w:eastAsia="en-US"/>
              </w:rPr>
            </w:pPr>
            <w:r w:rsidRPr="0048454E">
              <w:rPr>
                <w:rFonts w:eastAsiaTheme="minorHAnsi"/>
                <w:sz w:val="24"/>
                <w:szCs w:val="24"/>
                <w:lang w:eastAsia="en-US"/>
              </w:rPr>
              <w:t>koordinátor</w:t>
            </w:r>
          </w:p>
        </w:tc>
        <w:tc>
          <w:tcPr>
            <w:tcW w:w="2409" w:type="dxa"/>
          </w:tcPr>
          <w:p w:rsidR="0048454E" w:rsidRPr="0048454E" w:rsidRDefault="0048454E" w:rsidP="00A67CD5">
            <w:pPr>
              <w:spacing w:after="160" w:line="259" w:lineRule="auto"/>
              <w:jc w:val="right"/>
              <w:rPr>
                <w:rFonts w:eastAsiaTheme="minorHAnsi"/>
                <w:sz w:val="24"/>
                <w:szCs w:val="24"/>
                <w:lang w:eastAsia="en-US"/>
              </w:rPr>
            </w:pPr>
            <w:r w:rsidRPr="0048454E">
              <w:rPr>
                <w:rFonts w:eastAsiaTheme="minorHAnsi"/>
                <w:sz w:val="24"/>
                <w:szCs w:val="24"/>
                <w:lang w:eastAsia="en-US"/>
              </w:rPr>
              <w:t>14 700 Kč</w:t>
            </w:r>
          </w:p>
        </w:tc>
        <w:tc>
          <w:tcPr>
            <w:tcW w:w="2409" w:type="dxa"/>
          </w:tcPr>
          <w:p w:rsidR="0048454E" w:rsidRPr="0048454E" w:rsidRDefault="0048454E" w:rsidP="00A67CD5">
            <w:pPr>
              <w:spacing w:after="160" w:line="259" w:lineRule="auto"/>
              <w:jc w:val="right"/>
              <w:rPr>
                <w:rFonts w:eastAsiaTheme="minorHAnsi"/>
                <w:sz w:val="24"/>
                <w:szCs w:val="24"/>
                <w:lang w:eastAsia="en-US"/>
              </w:rPr>
            </w:pPr>
            <w:r w:rsidRPr="0048454E">
              <w:rPr>
                <w:rFonts w:eastAsiaTheme="minorHAnsi"/>
                <w:sz w:val="24"/>
                <w:szCs w:val="24"/>
                <w:lang w:eastAsia="en-US"/>
              </w:rPr>
              <w:t>3 000 Kč</w:t>
            </w:r>
          </w:p>
        </w:tc>
        <w:tc>
          <w:tcPr>
            <w:tcW w:w="1979" w:type="dxa"/>
          </w:tcPr>
          <w:p w:rsidR="0048454E" w:rsidRPr="0048454E" w:rsidRDefault="0048454E" w:rsidP="0048454E">
            <w:pPr>
              <w:spacing w:after="160" w:line="259" w:lineRule="auto"/>
              <w:jc w:val="both"/>
              <w:rPr>
                <w:rFonts w:eastAsiaTheme="minorHAnsi"/>
                <w:sz w:val="24"/>
                <w:szCs w:val="24"/>
                <w:lang w:eastAsia="en-US"/>
              </w:rPr>
            </w:pPr>
          </w:p>
        </w:tc>
      </w:tr>
      <w:tr w:rsidR="0048454E" w:rsidRPr="0048454E" w:rsidTr="002A6A29">
        <w:tc>
          <w:tcPr>
            <w:tcW w:w="2265" w:type="dxa"/>
          </w:tcPr>
          <w:p w:rsidR="0048454E" w:rsidRPr="0048454E" w:rsidRDefault="00A67CD5" w:rsidP="0048454E">
            <w:pPr>
              <w:spacing w:after="160" w:line="259" w:lineRule="auto"/>
              <w:jc w:val="both"/>
              <w:rPr>
                <w:rFonts w:eastAsiaTheme="minorHAnsi"/>
                <w:sz w:val="24"/>
                <w:szCs w:val="24"/>
                <w:lang w:eastAsia="en-US"/>
              </w:rPr>
            </w:pPr>
            <w:r>
              <w:rPr>
                <w:rFonts w:eastAsiaTheme="minorHAnsi"/>
                <w:sz w:val="24"/>
                <w:szCs w:val="24"/>
                <w:lang w:eastAsia="en-US"/>
              </w:rPr>
              <w:t>k</w:t>
            </w:r>
            <w:r w:rsidR="0048454E" w:rsidRPr="0048454E">
              <w:rPr>
                <w:rFonts w:eastAsiaTheme="minorHAnsi"/>
                <w:sz w:val="24"/>
                <w:szCs w:val="24"/>
                <w:lang w:eastAsia="en-US"/>
              </w:rPr>
              <w:t>oordinátor ÚP</w:t>
            </w:r>
          </w:p>
        </w:tc>
        <w:tc>
          <w:tcPr>
            <w:tcW w:w="2409" w:type="dxa"/>
          </w:tcPr>
          <w:p w:rsidR="0048454E" w:rsidRPr="0048454E" w:rsidRDefault="0048454E" w:rsidP="00A67CD5">
            <w:pPr>
              <w:numPr>
                <w:ilvl w:val="0"/>
                <w:numId w:val="5"/>
              </w:numPr>
              <w:overflowPunct/>
              <w:autoSpaceDE/>
              <w:autoSpaceDN/>
              <w:adjustRightInd/>
              <w:spacing w:after="160" w:line="259" w:lineRule="auto"/>
              <w:contextualSpacing/>
              <w:jc w:val="right"/>
              <w:rPr>
                <w:rFonts w:eastAsiaTheme="minorHAnsi"/>
                <w:sz w:val="24"/>
                <w:szCs w:val="24"/>
                <w:lang w:eastAsia="en-US"/>
              </w:rPr>
            </w:pPr>
            <w:r w:rsidRPr="0048454E">
              <w:rPr>
                <w:rFonts w:eastAsiaTheme="minorHAnsi"/>
                <w:sz w:val="24"/>
                <w:szCs w:val="24"/>
                <w:lang w:eastAsia="en-US"/>
              </w:rPr>
              <w:t>700 Kč</w:t>
            </w:r>
          </w:p>
        </w:tc>
        <w:tc>
          <w:tcPr>
            <w:tcW w:w="2409" w:type="dxa"/>
          </w:tcPr>
          <w:p w:rsidR="0048454E" w:rsidRPr="0048454E" w:rsidRDefault="0048454E" w:rsidP="00A67CD5">
            <w:pPr>
              <w:spacing w:after="160" w:line="259" w:lineRule="auto"/>
              <w:ind w:left="720"/>
              <w:contextualSpacing/>
              <w:jc w:val="right"/>
              <w:rPr>
                <w:rFonts w:eastAsiaTheme="minorHAnsi"/>
                <w:sz w:val="24"/>
                <w:szCs w:val="24"/>
                <w:lang w:eastAsia="en-US"/>
              </w:rPr>
            </w:pPr>
            <w:r w:rsidRPr="0048454E">
              <w:rPr>
                <w:rFonts w:eastAsiaTheme="minorHAnsi"/>
                <w:sz w:val="24"/>
                <w:szCs w:val="24"/>
                <w:lang w:eastAsia="en-US"/>
              </w:rPr>
              <w:t xml:space="preserve">         2 000 Kč</w:t>
            </w:r>
          </w:p>
        </w:tc>
        <w:tc>
          <w:tcPr>
            <w:tcW w:w="1979" w:type="dxa"/>
          </w:tcPr>
          <w:p w:rsidR="0048454E" w:rsidRPr="0048454E" w:rsidRDefault="0048454E" w:rsidP="0048454E">
            <w:pPr>
              <w:spacing w:after="160" w:line="259" w:lineRule="auto"/>
              <w:jc w:val="both"/>
              <w:rPr>
                <w:rFonts w:eastAsiaTheme="minorHAnsi"/>
                <w:sz w:val="24"/>
                <w:szCs w:val="24"/>
                <w:lang w:eastAsia="en-US"/>
              </w:rPr>
            </w:pPr>
          </w:p>
        </w:tc>
      </w:tr>
    </w:tbl>
    <w:p w:rsidR="0048454E" w:rsidRPr="0048454E" w:rsidRDefault="0048454E" w:rsidP="0048454E">
      <w:pPr>
        <w:ind w:left="720"/>
        <w:contextualSpacing/>
        <w:jc w:val="both"/>
        <w:rPr>
          <w:rFonts w:eastAsiaTheme="minorHAnsi"/>
          <w:sz w:val="24"/>
          <w:szCs w:val="24"/>
          <w:lang w:eastAsia="en-US"/>
        </w:rPr>
      </w:pP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V průběhu roku mohou být přijati maximálně 2 koordinátoři částečně financovaní z ÚP, jejichž mzda bude shodná se mzdou stávajícího koordinátora ÚP. Změny v nákladech s tímto související budou s pověřovatelem plně vypořádány.</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lang w:eastAsia="en-US"/>
        </w:rPr>
      </w:pPr>
      <w:r w:rsidRPr="00A67CD5">
        <w:rPr>
          <w:rFonts w:eastAsiaTheme="minorHAnsi"/>
          <w:sz w:val="24"/>
          <w:szCs w:val="24"/>
          <w:lang w:eastAsia="en-US"/>
        </w:rPr>
        <w:t>Ředitel společnosti má za úkol navýšit výnosy z doplňkové činnosti minimálně o 350 000 Kč/rok k pokrytí nových mzdových nákladů na pozici zástupce ředitele/provozní vedoucí.</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524 zákonné sociální pojištění</w:t>
      </w:r>
    </w:p>
    <w:p w:rsidR="0048454E" w:rsidRPr="0048454E" w:rsidRDefault="0048454E" w:rsidP="0048454E">
      <w:pPr>
        <w:jc w:val="both"/>
        <w:rPr>
          <w:rFonts w:eastAsiaTheme="minorHAnsi"/>
          <w:sz w:val="24"/>
          <w:szCs w:val="24"/>
          <w:u w:val="single"/>
          <w:lang w:eastAsia="en-US"/>
        </w:rPr>
      </w:pPr>
    </w:p>
    <w:p w:rsidR="0048454E" w:rsidRPr="0048454E" w:rsidRDefault="0048454E" w:rsidP="0048454E">
      <w:pPr>
        <w:jc w:val="both"/>
        <w:rPr>
          <w:rFonts w:eastAsiaTheme="minorHAnsi"/>
          <w:sz w:val="24"/>
          <w:szCs w:val="24"/>
          <w:lang w:eastAsia="en-US"/>
        </w:rPr>
      </w:pPr>
      <w:r w:rsidRPr="0048454E">
        <w:rPr>
          <w:rFonts w:eastAsiaTheme="minorHAnsi"/>
          <w:sz w:val="24"/>
          <w:szCs w:val="24"/>
          <w:u w:val="single"/>
          <w:lang w:eastAsia="en-US"/>
        </w:rPr>
        <w:t xml:space="preserve">527 zákonné sociální náklady - </w:t>
      </w:r>
      <w:r w:rsidRPr="0048454E">
        <w:rPr>
          <w:rFonts w:eastAsiaTheme="minorHAnsi"/>
          <w:sz w:val="24"/>
          <w:szCs w:val="24"/>
          <w:lang w:eastAsia="en-US"/>
        </w:rPr>
        <w:t xml:space="preserve">kromě položek uvedených mezi neuznatelnými náklady </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538 ostatní daně a poplatky</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 xml:space="preserve">538/001 poplatky – kromě položek uvedených mezi neuznatelnými náklady </w:t>
      </w:r>
    </w:p>
    <w:p w:rsidR="0048454E" w:rsidRPr="0048454E" w:rsidRDefault="0048454E" w:rsidP="0048454E">
      <w:pPr>
        <w:jc w:val="both"/>
        <w:rPr>
          <w:rFonts w:eastAsiaTheme="minorHAnsi"/>
          <w:sz w:val="24"/>
          <w:szCs w:val="24"/>
          <w:u w:val="single"/>
          <w:lang w:eastAsia="en-US"/>
        </w:rPr>
      </w:pPr>
    </w:p>
    <w:p w:rsidR="0048454E" w:rsidRPr="0048454E" w:rsidRDefault="0048454E" w:rsidP="0048454E">
      <w:pPr>
        <w:jc w:val="both"/>
        <w:rPr>
          <w:rFonts w:eastAsiaTheme="minorHAnsi"/>
          <w:sz w:val="24"/>
          <w:szCs w:val="24"/>
          <w:lang w:eastAsia="en-US"/>
        </w:rPr>
      </w:pPr>
      <w:r w:rsidRPr="0048454E">
        <w:rPr>
          <w:rFonts w:eastAsiaTheme="minorHAnsi"/>
          <w:sz w:val="24"/>
          <w:szCs w:val="24"/>
          <w:u w:val="single"/>
          <w:lang w:eastAsia="en-US"/>
        </w:rPr>
        <w:t>549 jiné ostatní náklady</w:t>
      </w:r>
      <w:r w:rsidRPr="0048454E">
        <w:rPr>
          <w:rFonts w:eastAsiaTheme="minorHAnsi"/>
          <w:sz w:val="24"/>
          <w:szCs w:val="24"/>
          <w:lang w:eastAsia="en-US"/>
        </w:rPr>
        <w:t xml:space="preserve"> (př. pojistné, bankovní poplatky)</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b/>
          <w:sz w:val="24"/>
          <w:szCs w:val="24"/>
          <w:lang w:eastAsia="en-US"/>
        </w:rPr>
      </w:pPr>
    </w:p>
    <w:p w:rsidR="0048454E" w:rsidRPr="0048454E" w:rsidRDefault="0048454E" w:rsidP="0048454E">
      <w:pPr>
        <w:jc w:val="both"/>
        <w:rPr>
          <w:rFonts w:eastAsiaTheme="minorHAnsi"/>
          <w:b/>
          <w:sz w:val="24"/>
          <w:szCs w:val="24"/>
          <w:lang w:eastAsia="en-US"/>
        </w:rPr>
      </w:pPr>
      <w:r w:rsidRPr="0048454E">
        <w:rPr>
          <w:rFonts w:eastAsiaTheme="minorHAnsi"/>
          <w:b/>
          <w:sz w:val="24"/>
          <w:szCs w:val="24"/>
          <w:lang w:eastAsia="en-US"/>
        </w:rPr>
        <w:t>Neuznatelné náklady</w:t>
      </w:r>
    </w:p>
    <w:p w:rsidR="0048454E" w:rsidRPr="0048454E" w:rsidRDefault="0048454E" w:rsidP="0048454E">
      <w:pPr>
        <w:jc w:val="both"/>
        <w:rPr>
          <w:rFonts w:eastAsiaTheme="minorHAnsi"/>
          <w:b/>
          <w:sz w:val="24"/>
          <w:szCs w:val="24"/>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501 spotřeba materiálu</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501/006 reklamní předměty</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521 mzdové náklady</w:t>
      </w: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mzdy nad rámec stanovený v tabulce mzdových nákladů výše, ledaže by byly předem schváleny poskytovatelem dotace</w:t>
      </w:r>
    </w:p>
    <w:p w:rsidR="0048454E" w:rsidRPr="0048454E" w:rsidRDefault="0048454E" w:rsidP="0048454E">
      <w:pPr>
        <w:jc w:val="both"/>
        <w:rPr>
          <w:rFonts w:eastAsiaTheme="minorHAnsi"/>
          <w:sz w:val="24"/>
          <w:szCs w:val="24"/>
          <w:u w:val="single"/>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527 zákonné sociální náklady</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preventivní péče</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538 ostatní daně a poplatky</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538/001 rozhlasový poplatek</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538/002 daně (př. dálniční známka)</w:t>
      </w: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542 ostatní pokuty a penále</w:t>
      </w:r>
    </w:p>
    <w:p w:rsidR="0048454E" w:rsidRPr="0048454E" w:rsidRDefault="0048454E" w:rsidP="0048454E">
      <w:pPr>
        <w:jc w:val="both"/>
        <w:rPr>
          <w:rFonts w:eastAsiaTheme="minorHAnsi"/>
          <w:sz w:val="24"/>
          <w:szCs w:val="24"/>
          <w:u w:val="single"/>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543 odpis nedobytné pohledávky</w:t>
      </w:r>
    </w:p>
    <w:p w:rsidR="0048454E" w:rsidRPr="0048454E" w:rsidRDefault="0048454E" w:rsidP="0048454E">
      <w:pPr>
        <w:jc w:val="both"/>
        <w:rPr>
          <w:rFonts w:eastAsiaTheme="minorHAnsi"/>
          <w:sz w:val="24"/>
          <w:szCs w:val="24"/>
          <w:u w:val="single"/>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 xml:space="preserve">544 úroky </w:t>
      </w: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545 kurzové ztráty</w:t>
      </w:r>
    </w:p>
    <w:p w:rsidR="0048454E" w:rsidRPr="0048454E" w:rsidRDefault="0048454E" w:rsidP="0048454E">
      <w:pPr>
        <w:jc w:val="both"/>
        <w:rPr>
          <w:rFonts w:eastAsiaTheme="minorHAnsi"/>
          <w:sz w:val="24"/>
          <w:szCs w:val="24"/>
          <w:u w:val="single"/>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546 dary</w:t>
      </w:r>
    </w:p>
    <w:p w:rsidR="0048454E" w:rsidRPr="0048454E" w:rsidRDefault="0048454E" w:rsidP="0048454E">
      <w:pPr>
        <w:jc w:val="both"/>
        <w:rPr>
          <w:rFonts w:eastAsiaTheme="minorHAnsi"/>
          <w:sz w:val="24"/>
          <w:szCs w:val="24"/>
          <w:u w:val="single"/>
          <w:lang w:eastAsia="en-US"/>
        </w:rPr>
      </w:pPr>
    </w:p>
    <w:p w:rsidR="0048454E" w:rsidRPr="0048454E" w:rsidRDefault="0048454E" w:rsidP="0048454E">
      <w:pPr>
        <w:jc w:val="both"/>
        <w:rPr>
          <w:rFonts w:eastAsiaTheme="minorHAnsi"/>
          <w:sz w:val="24"/>
          <w:szCs w:val="24"/>
          <w:u w:val="single"/>
          <w:lang w:eastAsia="en-US"/>
        </w:rPr>
      </w:pPr>
      <w:r w:rsidRPr="0048454E">
        <w:rPr>
          <w:rFonts w:eastAsiaTheme="minorHAnsi"/>
          <w:sz w:val="24"/>
          <w:szCs w:val="24"/>
          <w:u w:val="single"/>
          <w:lang w:eastAsia="en-US"/>
        </w:rPr>
        <w:t>548 manka a škody</w:t>
      </w:r>
    </w:p>
    <w:p w:rsidR="0048454E" w:rsidRPr="0048454E" w:rsidRDefault="0048454E" w:rsidP="0048454E">
      <w:pPr>
        <w:jc w:val="both"/>
        <w:rPr>
          <w:rFonts w:eastAsiaTheme="minorHAnsi"/>
          <w:sz w:val="24"/>
          <w:szCs w:val="24"/>
          <w:u w:val="single"/>
          <w:lang w:eastAsia="en-US"/>
        </w:rPr>
      </w:pP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 xml:space="preserve">Z výnosů z dotace úřadu práce byly v průběhu 1.1.2016 až 31.10.2016 </w:t>
      </w:r>
      <w:r w:rsidRPr="0048454E">
        <w:rPr>
          <w:rFonts w:eastAsiaTheme="minorHAnsi"/>
          <w:b/>
          <w:sz w:val="24"/>
          <w:szCs w:val="24"/>
          <w:lang w:eastAsia="en-US"/>
        </w:rPr>
        <w:t>pokryty mzdové náklady a zákonné sociální pojištění pracovníků veřejně prospěšných prací v celkové výši 8.808.066 Kč, což odhadem činí  10.570.000 Kč za rok 2016.</w:t>
      </w:r>
      <w:r w:rsidRPr="0048454E">
        <w:rPr>
          <w:rFonts w:eastAsiaTheme="minorHAnsi"/>
          <w:sz w:val="24"/>
          <w:szCs w:val="24"/>
          <w:lang w:eastAsia="en-US"/>
        </w:rPr>
        <w:t xml:space="preserve"> Při stanovení vyrovnávací platby pro rok 2017 se bude z této nákladové (a současně výnosové) položky vycházet, přestože ve skutečnosti stejná být nemusí z důvod</w:t>
      </w:r>
      <w:r w:rsidR="004D3850">
        <w:rPr>
          <w:rFonts w:eastAsiaTheme="minorHAnsi"/>
          <w:sz w:val="24"/>
          <w:szCs w:val="24"/>
          <w:lang w:eastAsia="en-US"/>
        </w:rPr>
        <w:t xml:space="preserve">ů předem neznámých proměnných. </w:t>
      </w:r>
    </w:p>
    <w:p w:rsidR="0048454E" w:rsidRPr="0048454E" w:rsidRDefault="0048454E" w:rsidP="0048454E">
      <w:pPr>
        <w:jc w:val="both"/>
        <w:rPr>
          <w:rFonts w:eastAsiaTheme="minorHAnsi"/>
          <w:sz w:val="24"/>
          <w:szCs w:val="24"/>
          <w:lang w:eastAsia="en-US"/>
        </w:rPr>
      </w:pPr>
    </w:p>
    <w:p w:rsidR="0048454E" w:rsidRDefault="0048454E" w:rsidP="0048454E">
      <w:pPr>
        <w:jc w:val="both"/>
        <w:rPr>
          <w:rFonts w:eastAsiaTheme="minorHAnsi"/>
          <w:color w:val="FF0000"/>
          <w:sz w:val="24"/>
          <w:szCs w:val="24"/>
          <w:lang w:eastAsia="en-US"/>
        </w:rPr>
      </w:pPr>
    </w:p>
    <w:p w:rsidR="0048454E" w:rsidRPr="00A67CD5" w:rsidRDefault="0048454E" w:rsidP="0048454E">
      <w:pPr>
        <w:jc w:val="both"/>
        <w:rPr>
          <w:sz w:val="24"/>
          <w:szCs w:val="24"/>
        </w:rPr>
      </w:pPr>
      <w:r w:rsidRPr="00A67CD5">
        <w:rPr>
          <w:sz w:val="24"/>
          <w:szCs w:val="24"/>
        </w:rPr>
        <w:t>Výsledná předpokládaná výše vyrovnávací platby při požadovaném počtu 85 pracovních míst veřejně prospěšných prací byla dle výše popsaného postupu stanovena na částku 17.360.000 Kč, což odpovídá nákladům ve výši 204.235 Kč na 1 pracovní místo veřejně prospěšných prací.</w:t>
      </w:r>
    </w:p>
    <w:p w:rsidR="0048454E" w:rsidRPr="00A67CD5" w:rsidRDefault="0048454E" w:rsidP="0048454E">
      <w:pPr>
        <w:jc w:val="both"/>
        <w:rPr>
          <w:sz w:val="24"/>
          <w:szCs w:val="24"/>
        </w:rPr>
      </w:pPr>
    </w:p>
    <w:p w:rsidR="0048454E" w:rsidRPr="00A67CD5" w:rsidRDefault="0048454E" w:rsidP="0048454E">
      <w:pPr>
        <w:jc w:val="both"/>
        <w:rPr>
          <w:sz w:val="24"/>
          <w:szCs w:val="24"/>
        </w:rPr>
      </w:pPr>
      <w:r w:rsidRPr="00A67CD5">
        <w:rPr>
          <w:sz w:val="24"/>
          <w:szCs w:val="24"/>
        </w:rPr>
        <w:t>Z toho se stanoví část vyrovnávací platby poskytnuté statutárním městem Liberec formou dotace pro rok 2017 ve výši 6.440.000 Kč. Všechny případné rozdíly zjištěné při vyúčtování vyrovnávací platby ke dni 31. 12. příslušného kalendářního roku budou plně vypořádány.</w:t>
      </w:r>
    </w:p>
    <w:p w:rsidR="0048454E" w:rsidRPr="0048454E" w:rsidRDefault="0048454E" w:rsidP="0048454E">
      <w:pPr>
        <w:jc w:val="both"/>
        <w:rPr>
          <w:rFonts w:eastAsiaTheme="minorHAnsi"/>
          <w:color w:val="FF0000"/>
          <w:sz w:val="24"/>
          <w:szCs w:val="24"/>
          <w:lang w:eastAsia="en-US"/>
        </w:rPr>
      </w:pPr>
    </w:p>
    <w:p w:rsidR="0048454E" w:rsidRPr="0048454E" w:rsidRDefault="0048454E" w:rsidP="0048454E">
      <w:pPr>
        <w:jc w:val="both"/>
        <w:rPr>
          <w:rFonts w:eastAsiaTheme="minorHAnsi"/>
          <w:sz w:val="24"/>
          <w:szCs w:val="24"/>
          <w:lang w:eastAsia="en-US"/>
        </w:rPr>
      </w:pP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t xml:space="preserve">Vzhledem k tomu, že příjemce obdržel v roce 2016 vyrovnávací platbu na základě Pověření k poskytování služeb obecného hospodářského zájmu schváleného usnesením Zastupitelstva města Liberec č. 68/2016, ze dne 31.3.2016, a ke dni schválení tohoto Pověření nebylo a nemohlo být provedeno úplné vyúčtování vyrovnávací platby obdržené příjemcem v roce 2016, stanoví se pro případ, že by z vyúčtování vyrovnávací platby za rok 2016 bylo zjištěno, že došlo k nadměrnému vyrovnání za plnění závazku veřejné služby dle Pověření 2, a to v částce nepřesahující 10% vyrovnávací platby stanovené pro rok 2016, že bude postupováno v souladu s čl. 6 odst. 2 Rozhodnutí SOHZ. Nadměrně vyplacená částka za rok 2016 nebude vrácena zpět na účet SML dle čl. IV odst. 5 Pověření II, ale o tuto částku bude ponížena vyrovnávací platba pro rok 2017. </w:t>
      </w:r>
    </w:p>
    <w:p w:rsidR="0048454E" w:rsidRPr="0048454E" w:rsidRDefault="0048454E" w:rsidP="0048454E">
      <w:pPr>
        <w:jc w:val="both"/>
        <w:rPr>
          <w:rFonts w:eastAsiaTheme="minorHAnsi"/>
          <w:sz w:val="24"/>
          <w:szCs w:val="24"/>
          <w:lang w:eastAsia="en-US"/>
        </w:rPr>
      </w:pPr>
      <w:r w:rsidRPr="0048454E">
        <w:rPr>
          <w:rFonts w:eastAsiaTheme="minorHAnsi"/>
          <w:sz w:val="24"/>
          <w:szCs w:val="24"/>
          <w:lang w:eastAsia="en-US"/>
        </w:rPr>
        <w:br w:type="page"/>
      </w:r>
    </w:p>
    <w:p w:rsidR="00B528FF" w:rsidRDefault="00B528FF" w:rsidP="0048454E">
      <w:pPr>
        <w:rPr>
          <w:rFonts w:eastAsia="Calibri"/>
          <w:b/>
          <w:sz w:val="24"/>
          <w:szCs w:val="24"/>
          <w:lang w:eastAsia="en-US"/>
        </w:rPr>
      </w:pPr>
      <w:r w:rsidRPr="00B528FF">
        <w:rPr>
          <w:rFonts w:eastAsia="Calibri"/>
          <w:b/>
          <w:sz w:val="24"/>
          <w:szCs w:val="24"/>
          <w:lang w:eastAsia="en-US"/>
        </w:rPr>
        <w:t>Příloha č. 2</w:t>
      </w:r>
    </w:p>
    <w:p w:rsidR="00B528FF" w:rsidRPr="00B528FF" w:rsidRDefault="00B528FF" w:rsidP="0048454E">
      <w:pPr>
        <w:rPr>
          <w:rFonts w:eastAsia="Calibri"/>
          <w:b/>
          <w:sz w:val="24"/>
          <w:szCs w:val="24"/>
          <w:lang w:eastAsia="en-US"/>
        </w:rPr>
      </w:pPr>
    </w:p>
    <w:p w:rsidR="0048454E" w:rsidRPr="00E43E1F" w:rsidRDefault="0048454E" w:rsidP="0048454E">
      <w:pPr>
        <w:rPr>
          <w:rFonts w:eastAsia="Calibri"/>
          <w:b/>
          <w:sz w:val="28"/>
          <w:szCs w:val="28"/>
          <w:lang w:eastAsia="en-US"/>
        </w:rPr>
      </w:pPr>
      <w:r w:rsidRPr="00E43E1F">
        <w:rPr>
          <w:rFonts w:eastAsia="Calibri"/>
          <w:b/>
          <w:sz w:val="28"/>
          <w:szCs w:val="28"/>
          <w:lang w:eastAsia="en-US"/>
        </w:rPr>
        <w:t>Veřejná podpora poskytnutá formou bezúplatně poskytnutých služeb:</w:t>
      </w:r>
    </w:p>
    <w:p w:rsidR="0048454E" w:rsidRPr="00E43E1F" w:rsidRDefault="0048454E" w:rsidP="0048454E">
      <w:pPr>
        <w:rPr>
          <w:rFonts w:eastAsia="Calibri"/>
          <w:sz w:val="22"/>
          <w:szCs w:val="22"/>
          <w:lang w:eastAsia="en-US"/>
        </w:rPr>
      </w:pPr>
    </w:p>
    <w:p w:rsidR="0048454E" w:rsidRPr="00E43E1F" w:rsidRDefault="0048454E" w:rsidP="0048454E">
      <w:pPr>
        <w:rPr>
          <w:rFonts w:eastAsia="Calibri"/>
          <w:b/>
          <w:szCs w:val="24"/>
          <w:lang w:eastAsia="en-US"/>
        </w:rPr>
      </w:pPr>
      <w:r w:rsidRPr="00E43E1F">
        <w:rPr>
          <w:rFonts w:eastAsia="Calibri"/>
          <w:b/>
          <w:szCs w:val="24"/>
          <w:lang w:eastAsia="en-US"/>
        </w:rPr>
        <w:t>1.</w:t>
      </w:r>
      <w:r>
        <w:rPr>
          <w:rFonts w:eastAsia="Calibri"/>
          <w:b/>
          <w:szCs w:val="24"/>
          <w:lang w:eastAsia="en-US"/>
        </w:rPr>
        <w:t xml:space="preserve"> </w:t>
      </w:r>
      <w:r w:rsidRPr="00E43E1F">
        <w:rPr>
          <w:rFonts w:eastAsia="Calibri"/>
          <w:b/>
          <w:szCs w:val="24"/>
          <w:lang w:eastAsia="en-US"/>
        </w:rPr>
        <w:t>mzdy</w:t>
      </w:r>
      <w:r w:rsidRPr="00E43E1F">
        <w:rPr>
          <w:rFonts w:eastAsia="Calibri"/>
          <w:b/>
          <w:szCs w:val="24"/>
          <w:lang w:eastAsia="en-US"/>
        </w:rPr>
        <w:tab/>
      </w:r>
    </w:p>
    <w:p w:rsidR="0048454E" w:rsidRPr="00E43E1F" w:rsidRDefault="0048454E" w:rsidP="0048454E">
      <w:pPr>
        <w:rPr>
          <w:rFonts w:eastAsia="Calibri"/>
          <w:sz w:val="22"/>
          <w:szCs w:val="22"/>
          <w:lang w:eastAsia="en-US"/>
        </w:rPr>
      </w:pPr>
      <w:r w:rsidRPr="00E43E1F">
        <w:rPr>
          <w:rFonts w:eastAsia="Calibri"/>
          <w:sz w:val="22"/>
          <w:szCs w:val="22"/>
          <w:lang w:eastAsia="en-US"/>
        </w:rPr>
        <w:tab/>
      </w:r>
      <w:r w:rsidRPr="00E43E1F">
        <w:rPr>
          <w:rFonts w:eastAsia="Calibri"/>
          <w:sz w:val="22"/>
          <w:szCs w:val="22"/>
          <w:lang w:eastAsia="en-US"/>
        </w:rPr>
        <w:tab/>
      </w:r>
      <w:r w:rsidRPr="00E43E1F">
        <w:rPr>
          <w:rFonts w:eastAsia="Calibri"/>
          <w:sz w:val="22"/>
          <w:szCs w:val="22"/>
          <w:lang w:eastAsia="en-US"/>
        </w:rPr>
        <w:tab/>
      </w:r>
    </w:p>
    <w:p w:rsidR="0048454E" w:rsidRPr="00E43E1F" w:rsidRDefault="0048454E" w:rsidP="0048454E">
      <w:pPr>
        <w:rPr>
          <w:rFonts w:eastAsia="Calibri"/>
          <w:sz w:val="22"/>
          <w:szCs w:val="22"/>
          <w:lang w:eastAsia="en-US"/>
        </w:rPr>
      </w:pPr>
      <w:r w:rsidRPr="00E43E1F">
        <w:rPr>
          <w:rFonts w:eastAsia="Calibri"/>
          <w:sz w:val="22"/>
          <w:szCs w:val="22"/>
          <w:lang w:eastAsia="en-US"/>
        </w:rPr>
        <w:t>posudek na zpracování mezd O Consult s.r.o. ze dne 23.3.2015 s úpravou na aktuální stav</w:t>
      </w:r>
      <w:r w:rsidRPr="00E43E1F">
        <w:rPr>
          <w:rFonts w:eastAsia="Calibri"/>
          <w:sz w:val="22"/>
          <w:szCs w:val="22"/>
          <w:lang w:eastAsia="en-US"/>
        </w:rPr>
        <w:tab/>
      </w:r>
    </w:p>
    <w:p w:rsidR="0048454E" w:rsidRPr="00E43E1F" w:rsidRDefault="0048454E" w:rsidP="0048454E">
      <w:pPr>
        <w:rPr>
          <w:rFonts w:eastAsia="Calibri"/>
          <w:sz w:val="22"/>
          <w:szCs w:val="22"/>
          <w:lang w:eastAsia="en-US"/>
        </w:rPr>
      </w:pPr>
    </w:p>
    <w:tbl>
      <w:tblPr>
        <w:tblW w:w="8160" w:type="dxa"/>
        <w:tblCellMar>
          <w:left w:w="70" w:type="dxa"/>
          <w:right w:w="70" w:type="dxa"/>
        </w:tblCellMar>
        <w:tblLook w:val="04A0" w:firstRow="1" w:lastRow="0" w:firstColumn="1" w:lastColumn="0" w:noHBand="0" w:noVBand="1"/>
      </w:tblPr>
      <w:tblGrid>
        <w:gridCol w:w="2180"/>
        <w:gridCol w:w="2180"/>
        <w:gridCol w:w="2140"/>
        <w:gridCol w:w="1660"/>
      </w:tblGrid>
      <w:tr w:rsidR="0048454E" w:rsidRPr="00E43E1F" w:rsidTr="002A6A29">
        <w:trPr>
          <w:trHeight w:val="600"/>
        </w:trPr>
        <w:tc>
          <w:tcPr>
            <w:tcW w:w="2180" w:type="dxa"/>
            <w:tcBorders>
              <w:top w:val="single" w:sz="8" w:space="0" w:color="auto"/>
              <w:left w:val="single" w:sz="8" w:space="0" w:color="auto"/>
              <w:bottom w:val="single" w:sz="4" w:space="0" w:color="auto"/>
              <w:right w:val="single" w:sz="4" w:space="0" w:color="auto"/>
            </w:tcBorders>
            <w:shd w:val="clear" w:color="000000" w:fill="00FF99"/>
            <w:noWrap/>
            <w:vAlign w:val="bottom"/>
            <w:hideMark/>
          </w:tcPr>
          <w:p w:rsidR="0048454E" w:rsidRPr="00E43E1F" w:rsidRDefault="0048454E" w:rsidP="002A6A29">
            <w:pPr>
              <w:rPr>
                <w:b/>
                <w:bCs/>
                <w:color w:val="000000"/>
                <w:sz w:val="22"/>
                <w:szCs w:val="22"/>
              </w:rPr>
            </w:pPr>
            <w:r w:rsidRPr="00E43E1F">
              <w:rPr>
                <w:b/>
                <w:bCs/>
                <w:color w:val="000000"/>
                <w:sz w:val="22"/>
                <w:szCs w:val="22"/>
              </w:rPr>
              <w:t>počet zaměstnanců</w:t>
            </w:r>
          </w:p>
        </w:tc>
        <w:tc>
          <w:tcPr>
            <w:tcW w:w="2180" w:type="dxa"/>
            <w:tcBorders>
              <w:top w:val="single" w:sz="8" w:space="0" w:color="auto"/>
              <w:left w:val="nil"/>
              <w:bottom w:val="single" w:sz="4" w:space="0" w:color="auto"/>
              <w:right w:val="single" w:sz="4" w:space="0" w:color="auto"/>
            </w:tcBorders>
            <w:shd w:val="clear" w:color="000000" w:fill="00FF99"/>
            <w:vAlign w:val="bottom"/>
            <w:hideMark/>
          </w:tcPr>
          <w:p w:rsidR="0048454E" w:rsidRPr="00E43E1F" w:rsidRDefault="0048454E" w:rsidP="002A6A29">
            <w:pPr>
              <w:jc w:val="center"/>
              <w:rPr>
                <w:b/>
                <w:bCs/>
                <w:color w:val="000000"/>
                <w:sz w:val="22"/>
                <w:szCs w:val="22"/>
              </w:rPr>
            </w:pPr>
            <w:r w:rsidRPr="00E43E1F">
              <w:rPr>
                <w:b/>
                <w:bCs/>
                <w:color w:val="000000"/>
                <w:sz w:val="22"/>
                <w:szCs w:val="22"/>
              </w:rPr>
              <w:t>cena za 1 zaměstnance/měsíc</w:t>
            </w:r>
          </w:p>
        </w:tc>
        <w:tc>
          <w:tcPr>
            <w:tcW w:w="2140" w:type="dxa"/>
            <w:tcBorders>
              <w:top w:val="single" w:sz="8" w:space="0" w:color="auto"/>
              <w:left w:val="nil"/>
              <w:bottom w:val="single" w:sz="4" w:space="0" w:color="auto"/>
              <w:right w:val="single" w:sz="4" w:space="0" w:color="auto"/>
            </w:tcBorders>
            <w:shd w:val="clear" w:color="000000" w:fill="00FF99"/>
            <w:noWrap/>
            <w:vAlign w:val="bottom"/>
            <w:hideMark/>
          </w:tcPr>
          <w:p w:rsidR="0048454E" w:rsidRPr="00E43E1F" w:rsidRDefault="0048454E" w:rsidP="002A6A29">
            <w:pPr>
              <w:rPr>
                <w:b/>
                <w:bCs/>
                <w:color w:val="000000"/>
                <w:sz w:val="22"/>
                <w:szCs w:val="22"/>
              </w:rPr>
            </w:pPr>
            <w:r w:rsidRPr="00E43E1F">
              <w:rPr>
                <w:b/>
                <w:bCs/>
                <w:color w:val="000000"/>
                <w:sz w:val="22"/>
                <w:szCs w:val="22"/>
              </w:rPr>
              <w:t>cena celkem za rok</w:t>
            </w:r>
          </w:p>
        </w:tc>
        <w:tc>
          <w:tcPr>
            <w:tcW w:w="1660" w:type="dxa"/>
            <w:tcBorders>
              <w:top w:val="single" w:sz="8" w:space="0" w:color="auto"/>
              <w:left w:val="nil"/>
              <w:bottom w:val="single" w:sz="4" w:space="0" w:color="auto"/>
              <w:right w:val="single" w:sz="8" w:space="0" w:color="auto"/>
            </w:tcBorders>
            <w:shd w:val="clear" w:color="000000" w:fill="00FF99"/>
            <w:noWrap/>
            <w:vAlign w:val="bottom"/>
            <w:hideMark/>
          </w:tcPr>
          <w:p w:rsidR="0048454E" w:rsidRPr="00E43E1F" w:rsidRDefault="0048454E" w:rsidP="002A6A29">
            <w:pPr>
              <w:rPr>
                <w:b/>
                <w:bCs/>
                <w:color w:val="000000"/>
                <w:sz w:val="22"/>
                <w:szCs w:val="22"/>
              </w:rPr>
            </w:pPr>
            <w:r w:rsidRPr="00E43E1F">
              <w:rPr>
                <w:b/>
                <w:bCs/>
                <w:color w:val="000000"/>
                <w:sz w:val="22"/>
                <w:szCs w:val="22"/>
              </w:rPr>
              <w:t xml:space="preserve">40% podíl SML </w:t>
            </w:r>
          </w:p>
        </w:tc>
      </w:tr>
      <w:tr w:rsidR="0048454E" w:rsidRPr="00E43E1F" w:rsidTr="002A6A29">
        <w:trPr>
          <w:trHeight w:val="315"/>
        </w:trPr>
        <w:tc>
          <w:tcPr>
            <w:tcW w:w="2180" w:type="dxa"/>
            <w:tcBorders>
              <w:top w:val="nil"/>
              <w:left w:val="single" w:sz="8" w:space="0" w:color="auto"/>
              <w:bottom w:val="single" w:sz="8" w:space="0" w:color="auto"/>
              <w:right w:val="single" w:sz="4" w:space="0" w:color="auto"/>
            </w:tcBorders>
            <w:shd w:val="clear" w:color="auto" w:fill="auto"/>
            <w:noWrap/>
            <w:vAlign w:val="bottom"/>
            <w:hideMark/>
          </w:tcPr>
          <w:p w:rsidR="0048454E" w:rsidRPr="00E43E1F" w:rsidRDefault="0048454E" w:rsidP="002A6A29">
            <w:pPr>
              <w:rPr>
                <w:color w:val="000000"/>
                <w:sz w:val="22"/>
                <w:szCs w:val="22"/>
              </w:rPr>
            </w:pPr>
            <w:r w:rsidRPr="00E43E1F">
              <w:rPr>
                <w:color w:val="000000"/>
                <w:sz w:val="22"/>
                <w:szCs w:val="22"/>
              </w:rPr>
              <w:t>120</w:t>
            </w:r>
          </w:p>
        </w:tc>
        <w:tc>
          <w:tcPr>
            <w:tcW w:w="2180" w:type="dxa"/>
            <w:tcBorders>
              <w:top w:val="nil"/>
              <w:left w:val="nil"/>
              <w:bottom w:val="single" w:sz="8" w:space="0" w:color="auto"/>
              <w:right w:val="single" w:sz="4" w:space="0" w:color="auto"/>
            </w:tcBorders>
            <w:shd w:val="clear" w:color="auto" w:fill="auto"/>
            <w:noWrap/>
            <w:vAlign w:val="bottom"/>
            <w:hideMark/>
          </w:tcPr>
          <w:p w:rsidR="0048454E" w:rsidRPr="00E43E1F" w:rsidRDefault="0048454E" w:rsidP="002A6A29">
            <w:pPr>
              <w:rPr>
                <w:color w:val="000000"/>
                <w:sz w:val="22"/>
                <w:szCs w:val="22"/>
              </w:rPr>
            </w:pPr>
            <w:r w:rsidRPr="00E43E1F">
              <w:rPr>
                <w:color w:val="000000"/>
                <w:sz w:val="22"/>
                <w:szCs w:val="22"/>
              </w:rPr>
              <w:t>200,00 Kč</w:t>
            </w:r>
          </w:p>
        </w:tc>
        <w:tc>
          <w:tcPr>
            <w:tcW w:w="2140" w:type="dxa"/>
            <w:tcBorders>
              <w:top w:val="nil"/>
              <w:left w:val="nil"/>
              <w:bottom w:val="single" w:sz="8" w:space="0" w:color="auto"/>
              <w:right w:val="single" w:sz="4" w:space="0" w:color="auto"/>
            </w:tcBorders>
            <w:shd w:val="clear" w:color="auto" w:fill="auto"/>
            <w:noWrap/>
            <w:vAlign w:val="bottom"/>
            <w:hideMark/>
          </w:tcPr>
          <w:p w:rsidR="0048454E" w:rsidRPr="00E43E1F" w:rsidRDefault="0048454E" w:rsidP="002A6A29">
            <w:pPr>
              <w:rPr>
                <w:color w:val="000000"/>
                <w:sz w:val="22"/>
                <w:szCs w:val="22"/>
              </w:rPr>
            </w:pPr>
            <w:r w:rsidRPr="00E43E1F">
              <w:rPr>
                <w:color w:val="000000"/>
                <w:sz w:val="22"/>
                <w:szCs w:val="22"/>
              </w:rPr>
              <w:t>288 000,00 Kč</w:t>
            </w:r>
          </w:p>
        </w:tc>
        <w:tc>
          <w:tcPr>
            <w:tcW w:w="1660" w:type="dxa"/>
            <w:tcBorders>
              <w:top w:val="nil"/>
              <w:left w:val="nil"/>
              <w:bottom w:val="single" w:sz="8" w:space="0" w:color="auto"/>
              <w:right w:val="single" w:sz="8" w:space="0" w:color="auto"/>
            </w:tcBorders>
            <w:shd w:val="clear" w:color="auto" w:fill="auto"/>
            <w:noWrap/>
            <w:vAlign w:val="bottom"/>
            <w:hideMark/>
          </w:tcPr>
          <w:p w:rsidR="0048454E" w:rsidRPr="00E43E1F" w:rsidRDefault="0048454E" w:rsidP="002A6A29">
            <w:pPr>
              <w:rPr>
                <w:b/>
                <w:color w:val="000000"/>
                <w:sz w:val="22"/>
                <w:szCs w:val="22"/>
              </w:rPr>
            </w:pPr>
            <w:r w:rsidRPr="00E43E1F">
              <w:rPr>
                <w:b/>
                <w:color w:val="000000"/>
                <w:sz w:val="22"/>
                <w:szCs w:val="22"/>
              </w:rPr>
              <w:t>115 200,00 Kč</w:t>
            </w:r>
          </w:p>
        </w:tc>
      </w:tr>
    </w:tbl>
    <w:p w:rsidR="0048454E" w:rsidRPr="00E43E1F" w:rsidRDefault="0048454E" w:rsidP="0048454E">
      <w:pPr>
        <w:rPr>
          <w:rFonts w:eastAsia="Calibri"/>
          <w:sz w:val="22"/>
          <w:szCs w:val="22"/>
          <w:lang w:eastAsia="en-US"/>
        </w:rPr>
      </w:pPr>
    </w:p>
    <w:p w:rsidR="0048454E" w:rsidRPr="00E43E1F" w:rsidRDefault="0048454E" w:rsidP="0048454E">
      <w:pPr>
        <w:rPr>
          <w:rFonts w:eastAsia="Calibri"/>
          <w:b/>
          <w:szCs w:val="24"/>
          <w:lang w:eastAsia="en-US"/>
        </w:rPr>
      </w:pPr>
      <w:r w:rsidRPr="00E43E1F">
        <w:rPr>
          <w:rFonts w:eastAsia="Calibri"/>
          <w:b/>
          <w:szCs w:val="24"/>
          <w:lang w:eastAsia="en-US"/>
        </w:rPr>
        <w:t>2.</w:t>
      </w:r>
      <w:r>
        <w:rPr>
          <w:rFonts w:eastAsia="Calibri"/>
          <w:b/>
          <w:szCs w:val="24"/>
          <w:lang w:eastAsia="en-US"/>
        </w:rPr>
        <w:t xml:space="preserve"> </w:t>
      </w:r>
      <w:r w:rsidRPr="00E43E1F">
        <w:rPr>
          <w:rFonts w:eastAsia="Calibri"/>
          <w:b/>
          <w:szCs w:val="24"/>
          <w:lang w:eastAsia="en-US"/>
        </w:rPr>
        <w:t>nájemné</w:t>
      </w:r>
    </w:p>
    <w:p w:rsidR="0048454E" w:rsidRPr="00E43E1F" w:rsidRDefault="0048454E" w:rsidP="0048454E">
      <w:pPr>
        <w:rPr>
          <w:rFonts w:eastAsia="Calibri"/>
          <w:sz w:val="22"/>
          <w:szCs w:val="22"/>
          <w:lang w:eastAsia="en-US"/>
        </w:rPr>
      </w:pPr>
      <w:r w:rsidRPr="00E43E1F">
        <w:rPr>
          <w:rFonts w:eastAsia="Calibri"/>
          <w:sz w:val="22"/>
          <w:szCs w:val="22"/>
          <w:lang w:eastAsia="en-US"/>
        </w:rPr>
        <w:tab/>
      </w:r>
      <w:r w:rsidRPr="00E43E1F">
        <w:rPr>
          <w:rFonts w:eastAsia="Calibri"/>
          <w:sz w:val="22"/>
          <w:szCs w:val="22"/>
          <w:lang w:eastAsia="en-US"/>
        </w:rPr>
        <w:tab/>
      </w:r>
      <w:r w:rsidRPr="00E43E1F">
        <w:rPr>
          <w:rFonts w:eastAsia="Calibri"/>
          <w:sz w:val="22"/>
          <w:szCs w:val="22"/>
          <w:lang w:eastAsia="en-US"/>
        </w:rPr>
        <w:tab/>
      </w:r>
    </w:p>
    <w:p w:rsidR="0048454E" w:rsidRPr="00E43E1F" w:rsidRDefault="0048454E" w:rsidP="0048454E">
      <w:pPr>
        <w:rPr>
          <w:rFonts w:eastAsia="Calibri"/>
          <w:sz w:val="22"/>
          <w:szCs w:val="22"/>
          <w:lang w:eastAsia="en-US"/>
        </w:rPr>
      </w:pPr>
      <w:r w:rsidRPr="00E43E1F">
        <w:rPr>
          <w:rFonts w:eastAsia="Calibri"/>
          <w:sz w:val="22"/>
          <w:szCs w:val="22"/>
          <w:lang w:eastAsia="en-US"/>
        </w:rPr>
        <w:t>Výpočet vychází z ceny pronájmů v místě a čase obvyklé a z interního předpisu pro stanovení nájemného za užívání prostoru nebo místnosti ve vlastnictví statutárního města Liberec (13. schůze Rady města ze dne 19.7.2016 usnesení č. 607/2016)</w:t>
      </w:r>
      <w:r w:rsidRPr="00E43E1F">
        <w:rPr>
          <w:rFonts w:eastAsia="Calibri"/>
          <w:sz w:val="22"/>
          <w:szCs w:val="22"/>
          <w:lang w:eastAsia="en-US"/>
        </w:rPr>
        <w:tab/>
      </w:r>
    </w:p>
    <w:p w:rsidR="0048454E" w:rsidRPr="00E43E1F" w:rsidRDefault="0048454E" w:rsidP="0048454E">
      <w:pPr>
        <w:rPr>
          <w:rFonts w:eastAsia="Calibri"/>
          <w:sz w:val="22"/>
          <w:szCs w:val="22"/>
          <w:lang w:eastAsia="en-US"/>
        </w:rPr>
      </w:pPr>
    </w:p>
    <w:tbl>
      <w:tblPr>
        <w:tblW w:w="8160" w:type="dxa"/>
        <w:tblCellMar>
          <w:left w:w="70" w:type="dxa"/>
          <w:right w:w="70" w:type="dxa"/>
        </w:tblCellMar>
        <w:tblLook w:val="04A0" w:firstRow="1" w:lastRow="0" w:firstColumn="1" w:lastColumn="0" w:noHBand="0" w:noVBand="1"/>
      </w:tblPr>
      <w:tblGrid>
        <w:gridCol w:w="2180"/>
        <w:gridCol w:w="2180"/>
        <w:gridCol w:w="2009"/>
        <w:gridCol w:w="1791"/>
      </w:tblGrid>
      <w:tr w:rsidR="0048454E" w:rsidRPr="00E43E1F" w:rsidTr="002A6A29">
        <w:trPr>
          <w:trHeight w:val="645"/>
        </w:trPr>
        <w:tc>
          <w:tcPr>
            <w:tcW w:w="2180" w:type="dxa"/>
            <w:tcBorders>
              <w:top w:val="single" w:sz="8" w:space="0" w:color="auto"/>
              <w:left w:val="single" w:sz="8" w:space="0" w:color="auto"/>
              <w:bottom w:val="single" w:sz="4" w:space="0" w:color="auto"/>
              <w:right w:val="single" w:sz="4" w:space="0" w:color="auto"/>
            </w:tcBorders>
            <w:shd w:val="clear" w:color="000000" w:fill="00FF99"/>
            <w:noWrap/>
            <w:vAlign w:val="bottom"/>
            <w:hideMark/>
          </w:tcPr>
          <w:p w:rsidR="0048454E" w:rsidRPr="00E43E1F" w:rsidRDefault="0048454E" w:rsidP="002A6A29">
            <w:pPr>
              <w:rPr>
                <w:b/>
                <w:bCs/>
                <w:color w:val="000000"/>
                <w:sz w:val="22"/>
                <w:szCs w:val="22"/>
              </w:rPr>
            </w:pPr>
            <w:r w:rsidRPr="00E43E1F">
              <w:rPr>
                <w:b/>
                <w:bCs/>
                <w:color w:val="000000"/>
                <w:sz w:val="22"/>
                <w:szCs w:val="22"/>
              </w:rPr>
              <w:t>pronajaté prostory</w:t>
            </w:r>
          </w:p>
        </w:tc>
        <w:tc>
          <w:tcPr>
            <w:tcW w:w="2180" w:type="dxa"/>
            <w:tcBorders>
              <w:top w:val="single" w:sz="8" w:space="0" w:color="auto"/>
              <w:left w:val="nil"/>
              <w:bottom w:val="single" w:sz="4" w:space="0" w:color="auto"/>
              <w:right w:val="single" w:sz="4" w:space="0" w:color="auto"/>
            </w:tcBorders>
            <w:shd w:val="clear" w:color="000000" w:fill="00FF99"/>
            <w:vAlign w:val="bottom"/>
            <w:hideMark/>
          </w:tcPr>
          <w:p w:rsidR="0048454E" w:rsidRPr="00E43E1F" w:rsidRDefault="0048454E" w:rsidP="002A6A29">
            <w:pPr>
              <w:rPr>
                <w:b/>
                <w:bCs/>
                <w:color w:val="000000"/>
                <w:sz w:val="22"/>
                <w:szCs w:val="22"/>
              </w:rPr>
            </w:pPr>
            <w:r w:rsidRPr="00E43E1F">
              <w:rPr>
                <w:b/>
                <w:bCs/>
                <w:color w:val="000000"/>
                <w:sz w:val="22"/>
                <w:szCs w:val="22"/>
              </w:rPr>
              <w:t>plocha pronajatých prostor m</w:t>
            </w:r>
            <w:r w:rsidRPr="00E43E1F">
              <w:rPr>
                <w:b/>
                <w:bCs/>
                <w:color w:val="000000"/>
                <w:sz w:val="22"/>
                <w:szCs w:val="22"/>
                <w:vertAlign w:val="superscript"/>
              </w:rPr>
              <w:t>2</w:t>
            </w:r>
          </w:p>
        </w:tc>
        <w:tc>
          <w:tcPr>
            <w:tcW w:w="2009" w:type="dxa"/>
            <w:tcBorders>
              <w:top w:val="single" w:sz="8" w:space="0" w:color="auto"/>
              <w:left w:val="nil"/>
              <w:bottom w:val="single" w:sz="4" w:space="0" w:color="auto"/>
              <w:right w:val="single" w:sz="4" w:space="0" w:color="auto"/>
            </w:tcBorders>
            <w:shd w:val="clear" w:color="000000" w:fill="00FF99"/>
            <w:noWrap/>
            <w:vAlign w:val="bottom"/>
            <w:hideMark/>
          </w:tcPr>
          <w:p w:rsidR="0048454E" w:rsidRPr="00E43E1F" w:rsidRDefault="0048454E" w:rsidP="002A6A29">
            <w:pPr>
              <w:rPr>
                <w:b/>
                <w:bCs/>
                <w:color w:val="000000"/>
                <w:sz w:val="22"/>
                <w:szCs w:val="22"/>
              </w:rPr>
            </w:pPr>
            <w:r w:rsidRPr="00E43E1F">
              <w:rPr>
                <w:b/>
                <w:bCs/>
                <w:color w:val="000000"/>
                <w:sz w:val="22"/>
                <w:szCs w:val="22"/>
              </w:rPr>
              <w:t>cena za 1m</w:t>
            </w:r>
            <w:r w:rsidRPr="00E43E1F">
              <w:rPr>
                <w:b/>
                <w:bCs/>
                <w:color w:val="000000"/>
                <w:sz w:val="22"/>
                <w:szCs w:val="22"/>
                <w:vertAlign w:val="superscript"/>
              </w:rPr>
              <w:t>2</w:t>
            </w:r>
            <w:r w:rsidRPr="00E43E1F">
              <w:rPr>
                <w:b/>
                <w:bCs/>
                <w:color w:val="000000"/>
                <w:sz w:val="22"/>
                <w:szCs w:val="22"/>
              </w:rPr>
              <w:t>/měsíc</w:t>
            </w:r>
          </w:p>
        </w:tc>
        <w:tc>
          <w:tcPr>
            <w:tcW w:w="1791" w:type="dxa"/>
            <w:tcBorders>
              <w:top w:val="single" w:sz="8" w:space="0" w:color="auto"/>
              <w:left w:val="nil"/>
              <w:bottom w:val="single" w:sz="4" w:space="0" w:color="auto"/>
              <w:right w:val="single" w:sz="8" w:space="0" w:color="auto"/>
            </w:tcBorders>
            <w:shd w:val="clear" w:color="000000" w:fill="00FF99"/>
            <w:noWrap/>
            <w:vAlign w:val="bottom"/>
            <w:hideMark/>
          </w:tcPr>
          <w:p w:rsidR="0048454E" w:rsidRPr="00E43E1F" w:rsidRDefault="0048454E" w:rsidP="002A6A29">
            <w:pPr>
              <w:rPr>
                <w:b/>
                <w:bCs/>
                <w:color w:val="000000"/>
                <w:sz w:val="22"/>
                <w:szCs w:val="22"/>
              </w:rPr>
            </w:pPr>
            <w:r w:rsidRPr="00E43E1F">
              <w:rPr>
                <w:b/>
                <w:bCs/>
                <w:color w:val="000000"/>
                <w:sz w:val="22"/>
                <w:szCs w:val="22"/>
              </w:rPr>
              <w:t>cena celkem/rok</w:t>
            </w:r>
          </w:p>
        </w:tc>
      </w:tr>
      <w:tr w:rsidR="0048454E" w:rsidRPr="00E43E1F" w:rsidTr="002A6A29">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48454E" w:rsidRPr="00E43E1F" w:rsidRDefault="0048454E" w:rsidP="002A6A29">
            <w:pPr>
              <w:rPr>
                <w:color w:val="000000"/>
                <w:sz w:val="22"/>
                <w:szCs w:val="22"/>
              </w:rPr>
            </w:pPr>
            <w:r w:rsidRPr="00E43E1F">
              <w:rPr>
                <w:color w:val="000000"/>
                <w:sz w:val="22"/>
                <w:szCs w:val="22"/>
              </w:rPr>
              <w:t>budova</w:t>
            </w:r>
          </w:p>
        </w:tc>
        <w:tc>
          <w:tcPr>
            <w:tcW w:w="2180" w:type="dxa"/>
            <w:tcBorders>
              <w:top w:val="nil"/>
              <w:left w:val="nil"/>
              <w:bottom w:val="single" w:sz="4" w:space="0" w:color="auto"/>
              <w:right w:val="single" w:sz="4"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159,87</w:t>
            </w:r>
          </w:p>
        </w:tc>
        <w:tc>
          <w:tcPr>
            <w:tcW w:w="2009" w:type="dxa"/>
            <w:tcBorders>
              <w:top w:val="nil"/>
              <w:left w:val="nil"/>
              <w:bottom w:val="single" w:sz="4" w:space="0" w:color="auto"/>
              <w:right w:val="single" w:sz="4"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125,00 Kč</w:t>
            </w:r>
          </w:p>
        </w:tc>
        <w:tc>
          <w:tcPr>
            <w:tcW w:w="1791" w:type="dxa"/>
            <w:tcBorders>
              <w:top w:val="nil"/>
              <w:left w:val="nil"/>
              <w:bottom w:val="single" w:sz="4" w:space="0" w:color="auto"/>
              <w:right w:val="single" w:sz="8"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239 805,00 Kč</w:t>
            </w:r>
          </w:p>
        </w:tc>
      </w:tr>
      <w:tr w:rsidR="0048454E" w:rsidRPr="00E43E1F" w:rsidTr="002A6A29">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48454E" w:rsidRPr="00E43E1F" w:rsidRDefault="0048454E" w:rsidP="002A6A29">
            <w:pPr>
              <w:rPr>
                <w:color w:val="000000"/>
                <w:sz w:val="22"/>
                <w:szCs w:val="22"/>
              </w:rPr>
            </w:pPr>
            <w:r w:rsidRPr="00E43E1F">
              <w:rPr>
                <w:color w:val="000000"/>
                <w:sz w:val="22"/>
                <w:szCs w:val="22"/>
              </w:rPr>
              <w:t>garáž</w:t>
            </w:r>
          </w:p>
        </w:tc>
        <w:tc>
          <w:tcPr>
            <w:tcW w:w="2180" w:type="dxa"/>
            <w:tcBorders>
              <w:top w:val="nil"/>
              <w:left w:val="nil"/>
              <w:bottom w:val="single" w:sz="4" w:space="0" w:color="auto"/>
              <w:right w:val="single" w:sz="4"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37,32</w:t>
            </w:r>
          </w:p>
        </w:tc>
        <w:tc>
          <w:tcPr>
            <w:tcW w:w="2009" w:type="dxa"/>
            <w:tcBorders>
              <w:top w:val="nil"/>
              <w:left w:val="nil"/>
              <w:bottom w:val="single" w:sz="4" w:space="0" w:color="auto"/>
              <w:right w:val="single" w:sz="4"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125,00 Kč</w:t>
            </w:r>
          </w:p>
        </w:tc>
        <w:tc>
          <w:tcPr>
            <w:tcW w:w="1791" w:type="dxa"/>
            <w:tcBorders>
              <w:top w:val="nil"/>
              <w:left w:val="nil"/>
              <w:bottom w:val="single" w:sz="4" w:space="0" w:color="auto"/>
              <w:right w:val="single" w:sz="8"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55 980,00 Kč</w:t>
            </w:r>
          </w:p>
        </w:tc>
      </w:tr>
      <w:tr w:rsidR="0048454E" w:rsidRPr="00E43E1F" w:rsidTr="002A6A29">
        <w:trPr>
          <w:trHeight w:val="315"/>
        </w:trPr>
        <w:tc>
          <w:tcPr>
            <w:tcW w:w="2180" w:type="dxa"/>
            <w:tcBorders>
              <w:top w:val="nil"/>
              <w:left w:val="single" w:sz="8" w:space="0" w:color="auto"/>
              <w:bottom w:val="single" w:sz="8" w:space="0" w:color="auto"/>
              <w:right w:val="single" w:sz="4" w:space="0" w:color="auto"/>
            </w:tcBorders>
            <w:shd w:val="clear" w:color="auto" w:fill="auto"/>
            <w:noWrap/>
            <w:vAlign w:val="bottom"/>
            <w:hideMark/>
          </w:tcPr>
          <w:p w:rsidR="0048454E" w:rsidRPr="00E43E1F" w:rsidRDefault="0048454E" w:rsidP="002A6A29">
            <w:pPr>
              <w:rPr>
                <w:b/>
                <w:bCs/>
                <w:color w:val="000000"/>
                <w:sz w:val="22"/>
                <w:szCs w:val="22"/>
              </w:rPr>
            </w:pPr>
            <w:r w:rsidRPr="00E43E1F">
              <w:rPr>
                <w:b/>
                <w:bCs/>
                <w:color w:val="000000"/>
                <w:sz w:val="22"/>
                <w:szCs w:val="22"/>
              </w:rPr>
              <w:t>celkem</w:t>
            </w:r>
          </w:p>
        </w:tc>
        <w:tc>
          <w:tcPr>
            <w:tcW w:w="2180" w:type="dxa"/>
            <w:tcBorders>
              <w:top w:val="nil"/>
              <w:left w:val="nil"/>
              <w:bottom w:val="single" w:sz="8" w:space="0" w:color="auto"/>
              <w:right w:val="single" w:sz="4" w:space="0" w:color="auto"/>
            </w:tcBorders>
            <w:shd w:val="clear" w:color="auto" w:fill="auto"/>
            <w:noWrap/>
            <w:vAlign w:val="bottom"/>
            <w:hideMark/>
          </w:tcPr>
          <w:p w:rsidR="0048454E" w:rsidRPr="00E43E1F" w:rsidRDefault="0048454E" w:rsidP="002A6A29">
            <w:pPr>
              <w:jc w:val="right"/>
              <w:rPr>
                <w:b/>
                <w:bCs/>
                <w:color w:val="000000"/>
                <w:sz w:val="22"/>
                <w:szCs w:val="22"/>
              </w:rPr>
            </w:pPr>
            <w:r w:rsidRPr="00E43E1F">
              <w:rPr>
                <w:b/>
                <w:bCs/>
                <w:color w:val="000000"/>
                <w:sz w:val="22"/>
                <w:szCs w:val="22"/>
              </w:rPr>
              <w:t>197,19</w:t>
            </w:r>
          </w:p>
        </w:tc>
        <w:tc>
          <w:tcPr>
            <w:tcW w:w="2009" w:type="dxa"/>
            <w:tcBorders>
              <w:top w:val="nil"/>
              <w:left w:val="nil"/>
              <w:bottom w:val="single" w:sz="8" w:space="0" w:color="auto"/>
              <w:right w:val="single" w:sz="4" w:space="0" w:color="auto"/>
            </w:tcBorders>
            <w:shd w:val="clear" w:color="auto" w:fill="auto"/>
            <w:noWrap/>
            <w:vAlign w:val="bottom"/>
            <w:hideMark/>
          </w:tcPr>
          <w:p w:rsidR="0048454E" w:rsidRPr="00E43E1F" w:rsidRDefault="0048454E" w:rsidP="002A6A29">
            <w:pPr>
              <w:jc w:val="right"/>
              <w:rPr>
                <w:b/>
                <w:bCs/>
                <w:color w:val="000000"/>
                <w:sz w:val="22"/>
                <w:szCs w:val="22"/>
              </w:rPr>
            </w:pPr>
            <w:r w:rsidRPr="00E43E1F">
              <w:rPr>
                <w:b/>
                <w:bCs/>
                <w:color w:val="000000"/>
                <w:sz w:val="22"/>
                <w:szCs w:val="22"/>
              </w:rPr>
              <w:t>125,00 Kč</w:t>
            </w:r>
          </w:p>
        </w:tc>
        <w:tc>
          <w:tcPr>
            <w:tcW w:w="1791" w:type="dxa"/>
            <w:tcBorders>
              <w:top w:val="nil"/>
              <w:left w:val="nil"/>
              <w:bottom w:val="single" w:sz="8" w:space="0" w:color="auto"/>
              <w:right w:val="single" w:sz="8" w:space="0" w:color="auto"/>
            </w:tcBorders>
            <w:shd w:val="clear" w:color="auto" w:fill="auto"/>
            <w:noWrap/>
            <w:vAlign w:val="bottom"/>
            <w:hideMark/>
          </w:tcPr>
          <w:p w:rsidR="0048454E" w:rsidRPr="00E43E1F" w:rsidRDefault="0048454E" w:rsidP="002A6A29">
            <w:pPr>
              <w:jc w:val="right"/>
              <w:rPr>
                <w:b/>
                <w:bCs/>
                <w:color w:val="000000"/>
                <w:sz w:val="22"/>
                <w:szCs w:val="22"/>
              </w:rPr>
            </w:pPr>
            <w:r w:rsidRPr="00E43E1F">
              <w:rPr>
                <w:b/>
                <w:bCs/>
                <w:color w:val="000000"/>
                <w:sz w:val="22"/>
                <w:szCs w:val="22"/>
              </w:rPr>
              <w:t>295 785,00 Kč</w:t>
            </w:r>
          </w:p>
        </w:tc>
      </w:tr>
    </w:tbl>
    <w:p w:rsidR="0048454E" w:rsidRPr="00E43E1F" w:rsidRDefault="0048454E" w:rsidP="0048454E">
      <w:pPr>
        <w:rPr>
          <w:rFonts w:eastAsia="Calibri"/>
          <w:sz w:val="22"/>
          <w:szCs w:val="22"/>
          <w:lang w:eastAsia="en-US"/>
        </w:rPr>
      </w:pPr>
    </w:p>
    <w:p w:rsidR="0048454E" w:rsidRPr="00E43E1F" w:rsidRDefault="0048454E" w:rsidP="0048454E">
      <w:pPr>
        <w:rPr>
          <w:rFonts w:eastAsia="Calibri"/>
          <w:sz w:val="22"/>
          <w:szCs w:val="22"/>
          <w:lang w:eastAsia="en-US"/>
        </w:rPr>
      </w:pPr>
    </w:p>
    <w:p w:rsidR="0048454E" w:rsidRPr="00E43E1F" w:rsidRDefault="0048454E" w:rsidP="0048454E">
      <w:pPr>
        <w:rPr>
          <w:rFonts w:eastAsia="Calibri"/>
          <w:b/>
          <w:szCs w:val="24"/>
          <w:lang w:eastAsia="en-US"/>
        </w:rPr>
      </w:pPr>
      <w:r w:rsidRPr="00E43E1F">
        <w:rPr>
          <w:rFonts w:eastAsia="Calibri"/>
          <w:b/>
          <w:szCs w:val="24"/>
          <w:lang w:eastAsia="en-US"/>
        </w:rPr>
        <w:t>3. bezúplatně poskytnuté energie</w:t>
      </w:r>
    </w:p>
    <w:p w:rsidR="0048454E" w:rsidRPr="00E43E1F" w:rsidRDefault="0048454E" w:rsidP="0048454E">
      <w:pPr>
        <w:rPr>
          <w:rFonts w:eastAsia="Calibri"/>
          <w:sz w:val="22"/>
          <w:szCs w:val="22"/>
          <w:lang w:eastAsia="en-US"/>
        </w:rPr>
      </w:pPr>
    </w:p>
    <w:p w:rsidR="0048454E" w:rsidRPr="00E43E1F" w:rsidRDefault="0048454E" w:rsidP="0048454E">
      <w:pPr>
        <w:rPr>
          <w:rFonts w:eastAsia="Calibri"/>
          <w:sz w:val="22"/>
          <w:szCs w:val="22"/>
          <w:lang w:eastAsia="en-US"/>
        </w:rPr>
      </w:pPr>
      <w:r w:rsidRPr="00E43E1F">
        <w:rPr>
          <w:rFonts w:eastAsia="Calibri"/>
          <w:sz w:val="22"/>
          <w:szCs w:val="22"/>
          <w:lang w:eastAsia="en-US"/>
        </w:rPr>
        <w:t xml:space="preserve">Změna sídla Podniku byla uskutečněna v průběhu roku 2016 a nedošlo tedy ještě k ročnímu vyúčtování energií. Pro určení výše veřejné podpory se vychází z výše zálohových plateb. </w:t>
      </w:r>
    </w:p>
    <w:p w:rsidR="0048454E" w:rsidRPr="00E43E1F" w:rsidRDefault="0048454E" w:rsidP="0048454E">
      <w:pPr>
        <w:rPr>
          <w:rFonts w:eastAsia="Calibri"/>
          <w:sz w:val="22"/>
          <w:szCs w:val="22"/>
          <w:lang w:eastAsia="en-US"/>
        </w:rPr>
      </w:pPr>
      <w:r w:rsidRPr="00E43E1F">
        <w:rPr>
          <w:rFonts w:eastAsia="Calibri"/>
          <w:sz w:val="22"/>
          <w:szCs w:val="22"/>
          <w:lang w:eastAsia="en-US"/>
        </w:rPr>
        <w:tab/>
      </w:r>
    </w:p>
    <w:tbl>
      <w:tblPr>
        <w:tblW w:w="6500" w:type="dxa"/>
        <w:tblCellMar>
          <w:left w:w="70" w:type="dxa"/>
          <w:right w:w="70" w:type="dxa"/>
        </w:tblCellMar>
        <w:tblLook w:val="04A0" w:firstRow="1" w:lastRow="0" w:firstColumn="1" w:lastColumn="0" w:noHBand="0" w:noVBand="1"/>
      </w:tblPr>
      <w:tblGrid>
        <w:gridCol w:w="2180"/>
        <w:gridCol w:w="2180"/>
        <w:gridCol w:w="2140"/>
      </w:tblGrid>
      <w:tr w:rsidR="0048454E" w:rsidRPr="00E43E1F" w:rsidTr="002A6A29">
        <w:trPr>
          <w:trHeight w:val="300"/>
        </w:trPr>
        <w:tc>
          <w:tcPr>
            <w:tcW w:w="2180" w:type="dxa"/>
            <w:tcBorders>
              <w:top w:val="single" w:sz="8" w:space="0" w:color="auto"/>
              <w:left w:val="single" w:sz="8" w:space="0" w:color="auto"/>
              <w:bottom w:val="single" w:sz="4" w:space="0" w:color="auto"/>
              <w:right w:val="single" w:sz="4" w:space="0" w:color="auto"/>
            </w:tcBorders>
            <w:shd w:val="clear" w:color="000000" w:fill="00FF99"/>
            <w:noWrap/>
            <w:vAlign w:val="bottom"/>
            <w:hideMark/>
          </w:tcPr>
          <w:p w:rsidR="0048454E" w:rsidRPr="00E43E1F" w:rsidRDefault="0048454E" w:rsidP="002A6A29">
            <w:pPr>
              <w:rPr>
                <w:b/>
                <w:bCs/>
                <w:color w:val="000000"/>
                <w:sz w:val="22"/>
                <w:szCs w:val="22"/>
              </w:rPr>
            </w:pPr>
            <w:r w:rsidRPr="00E43E1F">
              <w:rPr>
                <w:b/>
                <w:bCs/>
                <w:color w:val="000000"/>
                <w:sz w:val="22"/>
                <w:szCs w:val="22"/>
              </w:rPr>
              <w:t>druh energie</w:t>
            </w:r>
          </w:p>
        </w:tc>
        <w:tc>
          <w:tcPr>
            <w:tcW w:w="2180" w:type="dxa"/>
            <w:tcBorders>
              <w:top w:val="single" w:sz="8" w:space="0" w:color="auto"/>
              <w:left w:val="nil"/>
              <w:bottom w:val="single" w:sz="4" w:space="0" w:color="auto"/>
              <w:right w:val="single" w:sz="4" w:space="0" w:color="auto"/>
            </w:tcBorders>
            <w:shd w:val="clear" w:color="000000" w:fill="00FF99"/>
            <w:noWrap/>
            <w:vAlign w:val="bottom"/>
            <w:hideMark/>
          </w:tcPr>
          <w:p w:rsidR="0048454E" w:rsidRPr="00E43E1F" w:rsidRDefault="0048454E" w:rsidP="002A6A29">
            <w:pPr>
              <w:rPr>
                <w:b/>
                <w:bCs/>
                <w:color w:val="000000"/>
                <w:sz w:val="22"/>
                <w:szCs w:val="22"/>
              </w:rPr>
            </w:pPr>
            <w:r w:rsidRPr="00E43E1F">
              <w:rPr>
                <w:b/>
                <w:bCs/>
                <w:color w:val="000000"/>
                <w:sz w:val="22"/>
                <w:szCs w:val="22"/>
              </w:rPr>
              <w:t>záloha v Kč/měsíc</w:t>
            </w:r>
          </w:p>
        </w:tc>
        <w:tc>
          <w:tcPr>
            <w:tcW w:w="2140" w:type="dxa"/>
            <w:tcBorders>
              <w:top w:val="single" w:sz="8" w:space="0" w:color="auto"/>
              <w:left w:val="nil"/>
              <w:bottom w:val="single" w:sz="4" w:space="0" w:color="auto"/>
              <w:right w:val="single" w:sz="8" w:space="0" w:color="auto"/>
            </w:tcBorders>
            <w:shd w:val="clear" w:color="000000" w:fill="00FF99"/>
            <w:noWrap/>
            <w:vAlign w:val="bottom"/>
            <w:hideMark/>
          </w:tcPr>
          <w:p w:rsidR="0048454E" w:rsidRPr="00E43E1F" w:rsidRDefault="0048454E" w:rsidP="002A6A29">
            <w:pPr>
              <w:rPr>
                <w:b/>
                <w:bCs/>
                <w:color w:val="000000"/>
                <w:sz w:val="22"/>
                <w:szCs w:val="22"/>
              </w:rPr>
            </w:pPr>
            <w:r w:rsidRPr="00E43E1F">
              <w:rPr>
                <w:b/>
                <w:bCs/>
                <w:color w:val="000000"/>
                <w:sz w:val="22"/>
                <w:szCs w:val="22"/>
              </w:rPr>
              <w:t>cena celkem/rok</w:t>
            </w:r>
          </w:p>
        </w:tc>
      </w:tr>
      <w:tr w:rsidR="0048454E" w:rsidRPr="00E43E1F" w:rsidTr="002A6A29">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48454E" w:rsidRPr="00E43E1F" w:rsidRDefault="0048454E" w:rsidP="002A6A29">
            <w:pPr>
              <w:rPr>
                <w:color w:val="000000"/>
                <w:sz w:val="22"/>
                <w:szCs w:val="22"/>
              </w:rPr>
            </w:pPr>
            <w:r w:rsidRPr="00E43E1F">
              <w:rPr>
                <w:color w:val="000000"/>
                <w:sz w:val="22"/>
                <w:szCs w:val="22"/>
              </w:rPr>
              <w:t>elektřina</w:t>
            </w:r>
          </w:p>
        </w:tc>
        <w:tc>
          <w:tcPr>
            <w:tcW w:w="2180" w:type="dxa"/>
            <w:tcBorders>
              <w:top w:val="nil"/>
              <w:left w:val="nil"/>
              <w:bottom w:val="single" w:sz="4" w:space="0" w:color="auto"/>
              <w:right w:val="single" w:sz="4"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700,00 Kč</w:t>
            </w:r>
          </w:p>
        </w:tc>
        <w:tc>
          <w:tcPr>
            <w:tcW w:w="2140" w:type="dxa"/>
            <w:tcBorders>
              <w:top w:val="nil"/>
              <w:left w:val="nil"/>
              <w:bottom w:val="single" w:sz="4" w:space="0" w:color="auto"/>
              <w:right w:val="single" w:sz="8"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8 400,00 Kč</w:t>
            </w:r>
          </w:p>
        </w:tc>
      </w:tr>
      <w:tr w:rsidR="0048454E" w:rsidRPr="00E43E1F" w:rsidTr="002A6A29">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48454E" w:rsidRPr="00E43E1F" w:rsidRDefault="0048454E" w:rsidP="002A6A29">
            <w:pPr>
              <w:rPr>
                <w:color w:val="000000"/>
                <w:sz w:val="22"/>
                <w:szCs w:val="22"/>
              </w:rPr>
            </w:pPr>
            <w:r w:rsidRPr="00E43E1F">
              <w:rPr>
                <w:color w:val="000000"/>
                <w:sz w:val="22"/>
                <w:szCs w:val="22"/>
              </w:rPr>
              <w:t>plyn</w:t>
            </w:r>
          </w:p>
        </w:tc>
        <w:tc>
          <w:tcPr>
            <w:tcW w:w="2180" w:type="dxa"/>
            <w:tcBorders>
              <w:top w:val="nil"/>
              <w:left w:val="nil"/>
              <w:bottom w:val="single" w:sz="4" w:space="0" w:color="auto"/>
              <w:right w:val="single" w:sz="4"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3 700,00 Kč</w:t>
            </w:r>
          </w:p>
        </w:tc>
        <w:tc>
          <w:tcPr>
            <w:tcW w:w="2140" w:type="dxa"/>
            <w:tcBorders>
              <w:top w:val="nil"/>
              <w:left w:val="nil"/>
              <w:bottom w:val="single" w:sz="4" w:space="0" w:color="auto"/>
              <w:right w:val="single" w:sz="8"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44 400,00 Kč</w:t>
            </w:r>
          </w:p>
        </w:tc>
      </w:tr>
      <w:tr w:rsidR="0048454E" w:rsidRPr="00E43E1F" w:rsidTr="002A6A29">
        <w:trPr>
          <w:trHeight w:val="300"/>
        </w:trPr>
        <w:tc>
          <w:tcPr>
            <w:tcW w:w="2180" w:type="dxa"/>
            <w:tcBorders>
              <w:top w:val="nil"/>
              <w:left w:val="single" w:sz="8" w:space="0" w:color="auto"/>
              <w:bottom w:val="nil"/>
              <w:right w:val="single" w:sz="4" w:space="0" w:color="auto"/>
            </w:tcBorders>
            <w:shd w:val="clear" w:color="auto" w:fill="auto"/>
            <w:noWrap/>
            <w:vAlign w:val="bottom"/>
            <w:hideMark/>
          </w:tcPr>
          <w:p w:rsidR="0048454E" w:rsidRPr="00E43E1F" w:rsidRDefault="0048454E" w:rsidP="002A6A29">
            <w:pPr>
              <w:rPr>
                <w:color w:val="000000"/>
                <w:sz w:val="22"/>
                <w:szCs w:val="22"/>
              </w:rPr>
            </w:pPr>
            <w:r w:rsidRPr="00E43E1F">
              <w:rPr>
                <w:color w:val="000000"/>
                <w:sz w:val="22"/>
                <w:szCs w:val="22"/>
              </w:rPr>
              <w:t>voda</w:t>
            </w:r>
          </w:p>
        </w:tc>
        <w:tc>
          <w:tcPr>
            <w:tcW w:w="2180" w:type="dxa"/>
            <w:tcBorders>
              <w:top w:val="nil"/>
              <w:left w:val="nil"/>
              <w:bottom w:val="nil"/>
              <w:right w:val="single" w:sz="4"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870,00 Kč</w:t>
            </w:r>
          </w:p>
        </w:tc>
        <w:tc>
          <w:tcPr>
            <w:tcW w:w="2140" w:type="dxa"/>
            <w:tcBorders>
              <w:top w:val="nil"/>
              <w:left w:val="nil"/>
              <w:bottom w:val="single" w:sz="4" w:space="0" w:color="auto"/>
              <w:right w:val="single" w:sz="8"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10 440,00 Kč</w:t>
            </w:r>
          </w:p>
        </w:tc>
      </w:tr>
      <w:tr w:rsidR="0048454E" w:rsidRPr="00E43E1F" w:rsidTr="002A6A29">
        <w:trPr>
          <w:trHeight w:val="300"/>
        </w:trPr>
        <w:tc>
          <w:tcPr>
            <w:tcW w:w="2180" w:type="dxa"/>
            <w:tcBorders>
              <w:top w:val="single" w:sz="4" w:space="0" w:color="auto"/>
              <w:left w:val="single" w:sz="8" w:space="0" w:color="auto"/>
              <w:bottom w:val="nil"/>
              <w:right w:val="single" w:sz="4" w:space="0" w:color="auto"/>
            </w:tcBorders>
            <w:shd w:val="clear" w:color="auto" w:fill="auto"/>
            <w:noWrap/>
            <w:vAlign w:val="bottom"/>
            <w:hideMark/>
          </w:tcPr>
          <w:p w:rsidR="0048454E" w:rsidRPr="00E43E1F" w:rsidRDefault="0048454E" w:rsidP="002A6A29">
            <w:pPr>
              <w:rPr>
                <w:color w:val="000000"/>
                <w:sz w:val="22"/>
                <w:szCs w:val="22"/>
              </w:rPr>
            </w:pPr>
            <w:r w:rsidRPr="00E43E1F">
              <w:rPr>
                <w:color w:val="000000"/>
                <w:sz w:val="22"/>
                <w:szCs w:val="22"/>
              </w:rPr>
              <w:t>EZS</w:t>
            </w:r>
          </w:p>
        </w:tc>
        <w:tc>
          <w:tcPr>
            <w:tcW w:w="2180" w:type="dxa"/>
            <w:tcBorders>
              <w:top w:val="single" w:sz="4" w:space="0" w:color="auto"/>
              <w:left w:val="nil"/>
              <w:bottom w:val="nil"/>
              <w:right w:val="single" w:sz="4"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0,00 Kč</w:t>
            </w:r>
          </w:p>
        </w:tc>
        <w:tc>
          <w:tcPr>
            <w:tcW w:w="2140" w:type="dxa"/>
            <w:tcBorders>
              <w:top w:val="nil"/>
              <w:left w:val="nil"/>
              <w:bottom w:val="nil"/>
              <w:right w:val="single" w:sz="8"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0,00 Kč</w:t>
            </w:r>
          </w:p>
        </w:tc>
      </w:tr>
      <w:tr w:rsidR="0048454E" w:rsidRPr="00E43E1F" w:rsidTr="002A6A29">
        <w:trPr>
          <w:trHeight w:val="315"/>
        </w:trPr>
        <w:tc>
          <w:tcPr>
            <w:tcW w:w="21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8454E" w:rsidRPr="00E43E1F" w:rsidRDefault="0048454E" w:rsidP="002A6A29">
            <w:pPr>
              <w:rPr>
                <w:color w:val="000000"/>
                <w:sz w:val="22"/>
                <w:szCs w:val="22"/>
              </w:rPr>
            </w:pPr>
            <w:r w:rsidRPr="00E43E1F">
              <w:rPr>
                <w:color w:val="000000"/>
                <w:sz w:val="22"/>
                <w:szCs w:val="22"/>
              </w:rPr>
              <w:t>celkem</w:t>
            </w:r>
          </w:p>
        </w:tc>
        <w:tc>
          <w:tcPr>
            <w:tcW w:w="2180" w:type="dxa"/>
            <w:tcBorders>
              <w:top w:val="single" w:sz="4" w:space="0" w:color="auto"/>
              <w:left w:val="nil"/>
              <w:bottom w:val="single" w:sz="8" w:space="0" w:color="auto"/>
              <w:right w:val="single" w:sz="4" w:space="0" w:color="auto"/>
            </w:tcBorders>
            <w:shd w:val="clear" w:color="auto" w:fill="auto"/>
            <w:noWrap/>
            <w:vAlign w:val="bottom"/>
            <w:hideMark/>
          </w:tcPr>
          <w:p w:rsidR="0048454E" w:rsidRPr="00E43E1F" w:rsidRDefault="0048454E" w:rsidP="002A6A29">
            <w:pPr>
              <w:jc w:val="right"/>
              <w:rPr>
                <w:color w:val="000000"/>
                <w:sz w:val="22"/>
                <w:szCs w:val="22"/>
              </w:rPr>
            </w:pPr>
            <w:r w:rsidRPr="00E43E1F">
              <w:rPr>
                <w:color w:val="000000"/>
                <w:sz w:val="22"/>
                <w:szCs w:val="22"/>
              </w:rPr>
              <w:t>5 270,00 Kč</w:t>
            </w:r>
          </w:p>
        </w:tc>
        <w:tc>
          <w:tcPr>
            <w:tcW w:w="2140" w:type="dxa"/>
            <w:tcBorders>
              <w:top w:val="single" w:sz="4" w:space="0" w:color="auto"/>
              <w:left w:val="nil"/>
              <w:bottom w:val="single" w:sz="8" w:space="0" w:color="auto"/>
              <w:right w:val="single" w:sz="8" w:space="0" w:color="auto"/>
            </w:tcBorders>
            <w:shd w:val="clear" w:color="auto" w:fill="auto"/>
            <w:noWrap/>
            <w:vAlign w:val="bottom"/>
            <w:hideMark/>
          </w:tcPr>
          <w:p w:rsidR="0048454E" w:rsidRPr="00E43E1F" w:rsidRDefault="0048454E" w:rsidP="002A6A29">
            <w:pPr>
              <w:jc w:val="right"/>
              <w:rPr>
                <w:b/>
                <w:color w:val="000000"/>
                <w:sz w:val="22"/>
                <w:szCs w:val="22"/>
              </w:rPr>
            </w:pPr>
            <w:r w:rsidRPr="00E43E1F">
              <w:rPr>
                <w:b/>
                <w:color w:val="000000"/>
                <w:sz w:val="22"/>
                <w:szCs w:val="22"/>
              </w:rPr>
              <w:t>63 240,00 Kč</w:t>
            </w:r>
          </w:p>
        </w:tc>
      </w:tr>
    </w:tbl>
    <w:p w:rsidR="0048454E" w:rsidRPr="00E43E1F" w:rsidRDefault="0048454E" w:rsidP="0048454E">
      <w:pPr>
        <w:rPr>
          <w:rFonts w:eastAsia="Calibri"/>
          <w:sz w:val="22"/>
          <w:szCs w:val="22"/>
          <w:lang w:eastAsia="en-US"/>
        </w:rPr>
      </w:pPr>
    </w:p>
    <w:p w:rsidR="0048454E" w:rsidRPr="00E43E1F" w:rsidRDefault="0048454E" w:rsidP="0048454E">
      <w:pPr>
        <w:rPr>
          <w:rFonts w:eastAsia="Calibri"/>
          <w:sz w:val="22"/>
          <w:szCs w:val="22"/>
          <w:lang w:eastAsia="en-US"/>
        </w:rPr>
      </w:pPr>
      <w:r w:rsidRPr="00E43E1F">
        <w:rPr>
          <w:rFonts w:eastAsia="Calibri"/>
          <w:sz w:val="22"/>
          <w:szCs w:val="22"/>
          <w:lang w:eastAsia="en-US"/>
        </w:rPr>
        <w:tab/>
      </w:r>
      <w:r w:rsidRPr="00E43E1F">
        <w:rPr>
          <w:rFonts w:eastAsia="Calibri"/>
          <w:sz w:val="22"/>
          <w:szCs w:val="22"/>
          <w:lang w:eastAsia="en-US"/>
        </w:rPr>
        <w:tab/>
      </w:r>
      <w:r w:rsidRPr="00E43E1F">
        <w:rPr>
          <w:rFonts w:eastAsia="Calibri"/>
          <w:sz w:val="22"/>
          <w:szCs w:val="22"/>
          <w:lang w:eastAsia="en-US"/>
        </w:rPr>
        <w:tab/>
      </w:r>
      <w:r w:rsidRPr="00E43E1F">
        <w:rPr>
          <w:rFonts w:eastAsia="Calibri"/>
          <w:sz w:val="22"/>
          <w:szCs w:val="22"/>
          <w:lang w:eastAsia="en-US"/>
        </w:rPr>
        <w:tab/>
      </w:r>
      <w:r w:rsidRPr="00E43E1F">
        <w:rPr>
          <w:rFonts w:eastAsia="Calibri"/>
          <w:sz w:val="22"/>
          <w:szCs w:val="22"/>
          <w:lang w:eastAsia="en-US"/>
        </w:rPr>
        <w:tab/>
      </w:r>
    </w:p>
    <w:p w:rsidR="0048454E" w:rsidRDefault="0048454E" w:rsidP="0048454E">
      <w:pPr>
        <w:ind w:firstLine="708"/>
        <w:rPr>
          <w:rFonts w:eastAsiaTheme="minorHAnsi"/>
          <w:szCs w:val="24"/>
          <w:lang w:eastAsia="en-US"/>
        </w:rPr>
      </w:pPr>
    </w:p>
    <w:p w:rsidR="0048454E" w:rsidRDefault="0048454E" w:rsidP="0048454E"/>
    <w:p w:rsidR="0048454E" w:rsidRDefault="0048454E" w:rsidP="0048454E">
      <w:pPr>
        <w:rPr>
          <w:rFonts w:eastAsiaTheme="minorHAnsi"/>
          <w:szCs w:val="24"/>
          <w:lang w:eastAsia="en-US"/>
        </w:rPr>
      </w:pPr>
    </w:p>
    <w:p w:rsidR="007C4CA2" w:rsidRPr="001E2FE9" w:rsidRDefault="007C4CA2" w:rsidP="00153AE9">
      <w:pPr>
        <w:rPr>
          <w:sz w:val="24"/>
          <w:szCs w:val="24"/>
        </w:rPr>
      </w:pPr>
      <w:r w:rsidRPr="001E2FE9">
        <w:rPr>
          <w:sz w:val="24"/>
          <w:szCs w:val="24"/>
        </w:rPr>
        <w:tab/>
      </w:r>
      <w:r w:rsidRPr="001E2FE9">
        <w:rPr>
          <w:sz w:val="24"/>
          <w:szCs w:val="24"/>
        </w:rPr>
        <w:tab/>
      </w:r>
      <w:r w:rsidRPr="001E2FE9">
        <w:rPr>
          <w:sz w:val="24"/>
          <w:szCs w:val="24"/>
        </w:rPr>
        <w:tab/>
      </w:r>
      <w:r w:rsidRPr="001E2FE9">
        <w:rPr>
          <w:sz w:val="24"/>
          <w:szCs w:val="24"/>
        </w:rPr>
        <w:tab/>
      </w:r>
      <w:r w:rsidRPr="001E2FE9">
        <w:rPr>
          <w:sz w:val="24"/>
          <w:szCs w:val="24"/>
        </w:rPr>
        <w:tab/>
      </w:r>
      <w:r w:rsidRPr="001E2FE9">
        <w:rPr>
          <w:sz w:val="24"/>
          <w:szCs w:val="24"/>
        </w:rPr>
        <w:tab/>
      </w:r>
    </w:p>
    <w:sectPr w:rsidR="007C4CA2" w:rsidRPr="001E2F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AE" w:rsidRDefault="008173AE" w:rsidP="008173AE">
      <w:r>
        <w:separator/>
      </w:r>
    </w:p>
  </w:endnote>
  <w:endnote w:type="continuationSeparator" w:id="0">
    <w:p w:rsidR="008173AE" w:rsidRDefault="008173AE" w:rsidP="0081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103572"/>
      <w:docPartObj>
        <w:docPartGallery w:val="Page Numbers (Bottom of Page)"/>
        <w:docPartUnique/>
      </w:docPartObj>
    </w:sdtPr>
    <w:sdtContent>
      <w:p w:rsidR="008173AE" w:rsidRDefault="008173AE">
        <w:pPr>
          <w:pStyle w:val="Zpat"/>
          <w:jc w:val="center"/>
        </w:pPr>
        <w:r>
          <w:fldChar w:fldCharType="begin"/>
        </w:r>
        <w:r>
          <w:instrText>PAGE   \* MERGEFORMAT</w:instrText>
        </w:r>
        <w:r>
          <w:fldChar w:fldCharType="separate"/>
        </w:r>
        <w:r>
          <w:rPr>
            <w:noProof/>
          </w:rPr>
          <w:t>1</w:t>
        </w:r>
        <w:r>
          <w:fldChar w:fldCharType="end"/>
        </w:r>
      </w:p>
    </w:sdtContent>
  </w:sdt>
  <w:p w:rsidR="008173AE" w:rsidRDefault="008173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AE" w:rsidRDefault="008173AE" w:rsidP="008173AE">
      <w:r>
        <w:separator/>
      </w:r>
    </w:p>
  </w:footnote>
  <w:footnote w:type="continuationSeparator" w:id="0">
    <w:p w:rsidR="008173AE" w:rsidRDefault="008173AE" w:rsidP="00817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02D"/>
    <w:multiLevelType w:val="multilevel"/>
    <w:tmpl w:val="131C7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4A0166"/>
    <w:multiLevelType w:val="hybridMultilevel"/>
    <w:tmpl w:val="ED208440"/>
    <w:lvl w:ilvl="0" w:tplc="94AC27CA">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29215E7"/>
    <w:multiLevelType w:val="hybridMultilevel"/>
    <w:tmpl w:val="1E6EBE68"/>
    <w:lvl w:ilvl="0" w:tplc="9D3ECA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6A1C02"/>
    <w:multiLevelType w:val="hybridMultilevel"/>
    <w:tmpl w:val="F410D0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4307A83"/>
    <w:multiLevelType w:val="hybridMultilevel"/>
    <w:tmpl w:val="62946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4C"/>
    <w:rsid w:val="0002061F"/>
    <w:rsid w:val="000D3D38"/>
    <w:rsid w:val="001219EF"/>
    <w:rsid w:val="00153AE9"/>
    <w:rsid w:val="001560D8"/>
    <w:rsid w:val="001E2FE9"/>
    <w:rsid w:val="002742AE"/>
    <w:rsid w:val="00346BA2"/>
    <w:rsid w:val="0035666F"/>
    <w:rsid w:val="00477DF4"/>
    <w:rsid w:val="0048454E"/>
    <w:rsid w:val="0049144D"/>
    <w:rsid w:val="004D3850"/>
    <w:rsid w:val="0057004D"/>
    <w:rsid w:val="00577E59"/>
    <w:rsid w:val="006854F6"/>
    <w:rsid w:val="006E6E55"/>
    <w:rsid w:val="007375E3"/>
    <w:rsid w:val="0076194C"/>
    <w:rsid w:val="007B077D"/>
    <w:rsid w:val="007B5978"/>
    <w:rsid w:val="007C4CA2"/>
    <w:rsid w:val="007C62B2"/>
    <w:rsid w:val="007E1B1B"/>
    <w:rsid w:val="008173AE"/>
    <w:rsid w:val="00822591"/>
    <w:rsid w:val="008607D8"/>
    <w:rsid w:val="00874D58"/>
    <w:rsid w:val="00875CF9"/>
    <w:rsid w:val="00887914"/>
    <w:rsid w:val="008939A6"/>
    <w:rsid w:val="008D1E3A"/>
    <w:rsid w:val="008E0103"/>
    <w:rsid w:val="00942BBA"/>
    <w:rsid w:val="00A67CD5"/>
    <w:rsid w:val="00A717A1"/>
    <w:rsid w:val="00AC4870"/>
    <w:rsid w:val="00AE07D9"/>
    <w:rsid w:val="00B00B7D"/>
    <w:rsid w:val="00B528FF"/>
    <w:rsid w:val="00B61BC5"/>
    <w:rsid w:val="00BB799A"/>
    <w:rsid w:val="00BD2441"/>
    <w:rsid w:val="00C9147F"/>
    <w:rsid w:val="00CC7303"/>
    <w:rsid w:val="00D473EB"/>
    <w:rsid w:val="00D934D2"/>
    <w:rsid w:val="00E159FE"/>
    <w:rsid w:val="00ED7F34"/>
    <w:rsid w:val="00F83AC5"/>
    <w:rsid w:val="00FB5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D153D-5DE0-4360-80DF-A51A893F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194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6194C"/>
    <w:pPr>
      <w:overflowPunct/>
      <w:autoSpaceDE/>
      <w:autoSpaceDN/>
      <w:adjustRightInd/>
      <w:jc w:val="center"/>
    </w:pPr>
    <w:rPr>
      <w:b/>
      <w:caps/>
      <w:spacing w:val="80"/>
      <w:sz w:val="32"/>
    </w:rPr>
  </w:style>
  <w:style w:type="character" w:customStyle="1" w:styleId="NzevChar">
    <w:name w:val="Název Char"/>
    <w:basedOn w:val="Standardnpsmoodstavce"/>
    <w:link w:val="Nzev"/>
    <w:rsid w:val="0076194C"/>
    <w:rPr>
      <w:rFonts w:ascii="Times New Roman" w:eastAsia="Times New Roman" w:hAnsi="Times New Roman" w:cs="Times New Roman"/>
      <w:b/>
      <w:caps/>
      <w:spacing w:val="80"/>
      <w:sz w:val="32"/>
      <w:szCs w:val="20"/>
      <w:lang w:eastAsia="cs-CZ"/>
    </w:rPr>
  </w:style>
  <w:style w:type="character" w:styleId="Hypertextovodkaz">
    <w:name w:val="Hyperlink"/>
    <w:basedOn w:val="Standardnpsmoodstavce"/>
    <w:uiPriority w:val="99"/>
    <w:semiHidden/>
    <w:unhideWhenUsed/>
    <w:rsid w:val="007C4CA2"/>
    <w:rPr>
      <w:strike w:val="0"/>
      <w:dstrike w:val="0"/>
      <w:color w:val="337AB7"/>
      <w:u w:val="none"/>
      <w:effect w:val="none"/>
      <w:shd w:val="clear" w:color="auto" w:fill="auto"/>
    </w:rPr>
  </w:style>
  <w:style w:type="paragraph" w:styleId="Textbubliny">
    <w:name w:val="Balloon Text"/>
    <w:basedOn w:val="Normln"/>
    <w:link w:val="TextbublinyChar"/>
    <w:uiPriority w:val="99"/>
    <w:semiHidden/>
    <w:unhideWhenUsed/>
    <w:rsid w:val="00875C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5CF9"/>
    <w:rPr>
      <w:rFonts w:ascii="Segoe UI" w:eastAsia="Times New Roman" w:hAnsi="Segoe UI" w:cs="Segoe UI"/>
      <w:sz w:val="18"/>
      <w:szCs w:val="18"/>
      <w:lang w:eastAsia="cs-CZ"/>
    </w:rPr>
  </w:style>
  <w:style w:type="paragraph" w:styleId="Odstavecseseznamem">
    <w:name w:val="List Paragraph"/>
    <w:basedOn w:val="Normln"/>
    <w:uiPriority w:val="34"/>
    <w:qFormat/>
    <w:rsid w:val="008D1E3A"/>
    <w:pPr>
      <w:ind w:left="720"/>
      <w:contextualSpacing/>
    </w:pPr>
  </w:style>
  <w:style w:type="table" w:customStyle="1" w:styleId="Mkatabulky2">
    <w:name w:val="Mřížka tabulky2"/>
    <w:basedOn w:val="Normlntabulka"/>
    <w:next w:val="Mkatabulky"/>
    <w:uiPriority w:val="39"/>
    <w:rsid w:val="0048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uiPriority w:val="39"/>
    <w:rsid w:val="0048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8173AE"/>
    <w:pPr>
      <w:tabs>
        <w:tab w:val="center" w:pos="4536"/>
        <w:tab w:val="right" w:pos="9072"/>
      </w:tabs>
    </w:pPr>
  </w:style>
  <w:style w:type="character" w:customStyle="1" w:styleId="ZhlavChar">
    <w:name w:val="Záhlaví Char"/>
    <w:basedOn w:val="Standardnpsmoodstavce"/>
    <w:link w:val="Zhlav"/>
    <w:uiPriority w:val="99"/>
    <w:rsid w:val="008173A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173AE"/>
    <w:pPr>
      <w:tabs>
        <w:tab w:val="center" w:pos="4536"/>
        <w:tab w:val="right" w:pos="9072"/>
      </w:tabs>
    </w:pPr>
  </w:style>
  <w:style w:type="character" w:customStyle="1" w:styleId="ZpatChar">
    <w:name w:val="Zápatí Char"/>
    <w:basedOn w:val="Standardnpsmoodstavce"/>
    <w:link w:val="Zpat"/>
    <w:uiPriority w:val="99"/>
    <w:rsid w:val="008173A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4264">
      <w:bodyDiv w:val="1"/>
      <w:marLeft w:val="0"/>
      <w:marRight w:val="0"/>
      <w:marTop w:val="0"/>
      <w:marBottom w:val="0"/>
      <w:divBdr>
        <w:top w:val="none" w:sz="0" w:space="0" w:color="auto"/>
        <w:left w:val="none" w:sz="0" w:space="0" w:color="auto"/>
        <w:bottom w:val="none" w:sz="0" w:space="0" w:color="auto"/>
        <w:right w:val="none" w:sz="0" w:space="0" w:color="auto"/>
      </w:divBdr>
    </w:div>
    <w:div w:id="422842357">
      <w:bodyDiv w:val="1"/>
      <w:marLeft w:val="0"/>
      <w:marRight w:val="0"/>
      <w:marTop w:val="0"/>
      <w:marBottom w:val="0"/>
      <w:divBdr>
        <w:top w:val="none" w:sz="0" w:space="0" w:color="auto"/>
        <w:left w:val="none" w:sz="0" w:space="0" w:color="auto"/>
        <w:bottom w:val="none" w:sz="0" w:space="0" w:color="auto"/>
        <w:right w:val="none" w:sz="0" w:space="0" w:color="auto"/>
      </w:divBdr>
    </w:div>
    <w:div w:id="18766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10839</Characters>
  <Application>Microsoft Office Word</Application>
  <DocSecurity>4</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Špringlová Martina</dc:creator>
  <cp:lastModifiedBy>Drbalová Klára</cp:lastModifiedBy>
  <cp:revision>2</cp:revision>
  <cp:lastPrinted>2016-07-20T12:18:00Z</cp:lastPrinted>
  <dcterms:created xsi:type="dcterms:W3CDTF">2017-07-14T07:04:00Z</dcterms:created>
  <dcterms:modified xsi:type="dcterms:W3CDTF">2017-07-14T07:04:00Z</dcterms:modified>
</cp:coreProperties>
</file>