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Smlouva o sdružených službách dodávky PLYNU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</w:rPr>
      </w:pPr>
      <w:r>
        <w:rPr>
          <w:rFonts w:cs="Calibri" w:ascii="Calibri" w:hAnsi="Calibri" w:asciiTheme="minorHAnsi" w:cstheme="minorHAnsi" w:hAnsiTheme="minorHAnsi"/>
          <w:b/>
          <w:caps/>
        </w:rPr>
        <w:t>(</w:t>
      </w:r>
      <w:r>
        <w:rPr>
          <w:rFonts w:cs="Calibri" w:ascii="Calibri" w:hAnsi="Calibri" w:asciiTheme="minorHAnsi" w:cstheme="minorHAnsi" w:hAnsiTheme="minorHAnsi"/>
          <w:b/>
        </w:rPr>
        <w:t>kategorie</w:t>
      </w:r>
      <w:r>
        <w:rPr>
          <w:rFonts w:cs="Calibri" w:ascii="Calibri" w:hAnsi="Calibri" w:asciiTheme="minorHAnsi" w:cstheme="minorHAnsi" w:hAnsiTheme="minorHAnsi"/>
          <w:b/>
          <w:caps/>
        </w:rPr>
        <w:t xml:space="preserve"> MALOODBĚRATEL </w:t>
      </w:r>
      <w:r>
        <w:rPr>
          <w:rFonts w:cs="Calibri" w:ascii="Calibri" w:hAnsi="Calibri" w:asciiTheme="minorHAnsi" w:cstheme="minorHAnsi" w:hAnsiTheme="minorHAnsi"/>
          <w:b/>
        </w:rPr>
        <w:t>do 630 MWh/rok</w:t>
      </w:r>
      <w:r>
        <w:rPr>
          <w:rFonts w:cs="Calibri" w:ascii="Calibri" w:hAnsi="Calibri" w:asciiTheme="minorHAnsi" w:cstheme="minorHAnsi" w:hAnsiTheme="minorHAnsi"/>
          <w:b/>
          <w:caps/>
        </w:rPr>
        <w:t>)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Níže uvedeného dne, měsíce a roku uzavírají "Smluvní strany"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12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''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" 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obchodní firma:</w:t>
        <w:tab/>
        <w:tab/>
        <w:tab/>
      </w:r>
      <w:r>
        <w:rPr/>
        <w:t>Veolia Komodity ČR, s.r.o.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Sídlo:</w:t>
        <w:tab/>
        <w:tab/>
        <w:tab/>
        <w:tab/>
      </w:r>
      <w:r>
        <w:rPr/>
        <w:t>28. října 3337/7, Moravská Ostrava, 702 00 Ostrava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lČO:</w:t>
        <w:tab/>
        <w:tab/>
        <w:tab/>
        <w:tab/>
      </w:r>
      <w:r>
        <w:rPr/>
        <w:t>25846159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DIČ:</w:t>
        <w:tab/>
        <w:tab/>
        <w:tab/>
        <w:tab/>
        <w:t>CZ25846159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Zapsaná v obchodním rejstříku:</w:t>
        <w:tab/>
        <w:t xml:space="preserve">C 21431 vedená u Krajského soudu v Ostravě 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Licence na obchod s plynem:</w:t>
        <w:tab/>
      </w:r>
      <w:r>
        <w:rPr/>
        <w:t>241118713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Registrace OTE:</w:t>
        <w:tab/>
        <w:tab/>
        <w:tab/>
      </w:r>
      <w:r>
        <w:rPr>
          <w:rFonts w:cs="Calibri" w:ascii="Calibri" w:hAnsi="Calibri" w:asciiTheme="minorHAnsi" w:cstheme="minorHAnsi" w:hAnsiTheme="minorHAnsi"/>
          <w:lang w:val="en-GB"/>
        </w:rPr>
        <w:t>193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Bankovní spojení: </w:t>
        <w:tab/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Číslo účtu:</w:t>
        <w:tab/>
        <w:tab/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</w:rPr>
        <w:t>Číslo datové schránky:                          6ewxbpc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Zastoupen/jednající:</w:t>
        <w:tab/>
        <w:tab/>
        <w:t>Ing. Pavel Luňáček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(dále jen "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>")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12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''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" 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obchodní firma:</w:t>
        <w:tab/>
        <w:tab/>
        <w:tab/>
        <w:t xml:space="preserve">Základní škola, Ostrava-Poruba, J. Valčíka 4411, 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ab/>
        <w:tab/>
        <w:tab/>
        <w:t>příspěvková organizace</w:t>
        <w:tab/>
        <w:tab/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Sídlo:</w:t>
        <w:tab/>
        <w:tab/>
        <w:tab/>
        <w:tab/>
        <w:t>Josefa Valčíka 4411/2, 708 00 Ostrava-Poruba</w:t>
        <w:tab/>
        <w:tab/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lČO:</w:t>
        <w:tab/>
        <w:tab/>
        <w:tab/>
        <w:tab/>
        <w:t>64627918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DIČ: </w:t>
        <w:tab/>
        <w:tab/>
        <w:tab/>
        <w:tab/>
        <w:t>CZ64627918 – neplátce DPH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Zapsaná v obchodním rejstříku:</w:t>
        <w:tab/>
        <w:t>Krajský soud v Ostravě, oddíl Pr, vložka 636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Bankovní spojení:</w:t>
        <w:tab/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  <w:r>
        <w:rPr>
          <w:rFonts w:cs="Calibri" w:ascii="Calibri" w:hAnsi="Calibri" w:asciiTheme="minorHAnsi" w:cstheme="minorHAnsi" w:hAnsiTheme="minorHAnsi"/>
        </w:rPr>
        <w:tab/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Číslo účtu:</w:t>
        <w:tab/>
        <w:tab/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  <w:r>
        <w:rPr>
          <w:rFonts w:cs="Calibri" w:ascii="Calibri" w:hAnsi="Calibri" w:asciiTheme="minorHAnsi" w:cstheme="minorHAnsi" w:hAnsiTheme="minorHAnsi"/>
        </w:rPr>
        <w:tab/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</w:rPr>
        <w:t xml:space="preserve">Číslo datové schránky:   </w:t>
        <w:tab/>
        <w:tab/>
        <w:t>wsimqu4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          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Zastoupen/jednající:</w:t>
        <w:tab/>
        <w:tab/>
        <w:t>Mgr. Miroslav Bučánek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(dále jen "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>")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tuto 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12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SmlouvU o sdružených službách dodávky PLYNU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</w:rPr>
      </w:pPr>
      <w:r>
        <w:rPr>
          <w:rFonts w:cs="Calibri" w:ascii="Calibri" w:hAnsi="Calibri" w:asciiTheme="minorHAnsi" w:cstheme="minorHAnsi" w:hAnsiTheme="minorHAnsi"/>
          <w:b/>
          <w:caps/>
        </w:rPr>
        <w:t>(</w:t>
      </w:r>
      <w:r>
        <w:rPr>
          <w:rFonts w:cs="Calibri" w:ascii="Calibri" w:hAnsi="Calibri" w:asciiTheme="minorHAnsi" w:cstheme="minorHAnsi" w:hAnsiTheme="minorHAnsi"/>
          <w:b/>
        </w:rPr>
        <w:t>kategorie</w:t>
      </w:r>
      <w:r>
        <w:rPr>
          <w:rFonts w:cs="Calibri" w:ascii="Calibri" w:hAnsi="Calibri" w:asciiTheme="minorHAnsi" w:cstheme="minorHAnsi" w:hAnsiTheme="minorHAnsi"/>
          <w:b/>
          <w:caps/>
        </w:rPr>
        <w:t xml:space="preserve"> MALOODBĚRATEL </w:t>
      </w:r>
      <w:r>
        <w:rPr>
          <w:rFonts w:cs="Calibri" w:ascii="Calibri" w:hAnsi="Calibri" w:asciiTheme="minorHAnsi" w:cstheme="minorHAnsi" w:hAnsiTheme="minorHAnsi"/>
          <w:b/>
        </w:rPr>
        <w:t>do 630 MWh/rok</w:t>
      </w:r>
      <w:r>
        <w:rPr>
          <w:rFonts w:cs="Calibri" w:ascii="Calibri" w:hAnsi="Calibri" w:asciiTheme="minorHAnsi" w:cstheme="minorHAnsi" w:hAnsiTheme="minorHAnsi"/>
          <w:b/>
          <w:caps/>
        </w:rPr>
        <w:t>)</w:t>
      </w:r>
    </w:p>
    <w:p>
      <w:pPr>
        <w:pStyle w:val="Normal"/>
        <w:spacing w:lineRule="auto" w:line="276" w:before="0" w:after="12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(dále jen "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>")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1.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ÚvodnÍ ustanovenÍ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Tato smlouva je smlouvou o sdružených službách dodávky plynu uzavřenou podle ustanoveni § 72 odst. 2 zákona č. 458/2000 Sb., o podmínkách podnikání a o výkonu statní správy v energetických odvětvích ("Energetický zákon"), ve znění pozdějších předpisů, a zákona č. 89/2012 Sb., občanský zákoník, ve znění pozdějších předpisů, v režimu přenesené odpovědnosti za odchylku na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. 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Práva a povinnosti Smluvních stran jsou blíže specifikovány v obchodních podmínkách dodávky plynu, které jsou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Přílohou č. 1</w:t>
      </w:r>
      <w:r>
        <w:rPr>
          <w:rFonts w:eastAsia="Arial Unicode MS" w:cs="Calibri" w:ascii="Calibri" w:hAnsi="Calibri" w:asciiTheme="minorHAnsi" w:cstheme="minorHAnsi" w:hAnsiTheme="minorHAnsi"/>
        </w:rPr>
        <w:t xml:space="preserve"> této Smlouvy a spolu se smlouvou tvoří nedílný celek (dále jen „OPD“).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2.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PŘedmĚt Smlouvy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Předmětem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je závazek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poskytnout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sdružené služby dodávky plynu (dále jen „sdružené služby"), tzn. dodat sjednané množství plynu za podmínek sjednaných ve Smlouvě a převzít odpovědnost za odchylku (dále jen „dodávka plynu") a zajistit distribuci plynu (dále jen „distribuční služby") do OM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Zákazníka</w:t>
      </w:r>
      <w:r>
        <w:rPr>
          <w:rFonts w:eastAsia="Arial Unicode MS" w:cs="Calibri" w:ascii="Calibri" w:hAnsi="Calibri" w:asciiTheme="minorHAnsi" w:cstheme="minorHAnsi" w:hAnsiTheme="minorHAnsi"/>
        </w:rPr>
        <w:t>.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se zavazuje odebrat sjednané množství plynu v OM podle podmínek této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uhradit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řádně a včas dohodnutou platbu za dodávku plynu a za distribuční služby.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se zavazuje postupovat tak, aby po celou dobu trvání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neznemožnil ani neztížil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dodat ve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Smlouvě</w:t>
      </w:r>
      <w:r>
        <w:rPr>
          <w:rFonts w:eastAsia="Arial Unicode MS" w:cs="Calibri" w:ascii="Calibri" w:hAnsi="Calibri" w:asciiTheme="minorHAnsi" w:cstheme="minorHAnsi" w:hAnsiTheme="minorHAnsi"/>
        </w:rPr>
        <w:t xml:space="preserve"> sjednané množství plynu do OM ve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Smlouvě</w:t>
      </w:r>
      <w:r>
        <w:rPr>
          <w:rFonts w:eastAsia="Arial Unicode MS" w:cs="Calibri" w:ascii="Calibri" w:hAnsi="Calibri" w:asciiTheme="minorHAnsi" w:cstheme="minorHAnsi" w:hAnsiTheme="minorHAnsi"/>
        </w:rPr>
        <w:t xml:space="preserve"> uvedeném.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Dodávka plynu a distribuční služby se uskutečňují z distribuční sítě příslušného provozovatele distribuční soustavy (dále jen "PDS") prostřednictvím Obchodníka, podle smluv o připojení, které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uzavřel s PDS v souladu s Pravidly provozování distribuční soustavy (dále jen „PPDS") a „Podmínkami distribuce plynu“, vydanými příslušným PDS.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sjednávají, že zánik některé ze smluv o připojení ani její změny uzavřené mezi Zákazníkem a PDS nemají vliv na platnost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3.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SPECIFIKACE ODBĚRNÝCH MÍST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Specifikace odběrných míst, to je: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EIC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Název a adresa OM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left="1003" w:hanging="357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Plánovaná roční spotřeba plynu v MWh</w:t>
      </w:r>
    </w:p>
    <w:p>
      <w:pPr>
        <w:pStyle w:val="ListParagraph"/>
        <w:spacing w:lineRule="auto" w:line="276" w:before="0" w:after="120"/>
        <w:ind w:left="284" w:hanging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jsou uvedeny v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Příloze č. 2 </w:t>
      </w:r>
      <w:r>
        <w:rPr>
          <w:rFonts w:eastAsia="Arial Unicode MS" w:cs="Calibri" w:ascii="Calibri" w:hAnsi="Calibri" w:asciiTheme="minorHAnsi" w:cstheme="minorHAnsi" w:hAnsiTheme="minorHAnsi"/>
        </w:rPr>
        <w:t>– seznam odběrných míst plynu.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prohlašuje, že má příslušná majetkoprávní oprávnění k OM uvedeným v předchozím odstavci, a zavazuje se zajistit v souladu s platnou právní úpravou připojení OM specifikovaných v předchozím odstavci k distribuční soustavě příslušného PDS.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prohlašuje, že veškeré údaje uvedené v seznamu odběrných míst, který tvoří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Přílohu č. 2</w:t>
      </w:r>
      <w:r>
        <w:rPr>
          <w:rFonts w:eastAsia="Arial Unicode MS" w:cs="Calibri" w:ascii="Calibri" w:hAnsi="Calibri" w:asciiTheme="minorHAnsi" w:cstheme="minorHAnsi" w:hAnsiTheme="minorHAnsi"/>
        </w:rPr>
        <w:t xml:space="preserve"> této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Smlouvy, </w:t>
      </w:r>
      <w:r>
        <w:rPr>
          <w:rFonts w:eastAsia="Arial Unicode MS" w:cs="Calibri" w:ascii="Calibri" w:hAnsi="Calibri" w:asciiTheme="minorHAnsi" w:cstheme="minorHAnsi" w:hAnsiTheme="minorHAnsi"/>
        </w:rPr>
        <w:t xml:space="preserve">odpovídají údajům o odběrném místě uvedeným ve smlouvě o připojení odběrného místa k distribuční soustavě.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neodpovídá za chyby ve vyúčtování, způsobené uvedeným nesprávných údajů o odběrném místě v 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Příloze č. 2</w:t>
      </w:r>
      <w:r>
        <w:rPr>
          <w:rFonts w:eastAsia="Arial Unicode MS" w:cs="Calibri" w:ascii="Calibri" w:hAnsi="Calibri" w:asciiTheme="minorHAnsi" w:cstheme="minorHAnsi" w:hAnsiTheme="minorHAnsi"/>
        </w:rPr>
        <w:t xml:space="preserve"> této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Zákazníkem,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se zavazuje zaplatit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cenu za sdružené služby dodávky plynu ve výši dle údajů ve smlouvě o připojení s příslušným PDS.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4.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ČASOVÁ A TECHNICKÁ SPECIFIKACE PLNĚNÍ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ind w:left="284" w:hanging="284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Období dodávky: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Datum a obchodní hodina zahájení dodávky: </w:t>
      </w:r>
      <w:r>
        <w:rPr>
          <w:rFonts w:cs="Calibri" w:ascii="Calibri" w:hAnsi="Calibri" w:asciiTheme="minorHAnsi" w:cstheme="minorHAnsi" w:hAnsiTheme="minorHAnsi"/>
          <w:b/>
        </w:rPr>
        <w:t>1. 1. 2025 6:00 hod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Datum a obchodní hodina ukončení dodávky: </w:t>
      </w:r>
      <w:r>
        <w:rPr>
          <w:rFonts w:cs="Calibri" w:ascii="Calibri" w:hAnsi="Calibri" w:asciiTheme="minorHAnsi" w:cstheme="minorHAnsi" w:hAnsiTheme="minorHAnsi"/>
          <w:b/>
        </w:rPr>
        <w:t>1. 1. 2026 6:00 hod</w:t>
      </w:r>
      <w:r>
        <w:rPr>
          <w:rFonts w:ascii="Calibri" w:hAnsi="Calibri" w:asciiTheme="minorHAnsi" w:hAnsiTheme="minorHAnsi"/>
          <w:b/>
        </w:rPr>
        <w:t>.</w:t>
      </w:r>
    </w:p>
    <w:p>
      <w:pPr>
        <w:pStyle w:val="ListParagraph"/>
        <w:spacing w:lineRule="auto" w:line="276" w:before="0" w:after="120"/>
        <w:ind w:left="284" w:hanging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V případě, že u některých odběrných míst bude stanoveno odlišné období dodávky, je to uvedeno </w:t>
      </w:r>
      <w:r>
        <w:rPr>
          <w:rFonts w:eastAsia="Arial Unicode MS" w:cs="Calibri" w:ascii="Calibri" w:hAnsi="Calibri" w:asciiTheme="minorHAnsi" w:cstheme="minorHAnsi" w:hAnsiTheme="minorHAnsi"/>
        </w:rPr>
        <w:t xml:space="preserve">v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Příloze č. 2 </w:t>
      </w:r>
      <w:r>
        <w:rPr>
          <w:rFonts w:eastAsia="Arial Unicode MS" w:cs="Calibri" w:ascii="Calibri" w:hAnsi="Calibri" w:asciiTheme="minorHAnsi" w:cstheme="minorHAnsi" w:hAnsiTheme="minorHAnsi"/>
        </w:rPr>
        <w:t>– seznam odběrných míst plynu</w:t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Sjednané množství dodávky: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sjednal s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Obchodníkem</w:t>
      </w:r>
      <w:r>
        <w:rPr>
          <w:rFonts w:eastAsia="Arial Unicode MS" w:cs="Calibri" w:ascii="Calibri" w:hAnsi="Calibri" w:asciiTheme="minorHAnsi" w:cstheme="minorHAnsi" w:hAnsiTheme="minorHAnsi"/>
        </w:rPr>
        <w:t xml:space="preserve"> množství plynu pro všechna odběrná místa na období trvání dodávky ve výši </w:t>
      </w:r>
      <w:r>
        <w:rPr>
          <w:rFonts w:eastAsia="Arial Unicode MS" w:cs="Calibri" w:ascii="Calibri" w:hAnsi="Calibri" w:asciiTheme="minorHAnsi" w:cstheme="minorHAnsi" w:hAnsiTheme="minorHAnsi"/>
          <w:b/>
          <w:color w:val="FF0000"/>
        </w:rPr>
        <w:t xml:space="preserve"> </w:t>
      </w:r>
      <w:r>
        <w:rPr>
          <w:rFonts w:eastAsia="Arial Unicode MS" w:cs="Calibri" w:ascii="Calibri" w:hAnsi="Calibri" w:asciiTheme="minorHAnsi" w:cstheme="minorHAnsi" w:hAnsiTheme="minorHAnsi"/>
          <w:b/>
          <w:bCs/>
          <w:color w:val="auto"/>
        </w:rPr>
        <w:t xml:space="preserve">10 </w:t>
      </w:r>
      <w:r>
        <w:rPr>
          <w:rFonts w:eastAsia="Arial Unicode MS" w:cs="Calibri" w:ascii="Calibri" w:hAnsi="Calibri" w:asciiTheme="minorHAnsi" w:cstheme="minorHAnsi" w:hAnsiTheme="minorHAnsi"/>
          <w:b/>
        </w:rPr>
        <w:t>MWh</w:t>
      </w:r>
      <w:r>
        <w:rPr>
          <w:rFonts w:eastAsia="Arial Unicode MS" w:cs="Calibri" w:ascii="Calibri" w:hAnsi="Calibri" w:asciiTheme="minorHAnsi" w:cstheme="minorHAnsi" w:hAnsiTheme="minorHAnsi"/>
        </w:rPr>
        <w:t>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Případné nedočerpání nebo překročení plánovaného ročního odběru plynu (</w:t>
      </w:r>
      <w:r>
        <w:rPr>
          <w:rFonts w:eastAsia="Arial Unicode MS" w:cs="Calibri" w:ascii="Calibri" w:hAnsi="Calibri" w:asciiTheme="minorHAnsi" w:cstheme="minorHAnsi" w:hAnsiTheme="minorHAnsi"/>
          <w:b/>
        </w:rPr>
        <w:t>Toleranční odchylka</w:t>
      </w:r>
      <w:r>
        <w:rPr>
          <w:rFonts w:eastAsia="Arial Unicode MS" w:cs="Calibri" w:ascii="Calibri" w:hAnsi="Calibri" w:asciiTheme="minorHAnsi" w:cstheme="minorHAnsi" w:hAnsiTheme="minorHAnsi"/>
        </w:rPr>
        <w:t xml:space="preserve">) v jednotlivých odběrných místech uvedených v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Příloze č. 2.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nebude ze strany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podléhat žádným cenovým přirážkám či jiným sankcím.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Nevyplývá-li z OPD jinak, není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oprávněn účtovat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Zákazníku</w:t>
      </w:r>
      <w:r>
        <w:rPr>
          <w:rFonts w:eastAsia="Arial Unicode MS" w:cs="Calibri" w:ascii="Calibri" w:hAnsi="Calibri" w:asciiTheme="minorHAnsi" w:cstheme="minorHAnsi" w:hAnsiTheme="minorHAnsi"/>
        </w:rPr>
        <w:t xml:space="preserve"> žádné náklady vynaložené jím v souvislosti s překročením </w:t>
      </w:r>
      <w:r>
        <w:rPr>
          <w:rFonts w:eastAsia="Arial Unicode MS" w:cs="Calibri" w:ascii="Calibri" w:hAnsi="Calibri" w:asciiTheme="minorHAnsi" w:cstheme="minorHAnsi" w:hAnsiTheme="minorHAnsi"/>
          <w:b/>
        </w:rPr>
        <w:t>Toleranční odchylky</w:t>
      </w:r>
      <w:r>
        <w:rPr>
          <w:rFonts w:eastAsia="Arial Unicode MS" w:cs="Calibri" w:ascii="Calibri" w:hAnsi="Calibri" w:asciiTheme="minorHAnsi" w:cstheme="minorHAnsi" w:hAnsiTheme="minorHAnsi"/>
        </w:rPr>
        <w:t xml:space="preserve">. 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Pro vyloučení pochybností platí, že u odběrných míst kategorie maloodběr se </w:t>
      </w:r>
      <w:r>
        <w:rPr>
          <w:rFonts w:eastAsia="Arial Unicode MS" w:cs="Calibri" w:ascii="Calibri" w:hAnsi="Calibri" w:asciiTheme="minorHAnsi" w:cstheme="minorHAnsi" w:hAnsiTheme="minorHAnsi"/>
          <w:b/>
        </w:rPr>
        <w:t>Toleranční odchylka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nevyhodnocuje a odchylka skutečné spotřeby od předpokládané spotřeby není předmětem žádného poplatku nebo sankční platby ze strany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. </w:t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Změna počtu odběrných míst v průběhu dodávky: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  <w:b/>
          <w:b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je oprávněn snížit nebo zvýšit počet odběrných míst uvedených v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Příloze č. 2</w:t>
      </w:r>
      <w:r>
        <w:rPr>
          <w:rFonts w:eastAsia="Arial Unicode MS" w:cs="Calibri" w:ascii="Calibri" w:hAnsi="Calibri" w:asciiTheme="minorHAnsi" w:cstheme="minorHAnsi" w:hAnsiTheme="minorHAnsi"/>
        </w:rPr>
        <w:t xml:space="preserve">, do nichž je Plyn dodáván, pouze se souhlasem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ascii="Calibri" w:hAnsi="Calibri" w:asciiTheme="minorHAnsi" w:hAnsiTheme="minorHAnsi"/>
          <w:b/>
        </w:rPr>
        <w:t>.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 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Souhlas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Obchodníka </w:t>
      </w:r>
      <w:r>
        <w:rPr>
          <w:rFonts w:eastAsia="Arial Unicode MS" w:cs="Calibri" w:ascii="Calibri" w:hAnsi="Calibri" w:asciiTheme="minorHAnsi" w:cstheme="minorHAnsi" w:hAnsiTheme="minorHAnsi"/>
        </w:rPr>
        <w:t xml:space="preserve">se nevyžaduje v případech zvýšení počtu odběrných míst, v důsledku kterého nedojde ke kumulativnímu rozšíření o více než 15 OM s maximální celkovou roční spotřebou 800 MWh v rámci všech Zákazníků, se kterými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uzavřel Smlouvu na základě výsledku zadávacího řízení veřejné zakázky „Dodávky zemního plynu pro statutární město Ostrava a městské organizace na rok 2025 – část 1 - Dodávka zemního plynu v kategorii MO“. Rozšíření o nová OM dle věty předchozí podléhá schválení Statutárním městem Ostrava coby centrálním zadavatelem předmětné veřejné zakázky.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, nedohodnou-li se smluvní strany jinak. V případech zrušení/odebrání odběrného místa u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z důvodu převodu vlastnických práv k odběrnému místu, odstranění odběrného místa, demolice nebo zničení živelní pohromou, je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oprávněn ukončit smluvní vztah s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Obchodníkem</w:t>
      </w:r>
      <w:r>
        <w:rPr>
          <w:rFonts w:eastAsia="Arial Unicode MS" w:cs="Calibri" w:ascii="Calibri" w:hAnsi="Calibri" w:asciiTheme="minorHAnsi" w:cstheme="minorHAnsi" w:hAnsiTheme="minorHAnsi"/>
        </w:rPr>
        <w:t xml:space="preserve"> k danému odběrnému místu ke dni požadovanému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Zákazníkem</w:t>
      </w:r>
      <w:r>
        <w:rPr>
          <w:rFonts w:eastAsia="Arial Unicode MS" w:cs="Calibri" w:ascii="Calibri" w:hAnsi="Calibri" w:asciiTheme="minorHAnsi" w:cstheme="minorHAnsi" w:hAnsiTheme="minorHAnsi"/>
        </w:rPr>
        <w:t xml:space="preserve"> v oznámení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o zrušení/odebrání odběrného místa, a to bez nároku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na finanční kompenzaci. Oznámení o zrušení/odebrání odběrného místa musí být doručeno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tak, aby bylo možné zrušit registraci/ provést přepis odběrného místa v souladu s právními předpisy a Obchodními podmínkami OTE, a.s. pro plynárenství. 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5.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Cena a platební podmínky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Cena za dodávku plynu bez daně z plynu a bez DPH je fixní a sjednává se pro celou dobu trvání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Smlouv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y dle čl. 6.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Smlouvy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 následovně:</w:t>
      </w:r>
    </w:p>
    <w:tbl>
      <w:tblPr>
        <w:tblStyle w:val="Mkatabulky"/>
        <w:tblW w:w="4700" w:type="pct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0"/>
        <w:gridCol w:w="2179"/>
        <w:gridCol w:w="1800"/>
        <w:gridCol w:w="1945"/>
      </w:tblGrid>
      <w:tr>
        <w:trPr/>
        <w:tc>
          <w:tcPr>
            <w:tcW w:w="26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auto"/>
                <w:szCs w:val="22"/>
              </w:rPr>
            </w:r>
          </w:p>
        </w:tc>
        <w:tc>
          <w:tcPr>
            <w:tcW w:w="3979" w:type="dxa"/>
            <w:gridSpan w:val="2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Jednotková cena</w:t>
            </w:r>
          </w:p>
        </w:tc>
        <w:tc>
          <w:tcPr>
            <w:tcW w:w="1945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Platnost</w:t>
            </w:r>
          </w:p>
        </w:tc>
      </w:tr>
      <w:tr>
        <w:trPr>
          <w:trHeight w:val="563" w:hRule="atLeast"/>
        </w:trPr>
        <w:tc>
          <w:tcPr>
            <w:tcW w:w="26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Cena za komoditu</w:t>
            </w:r>
          </w:p>
        </w:tc>
        <w:tc>
          <w:tcPr>
            <w:tcW w:w="2179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en-GB" w:bidi="ar-SA"/>
              </w:rPr>
              <w:t>1.148,70,--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Kč/MWh</w:t>
            </w:r>
          </w:p>
        </w:tc>
        <w:tc>
          <w:tcPr>
            <w:tcW w:w="1945" w:type="dxa"/>
            <w:vMerge w:val="restart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po celé období dodávky</w:t>
            </w:r>
          </w:p>
        </w:tc>
      </w:tr>
      <w:tr>
        <w:trPr/>
        <w:tc>
          <w:tcPr>
            <w:tcW w:w="26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Cena za stálý měsíční plat za 1 odběrné místo</w:t>
            </w:r>
          </w:p>
        </w:tc>
        <w:tc>
          <w:tcPr>
            <w:tcW w:w="2179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Cs w:val="22"/>
                <w:lang w:val="cs-CZ" w:bidi="ar-SA"/>
              </w:rPr>
              <w:t xml:space="preserve">8,--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Kč/měsíc/1 OM</w:t>
            </w:r>
          </w:p>
        </w:tc>
        <w:tc>
          <w:tcPr>
            <w:tcW w:w="1945" w:type="dxa"/>
            <w:vMerge w:val="continue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auto"/>
                <w:szCs w:val="22"/>
              </w:rPr>
            </w:r>
          </w:p>
        </w:tc>
      </w:tr>
    </w:tbl>
    <w:p>
      <w:pPr>
        <w:pStyle w:val="ListParagraph2"/>
        <w:tabs>
          <w:tab w:val="clear" w:pos="708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425" w:hanging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Cena zahrnuje veškeré neregulované složky ceny, to je:</w:t>
      </w:r>
    </w:p>
    <w:p>
      <w:pPr>
        <w:pStyle w:val="Pa3"/>
        <w:spacing w:lineRule="auto" w:line="276"/>
        <w:ind w:left="680" w:hanging="254"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</w:rPr>
        <w:t>a) komoditní složky ceny v Kč/MWh,</w:t>
      </w:r>
    </w:p>
    <w:p>
      <w:pPr>
        <w:pStyle w:val="Pa3"/>
        <w:spacing w:lineRule="auto" w:line="276"/>
        <w:ind w:left="680" w:hanging="254"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</w:rPr>
        <w:t xml:space="preserve">b) kapacitní složky ceny Kč/tis. m³ </w:t>
      </w:r>
    </w:p>
    <w:p>
      <w:pPr>
        <w:pStyle w:val="Pa3"/>
        <w:spacing w:lineRule="auto" w:line="276" w:before="0" w:after="120"/>
        <w:ind w:left="680" w:hanging="255"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</w:rPr>
        <w:t>c) stálý měsíční pla</w:t>
        <w:softHyphen/>
        <w:t>t v Kč/měsíc/1 odběrné místo.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>Cena za distribuci plynu bude stanovena podle platného Cenového rozhodnutí Energetického regulačního úřadu.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>K účtované ceně se připočítává daň z plynu a daň z přidané hodnoty stanovené platnými právními předpisy.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Platební podmínky jsou uvedeny v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Příloze č. 1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 - Obchodní podmínky dodávky plynu.</w:t>
      </w:r>
    </w:p>
    <w:p>
      <w:pPr>
        <w:pStyle w:val="ListParagraph2"/>
        <w:numPr>
          <w:ilvl w:val="0"/>
          <w:numId w:val="0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-218" w:hanging="0"/>
        <w:jc w:val="both"/>
        <w:rPr>
          <w:rFonts w:ascii="Calibri" w:hAnsi="Calibri" w:asciiTheme="minorHAnsi" w:hAnsiTheme="minorHAnsi"/>
          <w:color w:val="auto"/>
          <w:sz w:val="20"/>
          <w:highlight w:val="yellow"/>
        </w:rPr>
      </w:pPr>
      <w:r>
        <w:rPr>
          <w:rFonts w:asciiTheme="minorHAnsi" w:hAnsiTheme="minorHAnsi" w:ascii="Calibri" w:hAnsi="Calibri"/>
          <w:color w:val="auto"/>
          <w:sz w:val="20"/>
          <w:highlight w:val="yellow"/>
        </w:rPr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6.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PLATNOST A ÚČINNOST SMLOUVY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 w:before="0" w:after="120"/>
        <w:ind w:left="425" w:hanging="567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Tato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se uzavírá na dobu určitou od </w:t>
      </w:r>
      <w:r>
        <w:rPr>
          <w:rFonts w:cs="Calibri" w:ascii="Calibri" w:hAnsi="Calibri" w:asciiTheme="minorHAnsi" w:cstheme="minorHAnsi" w:hAnsiTheme="minorHAnsi"/>
          <w:b/>
        </w:rPr>
        <w:t>1.1.2025</w:t>
      </w:r>
      <w:r>
        <w:rPr>
          <w:rFonts w:ascii="Calibri" w:hAnsi="Calibri" w:ascii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06:00 hod. do </w:t>
      </w:r>
      <w:r>
        <w:rPr>
          <w:rFonts w:cs="Calibri" w:ascii="Calibri" w:hAnsi="Calibri" w:asciiTheme="minorHAnsi" w:cstheme="minorHAnsi" w:hAnsiTheme="minorHAnsi"/>
          <w:b/>
        </w:rPr>
        <w:t>1. 1. 2026</w:t>
      </w:r>
      <w:r>
        <w:rPr>
          <w:rFonts w:cs="Calibri" w:ascii="Calibri" w:hAnsi="Calibri" w:asciiTheme="minorHAnsi" w:cstheme="minorHAnsi" w:hAnsiTheme="minorHAnsi"/>
        </w:rPr>
        <w:t xml:space="preserve"> 06:00 hod.</w:t>
      </w:r>
    </w:p>
    <w:p>
      <w:pPr>
        <w:pStyle w:val="ListParagraph"/>
        <w:numPr>
          <w:ilvl w:val="0"/>
          <w:numId w:val="8"/>
        </w:numPr>
        <w:spacing w:lineRule="auto" w:line="276" w:before="0" w:after="120"/>
        <w:ind w:left="425" w:hanging="567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Tato </w:t>
      </w:r>
      <w:r>
        <w:rPr>
          <w:rFonts w:cs="Calibri" w:ascii="Calibri" w:hAnsi="Calibri" w:asciiTheme="minorHAnsi" w:cstheme="minorHAnsi" w:hAnsiTheme="minorHAnsi"/>
          <w:b/>
        </w:rPr>
        <w:t xml:space="preserve">Smlouva </w:t>
      </w:r>
      <w:r>
        <w:rPr>
          <w:rFonts w:cs="Calibri" w:ascii="Calibri" w:hAnsi="Calibri" w:asciiTheme="minorHAnsi" w:cstheme="minorHAnsi" w:hAnsiTheme="minorHAnsi"/>
        </w:rPr>
        <w:t xml:space="preserve">nabývá platnosti dnem uzavření. Účinnosti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nabývá jejím uveřejněním v registru smluv.</w:t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7.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SPOLEČNÁ A ZÁVĚREČNÁ USTANOVENÍ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podpisem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potvrzuje, že převzal OPD, které tvoří </w:t>
      </w:r>
      <w:r>
        <w:rPr>
          <w:rFonts w:cs="Calibri" w:ascii="Calibri" w:hAnsi="Calibri" w:asciiTheme="minorHAnsi" w:cstheme="minorHAnsi" w:hAnsiTheme="minorHAnsi"/>
          <w:b/>
        </w:rPr>
        <w:t>Přílohu č. 1</w:t>
      </w:r>
      <w:r>
        <w:rPr>
          <w:rFonts w:cs="Calibri" w:ascii="Calibri" w:hAnsi="Calibri" w:asciiTheme="minorHAnsi" w:cstheme="minorHAnsi" w:hAnsiTheme="minorHAnsi"/>
        </w:rPr>
        <w:t xml:space="preserve">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. 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Smluvní strany určují kontaktní osoby oprávněné k jednání k naplnění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a dalším úkonům, včetně přijetí změn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; také určují doručovací adresy pro vzájemnou komunikaci. Tyto osoby a adresy jsou uvedeny v </w:t>
      </w:r>
      <w:r>
        <w:rPr>
          <w:rFonts w:cs="Calibri" w:ascii="Calibri" w:hAnsi="Calibri" w:asciiTheme="minorHAnsi" w:cstheme="minorHAnsi" w:hAnsiTheme="minorHAnsi"/>
          <w:b/>
        </w:rPr>
        <w:t>Příloze č. 3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Pro případy převodu nebo zřízení nových OM v průběhu dodávky udělí </w:t>
      </w:r>
      <w:r>
        <w:rPr>
          <w:rFonts w:cs="Calibri" w:ascii="Calibri" w:hAnsi="Calibri" w:asciiTheme="minorHAnsi" w:cstheme="minorHAnsi" w:hAnsiTheme="minorHAnsi"/>
          <w:b/>
        </w:rPr>
        <w:t>Zákazník Obchodníkovi</w:t>
      </w:r>
      <w:r>
        <w:rPr>
          <w:rFonts w:cs="Calibri" w:ascii="Calibri" w:hAnsi="Calibri" w:asciiTheme="minorHAnsi" w:cstheme="minorHAnsi" w:hAnsiTheme="minorHAnsi"/>
        </w:rPr>
        <w:t xml:space="preserve"> plnou moc k zajištění potřebných kroků vedoucích k naplnění těchto záměrů. 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Tuto </w:t>
      </w:r>
      <w:r>
        <w:rPr>
          <w:rFonts w:cs="Calibri" w:ascii="Calibri" w:hAnsi="Calibri" w:asciiTheme="minorHAnsi" w:cstheme="minorHAnsi" w:hAnsiTheme="minorHAnsi"/>
          <w:b/>
        </w:rPr>
        <w:t>Smlouvu</w:t>
      </w:r>
      <w:r>
        <w:rPr>
          <w:rFonts w:cs="Calibri" w:ascii="Calibri" w:hAnsi="Calibri" w:asciiTheme="minorHAnsi" w:cstheme="minorHAnsi" w:hAnsi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budou považována za právně neplatná a neúčinná. 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Pokud by jakýkoliv závazek (povinnost) podle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oddělitelný od ostatního obsahu</w:t>
      </w:r>
      <w:r>
        <w:rPr>
          <w:rFonts w:cs="Calibri" w:ascii="Calibri" w:hAnsi="Calibri" w:asciiTheme="minorHAnsi" w:cstheme="minorHAnsi" w:hAnsiTheme="minorHAnsi"/>
        </w:rPr>
        <w:t xml:space="preserve"> byl nebo by se stal neplatným nebo nevymahatelným, nebude to mít vliv na platnost a vymahatelnost ostatních závazků (povinností) podle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; Smluvní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neobsahovala nějaké ustanovení, které by bylo jinak pro vymezení práv a povinností odůvodněné, Smluvní strany se zavazují takové ustanovení do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doplnit; ostatní ustanovení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zůstávají beze změny.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Tato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se řídí právem České republiky; není-li v této </w:t>
      </w:r>
      <w:r>
        <w:rPr>
          <w:rFonts w:cs="Calibri" w:ascii="Calibri" w:hAnsi="Calibri" w:asciiTheme="minorHAnsi" w:cstheme="minorHAnsi" w:hAnsiTheme="minorHAnsi"/>
          <w:b/>
        </w:rPr>
        <w:t>Smlouv</w:t>
      </w:r>
      <w:r>
        <w:rPr>
          <w:rFonts w:cs="Calibri" w:ascii="Calibri" w:hAnsi="Calibri" w:asciiTheme="minorHAnsi" w:cstheme="minorHAnsi" w:hAnsiTheme="minorHAnsi"/>
        </w:rPr>
        <w:t>ě uvedeno jinak, řídí se vzájemné vztahy smluvních stran příslušnými ustanoveními Energetického zákona a jeho prováděcími předpisy (vyhlášky, cenové rozhodnutí ERÚ, apod.) a občanského zákoníku a souvisejících právních předpisů. V případě, že za doby trvání smluvního vztahu dojde ke změně platných právních norem nebo k přijetí nových, bude smluvní vztah upraven v souladu s nimi.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Při zániku jedné nebo druhé Smluvní strany, přecházejí smluvní závazky z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na právního nástupce zanikající Smluvní strany.</w:t>
      </w:r>
    </w:p>
    <w:p>
      <w:pPr>
        <w:pStyle w:val="ListParagraph"/>
        <w:numPr>
          <w:ilvl w:val="0"/>
          <w:numId w:val="7"/>
        </w:numPr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Tato smlouva je uzavřena v elektronické podobě.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Smluvní strany prohlašují, že k této </w:t>
      </w:r>
      <w:r>
        <w:rPr>
          <w:rFonts w:cs="Calibri" w:ascii="Calibri" w:hAnsi="Calibri" w:asciiTheme="minorHAnsi" w:cstheme="minorHAnsi" w:hAnsiTheme="minorHAnsi"/>
          <w:b/>
        </w:rPr>
        <w:t>Smlouvě</w:t>
      </w:r>
      <w:r>
        <w:rPr>
          <w:rFonts w:cs="Calibri" w:ascii="Calibri" w:hAnsi="Calibri" w:asciiTheme="minorHAnsi" w:cstheme="minorHAnsi" w:hAnsi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je oprávněn zveřejnit, že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odebírá plyn od </w:t>
      </w:r>
      <w:r>
        <w:rPr>
          <w:rFonts w:cs="Calibri" w:ascii="Calibri" w:hAnsi="Calibri" w:asciiTheme="minorHAnsi" w:cstheme="minorHAnsi" w:hAnsiTheme="minorHAnsi"/>
          <w:b/>
        </w:rPr>
        <w:t>Obchodníka</w:t>
      </w:r>
      <w:r>
        <w:rPr>
          <w:rFonts w:cs="Calibri" w:ascii="Calibri" w:hAnsi="Calibri" w:asciiTheme="minorHAnsi" w:cstheme="minorHAnsi" w:hAnsiTheme="minorHAnsi"/>
        </w:rPr>
        <w:t xml:space="preserve">. Tuto informaci je 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>
        <w:rPr>
          <w:rFonts w:cs="Calibri" w:ascii="Calibri" w:hAnsi="Calibri" w:asciiTheme="minorHAnsi" w:cstheme="minorHAnsi" w:hAnsiTheme="minorHAnsi"/>
          <w:b/>
        </w:rPr>
        <w:t>Zákazníka</w:t>
      </w:r>
      <w:r>
        <w:rPr>
          <w:rFonts w:cs="Calibri" w:ascii="Calibri" w:hAnsi="Calibri" w:asciiTheme="minorHAnsi" w:cstheme="minorHAnsi" w:hAnsiTheme="minorHAnsi"/>
        </w:rPr>
        <w:t xml:space="preserve"> ve správné podobě.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bere na vědomí, že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dobu časově neomezenou.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bere dále na vědomí, že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je povinen za podmínek stanovených v zákoně č. 340/2015 Sb., o registru smluv, ve znění pozdějších předpisů, tuto </w:t>
      </w:r>
      <w:r>
        <w:rPr>
          <w:rFonts w:cs="Calibri" w:ascii="Calibri" w:hAnsi="Calibri" w:asciiTheme="minorHAnsi" w:cstheme="minorHAnsi" w:hAnsiTheme="minorHAnsi"/>
          <w:b/>
        </w:rPr>
        <w:t>Smlouvu</w:t>
      </w:r>
      <w:r>
        <w:rPr>
          <w:rFonts w:cs="Calibri" w:ascii="Calibri" w:hAnsi="Calibri" w:asciiTheme="minorHAnsi" w:cstheme="minorHAnsi" w:hAnsiTheme="minorHAnsi"/>
        </w:rPr>
        <w:t xml:space="preserve">, včetně všech jejích příloh zveřejnit na portálu veřejné správy v registru smluv. 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souhlasí se zveřejněním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a všech jejích příloh v plném rozsahu, vyjma podpisů zástupců Smluvních stran jakožto osobních údajů chráněných dle příslušných právních předpisů. Smluvní strany se dohodly, že zveřejnění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zajistí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, přičemž se o tom zavazuje neprodleně informovat </w:t>
      </w:r>
      <w:r>
        <w:rPr>
          <w:rFonts w:cs="Calibri" w:ascii="Calibri" w:hAnsi="Calibri" w:asciiTheme="minorHAnsi" w:cstheme="minorHAnsi" w:hAnsiTheme="minorHAnsi"/>
          <w:b/>
        </w:rPr>
        <w:t>Obchodníka</w:t>
      </w:r>
      <w:r>
        <w:rPr>
          <w:rFonts w:cs="Calibri" w:ascii="Calibri" w:hAnsi="Calibri" w:asciiTheme="minorHAnsi" w:cstheme="minorHAnsi" w:hAnsiTheme="minorHAnsi"/>
        </w:rPr>
        <w:t xml:space="preserve"> na e-mailovou adresu info.komodity@veolia.com nebo do jeho datové schránky. Data uvedená v registračním listu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dle čl. X. odst. 8 OPD nejsou pro </w:t>
      </w:r>
      <w:r>
        <w:rPr>
          <w:rFonts w:cs="Calibri" w:ascii="Calibri" w:hAnsi="Calibri" w:asciiTheme="minorHAnsi" w:cstheme="minorHAnsi" w:hAnsiTheme="minorHAnsi"/>
          <w:b/>
        </w:rPr>
        <w:t>Zákazníka</w:t>
      </w:r>
      <w:r>
        <w:rPr>
          <w:rFonts w:cs="Calibri" w:ascii="Calibri" w:hAnsi="Calibri" w:asciiTheme="minorHAnsi" w:cstheme="minorHAnsi" w:hAnsiTheme="minorHAnsi"/>
        </w:rPr>
        <w:t xml:space="preserve"> při zveřejňování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závazná.</w:t>
      </w:r>
    </w:p>
    <w:p>
      <w:pPr>
        <w:pStyle w:val="ListParagraph"/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Obchodník bude poskytovat Magistrátu města Ostravy na e-mail: </w:t>
      </w:r>
      <w:hyperlink r:id="rId2">
        <w:r>
          <w:rPr>
            <w:rStyle w:val="Internetovodkaz"/>
            <w:rFonts w:cs="Calibri" w:ascii="Calibri" w:hAnsi="Calibri" w:asciiTheme="minorHAnsi" w:cstheme="minorHAnsi" w:hAnsiTheme="minorHAnsi"/>
          </w:rPr>
          <w:t>ssn@tendersystems.cz</w:t>
        </w:r>
      </w:hyperlink>
      <w:r>
        <w:rPr>
          <w:rFonts w:cs="Calibri" w:ascii="Calibri" w:hAnsi="Calibri" w:asciiTheme="minorHAnsi" w:cstheme="minorHAnsi" w:hAnsiTheme="minorHAnsi"/>
        </w:rPr>
        <w:t>, popřípadě Zákazníkovi na základě jeho písemného požadavku, soubor dat v elektronické podobě ve strojově čitelném formátu, obsahující kompletní údaje o realizované dodávce zemního plynu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8. OPD. 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rPr/>
        <w:t>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Doložka platnosti právního jednání dle ust. § 41 zákona č. 128/2000 Sb., o obcích (obecní zřízení), ve znění pozdějších předpisů – údaje budou doplněny </w:t>
      </w:r>
      <w:r>
        <w:rPr>
          <w:rFonts w:cs="Calibri" w:ascii="Calibri" w:hAnsi="Calibri" w:asciiTheme="minorHAnsi" w:cstheme="minorHAnsi" w:hAnsiTheme="minorHAnsi"/>
          <w:b/>
        </w:rPr>
        <w:t>Zákazníkem</w:t>
      </w:r>
      <w:r>
        <w:rPr>
          <w:rFonts w:cs="Calibri" w:ascii="Calibri" w:hAnsi="Calibri" w:asciiTheme="minorHAnsi" w:cstheme="minorHAnsi" w:hAnsiTheme="minorHAnsi"/>
        </w:rPr>
        <w:t xml:space="preserve"> pouze v případě, jsou-li pro </w:t>
      </w:r>
      <w:r>
        <w:rPr>
          <w:rFonts w:cs="Calibri" w:ascii="Calibri" w:hAnsi="Calibri" w:asciiTheme="minorHAnsi" w:cstheme="minorHAnsi" w:hAnsiTheme="minorHAnsi"/>
          <w:b/>
        </w:rPr>
        <w:t>Zákazníka</w:t>
      </w:r>
      <w:r>
        <w:rPr>
          <w:rFonts w:cs="Calibri" w:ascii="Calibri" w:hAnsi="Calibri" w:asciiTheme="minorHAnsi" w:cstheme="minorHAnsi" w:hAnsiTheme="minorHAnsi"/>
        </w:rPr>
        <w:t xml:space="preserve"> relevantní, v opačném případě zůstanou údaje nevyplněny: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ascii="Calibri" w:hAnsi="Calibri" w:asciiTheme="minorHAnsi" w:hAnsiTheme="minorHAnsi"/>
        </w:rPr>
        <w:t>O uzavření této smlouvy rozhodla rada města usnesením č. </w:t>
      </w:r>
      <w:r>
        <w:rPr>
          <w:rFonts w:cs="Calibri" w:ascii="Calibri" w:hAnsi="Calibri" w:asciiTheme="minorHAnsi" w:cstheme="minorHAnsi" w:hAnsiTheme="minorHAnsi"/>
        </w:rPr>
        <w:t>____/RM___/___ ze dne __. __. 2024</w:t>
      </w:r>
      <w:r>
        <w:rPr>
          <w:rFonts w:ascii="Calibri" w:hAnsi="Calibri" w:asciiTheme="minorHAnsi" w:hAnsiTheme="minorHAnsi"/>
        </w:rPr>
        <w:t xml:space="preserve">, kterým bylo rozhodnuto o výběru dodavatele a uzavření smlouvy k veřejné zakázce </w:t>
      </w:r>
      <w:r>
        <w:rPr>
          <w:rFonts w:ascii="Calibri" w:hAnsi="Calibri" w:asciiTheme="minorHAnsi" w:hAnsiTheme="minorHAnsi"/>
          <w:i/>
        </w:rPr>
        <w:t>„Dodávky zemního plynu pro statutární město Ostrava a</w:t>
      </w:r>
      <w:r>
        <w:rPr>
          <w:rFonts w:cs="Calibri" w:ascii="Calibri" w:hAnsi="Calibri" w:asciiTheme="minorHAnsi" w:cstheme="minorHAnsi" w:hAnsiTheme="minorHAnsi"/>
          <w:i/>
        </w:rPr>
        <w:t xml:space="preserve"> </w:t>
      </w:r>
      <w:r>
        <w:rPr>
          <w:rFonts w:ascii="Calibri" w:hAnsi="Calibri" w:asciiTheme="minorHAnsi" w:hAnsiTheme="minorHAnsi"/>
          <w:i/>
        </w:rPr>
        <w:t xml:space="preserve">městské organizace na rok </w:t>
      </w:r>
      <w:r>
        <w:rPr>
          <w:rFonts w:cs="Calibri" w:ascii="Calibri" w:hAnsi="Calibri" w:asciiTheme="minorHAnsi" w:cstheme="minorHAnsi" w:hAnsiTheme="minorHAnsi"/>
          <w:i/>
        </w:rPr>
        <w:t>2025“</w:t>
      </w:r>
    </w:p>
    <w:p>
      <w:pPr>
        <w:pStyle w:val="ListParagraph"/>
        <w:spacing w:lineRule="auto" w:line="276" w:before="0" w:after="120"/>
        <w:ind w:left="0" w:hanging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Smlouva obsahuje následující přílohy: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Příloha č. 1. – </w:t>
      </w:r>
      <w:r>
        <w:rPr>
          <w:rFonts w:cs="Calibri" w:ascii="Calibri" w:hAnsi="Calibri" w:asciiTheme="minorHAnsi" w:cstheme="minorHAnsi" w:hAnsiTheme="minorHAnsi"/>
        </w:rPr>
        <w:t xml:space="preserve">Obchodní podmínky dodávky 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Příloha č. 2.</w:t>
      </w:r>
      <w:r>
        <w:rPr>
          <w:rFonts w:cs="Calibri" w:ascii="Calibri" w:hAnsi="Calibri" w:asciiTheme="minorHAnsi" w:cstheme="minorHAnsi" w:hAnsiTheme="minorHAnsi"/>
        </w:rPr>
        <w:t xml:space="preserve"> – Seznam odběrných míst plynu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Příloha č. 3. </w:t>
      </w:r>
      <w:r>
        <w:rPr>
          <w:rFonts w:cs="Calibri" w:ascii="Calibri" w:hAnsi="Calibri" w:asciiTheme="minorHAnsi" w:cstheme="minorHAnsi" w:hAnsiTheme="minorHAnsi"/>
        </w:rPr>
        <w:t>– Kontakty a kontaktní osoby oprávněné k jednání pro naplnění Smlouvy</w:t>
      </w:r>
    </w:p>
    <w:p>
      <w:pPr>
        <w:pStyle w:val="Normal"/>
        <w:rPr/>
      </w:pPr>
      <w:r>
        <w:rPr/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V Praze, dne: ………………………</w:t>
        <w:tab/>
        <w:tab/>
        <w:t xml:space="preserve">               V Ostravě, dne: ……………….........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</w:t>
        <w:tab/>
        <w:tab/>
        <w:tab/>
        <w:t>.................................................</w:t>
      </w:r>
    </w:p>
    <w:p>
      <w:pPr>
        <w:pStyle w:val="ListParagraph"/>
        <w:spacing w:lineRule="auto" w:line="276" w:before="0" w:after="120"/>
        <w:ind w:left="4956" w:hanging="453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Markéta Veverková - na základě pověření </w:t>
        <w:tab/>
      </w:r>
      <w:r>
        <w:rPr>
          <w:rFonts w:cs="Calibri" w:ascii="Calibri" w:hAnsi="Calibri" w:asciiTheme="minorHAnsi" w:cstheme="minorHAnsi" w:hAnsiTheme="minorHAnsi"/>
          <w:shd w:fill="auto" w:val="clear"/>
        </w:rPr>
        <w:t>Mgr. Miroslav Bučánek, ředitel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</w:rPr>
        <w:t>Obchodník</w:t>
        <w:tab/>
        <w:tab/>
        <w:tab/>
        <w:tab/>
        <w:tab/>
        <w:tab/>
        <w:t>Zákazník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18" w:right="1418" w:header="709" w:top="1667" w:footer="709" w:bottom="1418" w:gutter="0"/>
          <w:pgNumType w:fmt="decimal"/>
          <w:formProt w:val="false"/>
          <w:textDirection w:val="lrTb"/>
          <w:docGrid w:type="default" w:linePitch="360" w:charSpace="8192"/>
        </w:sect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</w:rPr>
        <w:t xml:space="preserve">„ </w:t>
      </w:r>
      <w:r>
        <w:rPr>
          <w:rFonts w:cs="Calibri" w:ascii="Calibri" w:hAnsi="Calibri" w:asciiTheme="minorHAnsi" w:cstheme="minorHAnsi" w:hAnsiTheme="minorHAnsi"/>
        </w:rPr>
        <w:t>podepsáno elektronicky“</w:t>
        <w:tab/>
        <w:tab/>
        <w:tab/>
        <w:tab/>
        <w:t>„ podepsáno elektronick</w:t>
      </w:r>
      <w:bookmarkStart w:id="0" w:name="_Hlk136432249"/>
      <w:bookmarkEnd w:id="0"/>
      <w:r>
        <w:rPr>
          <w:rFonts w:cs="Calibri" w:ascii="Calibri" w:hAnsi="Calibri" w:asciiTheme="minorHAnsi" w:cstheme="minorHAnsi" w:hAnsiTheme="minorHAnsi"/>
        </w:rPr>
        <w:t>y“</w:t>
      </w:r>
    </w:p>
    <w:p>
      <w:pPr>
        <w:pStyle w:val="Normal"/>
        <w:tabs>
          <w:tab w:val="clear" w:pos="708"/>
          <w:tab w:val="left" w:pos="1065" w:leader="none"/>
        </w:tabs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ab/>
      </w:r>
    </w:p>
    <w:p>
      <w:pPr>
        <w:pStyle w:val="Normal"/>
        <w:spacing w:lineRule="auto" w:line="276" w:before="0" w:after="120"/>
        <w:ind w:left="284" w:hanging="0"/>
        <w:jc w:val="center"/>
        <w:rPr>
          <w:rFonts w:ascii="Calibri" w:hAnsi="Calibri" w:eastAsia="Arial Unicode MS" w:cs="Calibri" w:asciiTheme="minorHAnsi" w:cstheme="minorHAnsi" w:hAnsiTheme="minorHAnsi"/>
          <w:b/>
          <w:b/>
          <w:sz w:val="32"/>
          <w:szCs w:val="32"/>
        </w:rPr>
      </w:pPr>
      <w:r>
        <w:rPr>
          <w:rFonts w:eastAsia="Arial Unicode MS" w:cs="Calibri" w:ascii="Calibri" w:hAnsi="Calibri" w:asciiTheme="minorHAnsi" w:cstheme="minorHAnsi" w:hAnsiTheme="minorHAnsi"/>
          <w:b/>
          <w:sz w:val="32"/>
          <w:szCs w:val="32"/>
        </w:rPr>
        <w:t>Příloha č. 3</w:t>
      </w:r>
    </w:p>
    <w:p>
      <w:pPr>
        <w:pStyle w:val="Normal"/>
        <w:spacing w:lineRule="auto" w:line="276" w:before="0" w:after="120"/>
        <w:ind w:left="284" w:hanging="0"/>
        <w:jc w:val="center"/>
        <w:rPr>
          <w:rFonts w:ascii="Calibri" w:hAnsi="Calibri" w:eastAsia="Arial Unicode MS" w:cs="Calibri" w:asciiTheme="minorHAnsi" w:cstheme="minorHAnsi" w:hAnsiTheme="minorHAnsi"/>
          <w:b/>
          <w:b/>
          <w:sz w:val="32"/>
          <w:szCs w:val="32"/>
        </w:rPr>
      </w:pPr>
      <w:r>
        <w:rPr>
          <w:rFonts w:eastAsia="Arial Unicode MS" w:cs="Calibri" w:ascii="Calibri" w:hAnsi="Calibri" w:asciiTheme="minorHAnsi" w:cstheme="minorHAnsi" w:hAnsiTheme="minorHAnsi"/>
          <w:b/>
          <w:sz w:val="32"/>
          <w:szCs w:val="32"/>
        </w:rPr>
        <w:t xml:space="preserve">Kontakty a kontaktní osoby oprávněné k jednání pro naplnění Smlouvy </w:t>
      </w:r>
    </w:p>
    <w:p>
      <w:pPr>
        <w:pStyle w:val="ListParagraph2"/>
        <w:keepNext w:val="true"/>
        <w:tabs>
          <w:tab w:val="clear" w:pos="708"/>
          <w:tab w:val="left" w:pos="426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425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ListParagraph2"/>
        <w:keepNext w:val="true"/>
        <w:tabs>
          <w:tab w:val="clear" w:pos="708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0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Kontaktní osoby za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Obchodníka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:</w:t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"/>
        <w:gridCol w:w="3476"/>
        <w:gridCol w:w="918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ind w:left="36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14"/>
              </w:rPr>
              <w:t>Osoby oprávněné k jednání ve věcech smluvních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lang w:val="en-GB"/>
              </w:rPr>
              <w:t>Markéta Veverková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2"/>
              </w:rPr>
            </w:pPr>
            <w:r>
              <w:rPr>
                <w:rFonts w:cs="Calibri" w:cstheme="minorHAnsi" w:ascii="Calibri" w:hAnsi="Calibri"/>
                <w:b/>
                <w:sz w:val="22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lang w:val="en-GB"/>
              </w:rPr>
              <w:t>Radlická 364/152, Praha 5, 150 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adresa: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Style w:val="Internetovodkaz"/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shd w:fill="auto" w:val="clear"/>
                <w:lang w:val="en-GB" w:eastAsia="en-US" w:bidi="ar-SA"/>
              </w:rPr>
              <w:t>XXXXX</w:t>
            </w:r>
            <w:r>
              <w:rPr>
                <w:rFonts w:cs="Calibri" w:ascii="Calibri" w:hAnsi="Calibri" w:asciiTheme="minorHAnsi" w:cstheme="minorHAnsi" w:hAnsiTheme="minorHAnsi"/>
                <w:sz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shd w:fill="auto" w:val="clear"/>
                <w:lang w:val="en-GB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0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0" w:hanging="0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"/>
        <w:gridCol w:w="3476"/>
        <w:gridCol w:w="918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14"/>
              </w:rPr>
              <w:t>Osoby pověřené pro operativní a technická jednání: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lang w:val="en-GB"/>
              </w:rPr>
              <w:t>Markéta Veverková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2"/>
              </w:rPr>
            </w:pPr>
            <w:r>
              <w:rPr>
                <w:rFonts w:cs="Calibri" w:cstheme="minorHAnsi" w:ascii="Calibri" w:hAnsi="Calibri"/>
                <w:b/>
                <w:sz w:val="22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lang w:val="en-GB"/>
              </w:rPr>
              <w:t>Radlická 364/152, Praha 5, 150 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adresa: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2"/>
                <w:szCs w:val="20"/>
                <w:shd w:fill="auto" w:val="clear"/>
                <w:lang w:val="en-GB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shd w:fill="auto" w:val="clear"/>
                <w:lang w:val="en-GB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426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425" w:hanging="0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"/>
        <w:gridCol w:w="3476"/>
        <w:gridCol w:w="918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Cs w:val="14"/>
              </w:rPr>
              <w:t>Kontakt pro hlášení samoodečtů: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lang w:val="en-GB"/>
              </w:rPr>
              <w:t>Zákaznický servis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2"/>
              </w:rPr>
            </w:pPr>
            <w:r>
              <w:rPr>
                <w:rFonts w:cs="Calibri" w:cstheme="minorHAnsi" w:ascii="Calibri" w:hAnsi="Calibri"/>
                <w:b/>
                <w:sz w:val="22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lang w:val="en-GB"/>
              </w:rPr>
              <w:t xml:space="preserve"> </w:t>
            </w:r>
            <w:r>
              <w:rPr>
                <w:rStyle w:val="Internetovodkaz"/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shd w:fill="auto" w:val="clear"/>
                <w:lang w:val="en-GB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</w:tbl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Kontaktní osoby za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Zákazníka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:</w:t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"/>
        <w:gridCol w:w="3476"/>
        <w:gridCol w:w="918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hd w:fill="auto" w:val="clear"/>
              </w:rPr>
            </w:pPr>
            <w:r>
              <w:rPr>
                <w:rFonts w:cs="Calibri" w:ascii="Calibri" w:hAnsi="Calibri" w:cstheme="minorHAnsi"/>
                <w:b/>
                <w:color w:val="000000"/>
                <w:shd w:fill="auto" w:val="clear"/>
                <w:lang w:val="en-GB"/>
              </w:rPr>
              <w:t>Mgr. Miroslav Bučánek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ascii="Calibri" w:hAnsi="Calibri" w:cstheme="minorHAnsi"/>
                <w:shd w:fill="auto" w:val="clear"/>
                <w:lang w:val="en-GB"/>
              </w:rPr>
              <w:t>Josefa Valčíka 4411/2, Ostrava-Poruba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eastAsia="Calibri" w:cs="Calibri" w:asciiTheme="minorHAnsi" w:cstheme="minorHAnsi" w:hAnsiTheme="minorHAnsi"/>
                <w:color w:val="auto"/>
                <w:kern w:val="0"/>
                <w:sz w:val="20"/>
                <w:szCs w:val="20"/>
                <w:shd w:fill="auto" w:val="clear"/>
                <w:lang w:val="en-GB" w:eastAsia="en-US" w:bidi="ar-SA"/>
              </w:rPr>
            </w:pPr>
            <w:r>
              <w:rPr>
                <w:rFonts w:eastAsia="Calibri" w:cs="Calibri" w:ascii="Calibri" w:hAnsi="Calibri" w:cstheme="minorHAnsi"/>
                <w:color w:val="000000"/>
                <w:kern w:val="0"/>
                <w:sz w:val="20"/>
                <w:szCs w:val="20"/>
                <w:shd w:fill="auto" w:val="clear"/>
                <w:lang w:val="en-GB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eastAsia="Calibri" w:cs="Calibri" w:asciiTheme="minorHAnsi" w:cstheme="minorHAnsi" w:hAnsiTheme="minorHAnsi"/>
                <w:color w:val="auto"/>
                <w:kern w:val="0"/>
                <w:sz w:val="20"/>
                <w:szCs w:val="20"/>
                <w:shd w:fill="auto" w:val="clear"/>
                <w:lang w:val="en-GB" w:eastAsia="en-US" w:bidi="ar-SA"/>
              </w:rPr>
            </w:pPr>
            <w:r>
              <w:rPr>
                <w:rFonts w:eastAsia="Calibri" w:cs="Calibri" w:ascii="Calibri" w:hAnsi="Calibri" w:cstheme="minorHAnsi"/>
                <w:color w:val="000000"/>
                <w:kern w:val="0"/>
                <w:sz w:val="20"/>
                <w:szCs w:val="20"/>
                <w:shd w:fill="auto" w:val="clear"/>
                <w:lang w:val="en-GB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0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0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"/>
        <w:gridCol w:w="3476"/>
        <w:gridCol w:w="918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  <w:shd w:fill="auto" w:val="clear"/>
              </w:rPr>
            </w:pPr>
            <w:r>
              <w:rPr>
                <w:rFonts w:cs="Calibri" w:ascii="Calibri" w:hAnsi="Calibri" w:cstheme="minorHAnsi"/>
                <w:b/>
                <w:shd w:fill="auto" w:val="clear"/>
                <w:lang w:val="en-GB"/>
              </w:rPr>
              <w:t>Lubomír Ozdinec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ascii="Calibri" w:hAnsi="Calibri" w:cstheme="minorHAnsi"/>
                <w:shd w:fill="auto" w:val="clear"/>
                <w:lang w:val="en-GB"/>
              </w:rPr>
              <w:t>Josefa Valčíka 4411/2, Ostrava-Poruba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ascii="Calibri" w:hAnsi="Calibri" w:cstheme="minorHAnsi"/>
                <w:shd w:fill="auto" w:val="clear"/>
                <w:lang w:val="en-GB"/>
              </w:rPr>
              <w:t>mail@zsvalcika.eu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eastAsia="Calibri" w:cs="Calibri" w:asciiTheme="minorHAnsi" w:cstheme="minorHAnsi" w:hAnsiTheme="minorHAnsi"/>
                <w:color w:val="auto"/>
                <w:kern w:val="0"/>
                <w:sz w:val="20"/>
                <w:szCs w:val="20"/>
                <w:shd w:fill="auto" w:val="clear"/>
                <w:lang w:val="en-GB" w:eastAsia="en-US" w:bidi="ar-SA"/>
              </w:rPr>
            </w:pPr>
            <w:r>
              <w:rPr>
                <w:rFonts w:eastAsia="Calibri" w:cs="Calibri" w:ascii="Calibri" w:hAnsi="Calibri" w:cstheme="minorHAnsi"/>
                <w:color w:val="000000"/>
                <w:kern w:val="0"/>
                <w:sz w:val="20"/>
                <w:szCs w:val="20"/>
                <w:shd w:fill="auto" w:val="clear"/>
                <w:lang w:val="en-GB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eastAsia="Calibri" w:cs="Calibri" w:asciiTheme="minorHAnsi" w:cstheme="minorHAnsi" w:hAnsiTheme="minorHAns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shd w:fill="auto" w:val="clear"/>
                <w:lang w:val="en-GB" w:eastAsia="en-US" w:bidi="ar-SA"/>
              </w:rPr>
            </w:pPr>
            <w:r>
              <w:rPr>
                <w:rFonts w:eastAsia="Calibri" w:cs="Calibri" w:ascii="Calibri" w:hAnsi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shd w:fill="auto" w:val="clear"/>
                <w:lang w:val="en-GB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426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425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"/>
        <w:gridCol w:w="3476"/>
        <w:gridCol w:w="918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/>
                <w:b/>
                <w:b/>
                <w:shd w:fill="auto" w:val="clear"/>
                <w:lang w:val="en-GB"/>
              </w:rPr>
            </w:pPr>
            <w:r>
              <w:rPr>
                <w:rFonts w:cs="Calibri" w:ascii="Calibri" w:hAnsi="Calibri" w:cstheme="minorHAnsi"/>
                <w:b/>
                <w:shd w:fill="auto" w:val="clear"/>
                <w:lang w:val="en-GB"/>
              </w:rPr>
              <w:t>Ing. Jana Sobková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/>
                <w:shd w:fill="auto" w:val="clear"/>
              </w:rPr>
            </w:pPr>
            <w:r>
              <w:rPr>
                <w:rFonts w:cs="Calibri" w:ascii="Calibri" w:hAnsi="Calibri" w:asciiTheme="minorHAnsi" w:cstheme="minorHAnsi" w:hAnsiTheme="minorHAnsi"/>
                <w:shd w:fill="auto" w:val="clear"/>
                <w:lang w:val="en-GB"/>
              </w:rPr>
              <w:t>Josefa Valčíka 4411/2, Ostrava-Poruba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eastAsia="Calibri" w:cs="Calibri" w:asciiTheme="minorHAnsi" w:cstheme="minorHAnsi" w:hAnsiTheme="minorHAnsi"/>
                <w:color w:val="auto"/>
                <w:kern w:val="0"/>
                <w:sz w:val="20"/>
                <w:szCs w:val="20"/>
                <w:shd w:fill="auto" w:val="clear"/>
                <w:lang w:val="en-GB" w:eastAsia="en-US" w:bidi="ar-SA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shd w:fill="auto" w:val="clear"/>
                <w:lang w:val="en-GB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eastAsia="Calibri" w:cs="Calibri" w:asciiTheme="minorHAnsi" w:cstheme="minorHAnsi" w:hAnsiTheme="minorHAnsi"/>
                <w:color w:val="auto"/>
                <w:kern w:val="0"/>
                <w:sz w:val="20"/>
                <w:szCs w:val="20"/>
                <w:shd w:fill="auto" w:val="clear"/>
                <w:lang w:val="en-GB" w:eastAsia="en-US" w:bidi="ar-SA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shd w:fill="auto" w:val="clear"/>
                <w:lang w:val="en-GB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0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ListParagraph2"/>
        <w:keepNext w:val="true"/>
        <w:tabs>
          <w:tab w:val="clear" w:pos="708"/>
          <w:tab w:val="left" w:pos="426" w:leader="none"/>
          <w:tab w:val="left" w:pos="1416" w:leader="none"/>
          <w:tab w:val="left" w:pos="2124" w:leader="none"/>
          <w:tab w:val="left" w:pos="2832" w:leader="none"/>
          <w:tab w:val="left" w:pos="5245" w:leader="none"/>
          <w:tab w:val="left" w:pos="7788" w:leader="none"/>
          <w:tab w:val="left" w:pos="8496" w:leader="none"/>
          <w:tab w:val="left" w:pos="9204" w:leader="none"/>
        </w:tabs>
        <w:spacing w:before="360" w:after="0"/>
        <w:ind w:left="426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rPr>
          <w:rFonts w:ascii="Calibri" w:hAnsi="Calibri" w:eastAsia="Arial Unicode MS" w:cs="Calibri" w:asciiTheme="minorHAnsi" w:cstheme="minorHAnsi" w:hAnsiTheme="minorHAnsi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8" w:right="1418" w:header="709" w:top="1667" w:footer="709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85144882"/>
    </w:sdtPr>
    <w:sdtContent>
      <w:p>
        <w:pPr>
          <w:pStyle w:val="Zpat"/>
          <w:jc w:val="center"/>
          <w:rPr/>
        </w:pPr>
        <w:r>
          <w:rPr/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6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</w:rPr>
          <w:t>6</w:t>
        </w:r>
      </w:p>
    </w:sdtContent>
  </w:sdt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2977" w:leader="none"/>
        <w:tab w:val="right" w:pos="9072" w:leader="none"/>
      </w:tabs>
      <w:spacing w:before="0" w:after="120"/>
      <w:rPr>
        <w:sz w:val="16"/>
        <w:szCs w:val="16"/>
      </w:rPr>
    </w:pPr>
    <w:r>
      <w:rPr>
        <w:sz w:val="16"/>
        <w:szCs w:val="16"/>
      </w:rPr>
      <w:t>ČÍSLO SMLOUVY OBCHODNÍKA: P001206</w:t>
    </w:r>
    <w:bookmarkStart w:id="1" w:name="_GoBack"/>
    <w:bookmarkEnd w:id="1"/>
    <w:r>
      <w:rPr>
        <w:sz w:val="16"/>
        <w:szCs w:val="16"/>
      </w:rPr>
      <w:t xml:space="preserve">                            </w:t>
      <w:tab/>
      <w:t>Příloha č. 1aa ZD</w:t>
    </w:r>
  </w:p>
  <w:p>
    <w:pPr>
      <w:pStyle w:val="Zhlav"/>
      <w:tabs>
        <w:tab w:val="clear" w:pos="4536"/>
        <w:tab w:val="center" w:pos="2977" w:leader="none"/>
        <w:tab w:val="right" w:pos="9072" w:leader="none"/>
      </w:tabs>
      <w:spacing w:before="0"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</w:p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2977" w:leader="none"/>
        <w:tab w:val="right" w:pos="9072" w:leader="none"/>
      </w:tabs>
      <w:spacing w:before="0" w:after="120"/>
      <w:jc w:val="right"/>
      <w:rPr>
        <w:sz w:val="16"/>
        <w:szCs w:val="16"/>
      </w:rPr>
    </w:pPr>
    <w:r>
      <w:rPr>
        <w:sz w:val="16"/>
        <w:szCs w:val="16"/>
      </w:rPr>
      <w:tab/>
      <w:t>Příloha č. 1aa ZD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-218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7349a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0"/>
      <w:szCs w:val="20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b4abe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0b4abe"/>
    <w:rPr/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b4abe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b4abe"/>
    <w:rPr>
      <w:rFonts w:ascii="Tahoma" w:hAnsi="Tahoma" w:cs="Tahoma"/>
      <w:sz w:val="16"/>
      <w:szCs w:val="16"/>
    </w:rPr>
  </w:style>
  <w:style w:type="character" w:styleId="Internetovodkaz">
    <w:name w:val="Internetový odkaz"/>
    <w:uiPriority w:val="99"/>
    <w:unhideWhenUsed/>
    <w:rsid w:val="00604b2b"/>
    <w:rPr>
      <w:color w:val="0000FF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5349e5"/>
    <w:rPr/>
  </w:style>
  <w:style w:type="character" w:styleId="ZpatChar" w:customStyle="1">
    <w:name w:val="Zápatí Char"/>
    <w:basedOn w:val="DefaultParagraphFont"/>
    <w:link w:val="Zpat"/>
    <w:uiPriority w:val="99"/>
    <w:qFormat/>
    <w:rsid w:val="005349e5"/>
    <w:rPr/>
  </w:style>
  <w:style w:type="character" w:styleId="ZkladntextChar" w:customStyle="1">
    <w:name w:val="Základní text Char"/>
    <w:basedOn w:val="DefaultParagraphFont"/>
    <w:link w:val="Zkladntext"/>
    <w:qFormat/>
    <w:rsid w:val="007f2a95"/>
    <w:rPr>
      <w:rFonts w:ascii="Times New Roman" w:hAnsi="Times New Roman" w:eastAsia="Times New Roman" w:cs="Times New Roman"/>
      <w:color w:val="000000"/>
      <w:sz w:val="24"/>
      <w:lang w:eastAsia="cs-CZ"/>
    </w:rPr>
  </w:style>
  <w:style w:type="character" w:styleId="Zkladntext2Char" w:customStyle="1">
    <w:name w:val="Základní text 2 Char"/>
    <w:basedOn w:val="DefaultParagraphFont"/>
    <w:link w:val="Zkladntext2"/>
    <w:uiPriority w:val="99"/>
    <w:qFormat/>
    <w:rsid w:val="003b4396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7f2a95"/>
    <w:pPr>
      <w:spacing w:lineRule="atLeast" w:line="266"/>
      <w:jc w:val="both"/>
    </w:pPr>
    <w:rPr>
      <w:rFonts w:ascii="Times New Roman" w:hAnsi="Times New Roman" w:eastAsia="Times New Roman" w:cs="Times New Roman"/>
      <w:color w:val="000000"/>
      <w:sz w:val="24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7349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nhideWhenUsed/>
    <w:qFormat/>
    <w:rsid w:val="000b4abe"/>
    <w:pPr/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b4abe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b4abe"/>
    <w:pPr/>
    <w:rPr>
      <w:rFonts w:ascii="Tahoma" w:hAnsi="Tahoma" w:cs="Tahoma"/>
      <w:sz w:val="16"/>
      <w:szCs w:val="16"/>
    </w:rPr>
  </w:style>
  <w:style w:type="paragraph" w:styleId="ListParagraph2" w:customStyle="1">
    <w:name w:val="List Paragraph2"/>
    <w:qFormat/>
    <w:rsid w:val="00604b2b"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Times New Roman" w:hAnsi="Times New Roman" w:eastAsia="ヒラギノ角ゴ Pro W3" w:cs="Times New Roman"/>
      <w:color w:val="000000"/>
      <w:kern w:val="0"/>
      <w:sz w:val="22"/>
      <w:szCs w:val="20"/>
      <w:lang w:val="cs-CZ" w:eastAsia="cs-CZ" w:bidi="ar-SA"/>
    </w:rPr>
  </w:style>
  <w:style w:type="paragraph" w:styleId="ListParagraph1" w:customStyle="1">
    <w:name w:val="List Paragraph1"/>
    <w:qFormat/>
    <w:rsid w:val="00196c98"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Times New Roman" w:hAnsi="Times New Roman" w:eastAsia="ヒラギノ角ゴ Pro W3" w:cs="Times New Roman"/>
      <w:color w:val="000000"/>
      <w:kern w:val="0"/>
      <w:sz w:val="22"/>
      <w:szCs w:val="20"/>
      <w:lang w:val="cs-CZ" w:eastAsia="cs-CZ" w:bidi="ar-SA"/>
    </w:rPr>
  </w:style>
  <w:style w:type="paragraph" w:styleId="Zkladntextodsazen1" w:customStyle="1">
    <w:name w:val="Základní text odsazený1"/>
    <w:basedOn w:val="Normal"/>
    <w:qFormat/>
    <w:rsid w:val="00196c98"/>
    <w:pPr>
      <w:widowControl w:val="false"/>
      <w:suppressAutoHyphens w:val="true"/>
      <w:ind w:left="284" w:hanging="284"/>
      <w:jc w:val="both"/>
    </w:pPr>
    <w:rPr>
      <w:rFonts w:ascii="Times New Roman" w:hAnsi="Times New Roman" w:eastAsia="Times New Roman" w:cs="Times New Roman"/>
      <w:sz w:val="24"/>
      <w:lang w:eastAsia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5349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5349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2230b0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Pa3" w:customStyle="1">
    <w:name w:val="Pa3"/>
    <w:basedOn w:val="Default"/>
    <w:next w:val="Default"/>
    <w:uiPriority w:val="99"/>
    <w:qFormat/>
    <w:rsid w:val="002230b0"/>
    <w:pPr>
      <w:spacing w:lineRule="atLeast" w:line="161"/>
    </w:pPr>
    <w:rPr>
      <w:color w:val="auto"/>
    </w:rPr>
  </w:style>
  <w:style w:type="paragraph" w:styleId="BodyText2">
    <w:name w:val="Body Text 2"/>
    <w:basedOn w:val="Normal"/>
    <w:link w:val="Zkladntext2Char"/>
    <w:uiPriority w:val="99"/>
    <w:unhideWhenUsed/>
    <w:qFormat/>
    <w:rsid w:val="003b4396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unhideWhenUsed/>
    <w:qFormat/>
    <w:rsid w:val="008640bd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Revision">
    <w:name w:val="Revision"/>
    <w:uiPriority w:val="99"/>
    <w:semiHidden/>
    <w:qFormat/>
    <w:rsid w:val="0053340e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0"/>
      <w:szCs w:val="20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8b25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sn@tendersystems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LibreOffice/7.0.0.3$Windows_X86_64 LibreOffice_project/8061b3e9204bef6b321a21033174034a5e2ea88e</Application>
  <Pages>8</Pages>
  <Words>2155</Words>
  <Characters>12758</Characters>
  <CharactersWithSpaces>14842</CharactersWithSpaces>
  <Paragraphs>210</Paragraphs>
  <Company>MMO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2024-09-10T06:39:00Z</dcterms:created>
  <dc:creator>admin</dc:creator>
  <dc:description/>
  <dc:language>cs-CZ</dc:language>
  <cp:lastModifiedBy/>
  <dcterms:modified xsi:type="dcterms:W3CDTF">2024-11-22T14:32:06Z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