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8DA01" w14:textId="77777777" w:rsidR="00F20C1A" w:rsidRDefault="00000000">
      <w:pPr>
        <w:pStyle w:val="Heading110"/>
        <w:keepNext/>
        <w:keepLines/>
        <w:spacing w:line="240" w:lineRule="auto"/>
        <w:ind w:firstLine="960"/>
      </w:pPr>
      <w:bookmarkStart w:id="0" w:name="bookmark0"/>
      <w:proofErr w:type="spellStart"/>
      <w:r>
        <w:rPr>
          <w:rStyle w:val="Heading11"/>
          <w:b/>
          <w:bCs/>
        </w:rPr>
        <w:t>iVAR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DE5A58"/>
        </w:rPr>
        <w:t xml:space="preserve">M </w:t>
      </w:r>
      <w:proofErr w:type="spellStart"/>
      <w:r>
        <w:rPr>
          <w:rStyle w:val="Heading11"/>
          <w:b/>
          <w:bCs/>
        </w:rPr>
        <w:t>iVAR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DE5A58"/>
        </w:rPr>
        <w:t>í/</w:t>
      </w:r>
      <w:proofErr w:type="spellStart"/>
      <w:r>
        <w:rPr>
          <w:rStyle w:val="Heading11"/>
          <w:b/>
          <w:bCs/>
          <w:color w:val="DE5A58"/>
        </w:rPr>
        <w:t>jl</w:t>
      </w:r>
      <w:proofErr w:type="spellEnd"/>
      <w:r>
        <w:rPr>
          <w:rStyle w:val="Heading11"/>
          <w:b/>
          <w:bCs/>
          <w:color w:val="DE5A58"/>
        </w:rPr>
        <w:t xml:space="preserve"> </w:t>
      </w:r>
      <w:proofErr w:type="spellStart"/>
      <w:r>
        <w:rPr>
          <w:rStyle w:val="Heading11"/>
          <w:b/>
          <w:bCs/>
        </w:rPr>
        <w:t>iVAR</w:t>
      </w:r>
      <w:proofErr w:type="spellEnd"/>
      <w:r>
        <w:rPr>
          <w:rStyle w:val="Heading11"/>
          <w:b/>
          <w:bCs/>
        </w:rPr>
        <w:t xml:space="preserve"> ÍD </w:t>
      </w:r>
      <w:proofErr w:type="spellStart"/>
      <w:r>
        <w:rPr>
          <w:rStyle w:val="Heading11"/>
          <w:b/>
          <w:bCs/>
          <w:color w:val="DE5A58"/>
        </w:rPr>
        <w:t>íjl</w:t>
      </w:r>
      <w:proofErr w:type="spellEnd"/>
      <w:r>
        <w:rPr>
          <w:rStyle w:val="Heading11"/>
          <w:b/>
          <w:bCs/>
          <w:color w:val="DE5A58"/>
        </w:rPr>
        <w:t xml:space="preserve"> </w:t>
      </w:r>
      <w:proofErr w:type="spellStart"/>
      <w:r>
        <w:rPr>
          <w:rStyle w:val="Heading11"/>
          <w:b/>
          <w:bCs/>
        </w:rPr>
        <w:t>iVAR</w:t>
      </w:r>
      <w:proofErr w:type="spellEnd"/>
      <w:r>
        <w:rPr>
          <w:rStyle w:val="Heading11"/>
          <w:b/>
          <w:bCs/>
        </w:rPr>
        <w:t xml:space="preserve"> </w:t>
      </w:r>
      <w:proofErr w:type="spellStart"/>
      <w:r>
        <w:rPr>
          <w:rStyle w:val="Heading11"/>
          <w:b/>
          <w:bCs/>
        </w:rPr>
        <w:t>iD</w:t>
      </w:r>
      <w:proofErr w:type="spellEnd"/>
      <w:r>
        <w:rPr>
          <w:rStyle w:val="Heading11"/>
          <w:b/>
          <w:bCs/>
        </w:rPr>
        <w:t xml:space="preserve"> </w:t>
      </w:r>
      <w:proofErr w:type="spellStart"/>
      <w:r>
        <w:rPr>
          <w:rStyle w:val="Heading11"/>
          <w:b/>
          <w:bCs/>
        </w:rPr>
        <w:t>iVAR</w:t>
      </w:r>
      <w:proofErr w:type="spellEnd"/>
      <w:r>
        <w:rPr>
          <w:rStyle w:val="Heading11"/>
          <w:b/>
          <w:bCs/>
        </w:rPr>
        <w:t xml:space="preserve"> </w:t>
      </w:r>
      <w:proofErr w:type="spellStart"/>
      <w:r>
        <w:rPr>
          <w:rStyle w:val="Heading11"/>
          <w:b/>
          <w:bCs/>
        </w:rPr>
        <w:t>iD</w:t>
      </w:r>
      <w:bookmarkEnd w:id="0"/>
      <w:proofErr w:type="spellEnd"/>
    </w:p>
    <w:p w14:paraId="2CA03BF2" w14:textId="77777777" w:rsidR="00F20C1A" w:rsidRDefault="00000000">
      <w:pPr>
        <w:pStyle w:val="Bodytext40"/>
        <w:spacing w:after="0"/>
        <w:ind w:firstLine="620"/>
      </w:pPr>
      <w:r>
        <w:rPr>
          <w:rStyle w:val="Bodytext4"/>
        </w:rPr>
        <w:t>Dodatek číslo 5 smlouvy o dodávce SW „</w:t>
      </w:r>
      <w:proofErr w:type="spellStart"/>
      <w:r>
        <w:rPr>
          <w:rStyle w:val="Bodytext4"/>
        </w:rPr>
        <w:t>ShiftMaster</w:t>
      </w:r>
      <w:proofErr w:type="spellEnd"/>
      <w:r>
        <w:rPr>
          <w:rStyle w:val="Bodytext4"/>
        </w:rPr>
        <w:t>“ a jeho</w:t>
      </w:r>
    </w:p>
    <w:p w14:paraId="1A2875C1" w14:textId="77777777" w:rsidR="00F20C1A" w:rsidRDefault="00000000">
      <w:pPr>
        <w:pStyle w:val="Bodytext40"/>
        <w:spacing w:after="100"/>
        <w:ind w:firstLine="0"/>
        <w:jc w:val="center"/>
      </w:pPr>
      <w:r>
        <w:rPr>
          <w:noProof/>
        </w:rPr>
        <w:drawing>
          <wp:anchor distT="0" distB="654050" distL="111760" distR="88900" simplePos="0" relativeHeight="125829378" behindDoc="0" locked="0" layoutInCell="1" allowOverlap="1" wp14:anchorId="124E680C" wp14:editId="64FA412A">
            <wp:simplePos x="0" y="0"/>
            <wp:positionH relativeFrom="page">
              <wp:posOffset>5263515</wp:posOffset>
            </wp:positionH>
            <wp:positionV relativeFrom="paragraph">
              <wp:posOffset>203200</wp:posOffset>
            </wp:positionV>
            <wp:extent cx="1822450" cy="41465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822450" cy="41465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FA2D9EC" wp14:editId="558F21A1">
                <wp:simplePos x="0" y="0"/>
                <wp:positionH relativeFrom="page">
                  <wp:posOffset>5240655</wp:posOffset>
                </wp:positionH>
                <wp:positionV relativeFrom="paragraph">
                  <wp:posOffset>664845</wp:posOffset>
                </wp:positionV>
                <wp:extent cx="923290" cy="132715"/>
                <wp:effectExtent l="0" t="0" r="0" b="0"/>
                <wp:wrapNone/>
                <wp:docPr id="3" name="Shape 3"/>
                <wp:cNvGraphicFramePr/>
                <a:graphic xmlns:a="http://schemas.openxmlformats.org/drawingml/2006/main">
                  <a:graphicData uri="http://schemas.microsoft.com/office/word/2010/wordprocessingShape">
                    <wps:wsp>
                      <wps:cNvSpPr txBox="1"/>
                      <wps:spPr>
                        <a:xfrm>
                          <a:off x="0" y="0"/>
                          <a:ext cx="923290" cy="132715"/>
                        </a:xfrm>
                        <a:prstGeom prst="rect">
                          <a:avLst/>
                        </a:prstGeom>
                        <a:noFill/>
                      </wps:spPr>
                      <wps:txbx>
                        <w:txbxContent>
                          <w:p w14:paraId="0FA27015" w14:textId="77777777" w:rsidR="00F20C1A" w:rsidRDefault="00000000">
                            <w:pPr>
                              <w:pStyle w:val="Picturecaption10"/>
                              <w:spacing w:after="0"/>
                              <w:jc w:val="both"/>
                            </w:pPr>
                            <w:r>
                              <w:rPr>
                                <w:rStyle w:val="Picturecaption1"/>
                              </w:rPr>
                              <w:t>evidenční číslo MSK:</w:t>
                            </w:r>
                          </w:p>
                        </w:txbxContent>
                      </wps:txbx>
                      <wps:bodyPr lIns="0" tIns="0" rIns="0" bIns="0"/>
                    </wps:wsp>
                  </a:graphicData>
                </a:graphic>
              </wp:anchor>
            </w:drawing>
          </mc:Choice>
          <mc:Fallback>
            <w:pict>
              <v:shapetype w14:anchorId="6FA2D9EC" id="_x0000_t202" coordsize="21600,21600" o:spt="202" path="m,l,21600r21600,l21600,xe">
                <v:stroke joinstyle="miter"/>
                <v:path gradientshapeok="t" o:connecttype="rect"/>
              </v:shapetype>
              <v:shape id="Shape 3" o:spid="_x0000_s1026" type="#_x0000_t202" style="position:absolute;left:0;text-align:left;margin-left:412.65pt;margin-top:52.35pt;width:72.7pt;height:10.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" filled="f" stroked="f">
                <v:textbox inset="0,0,0,0">
                  <w:txbxContent>
                    <w:p w14:paraId="0FA27015" w14:textId="77777777" w:rsidR="00F20C1A" w:rsidRDefault="00000000">
                      <w:pPr>
                        <w:pStyle w:val="Picturecaption10"/>
                        <w:spacing w:after="0"/>
                        <w:jc w:val="both"/>
                      </w:pPr>
                      <w:r>
                        <w:rPr>
                          <w:rStyle w:val="Picturecaption1"/>
                        </w:rPr>
                        <w:t>evidenční číslo MSK:</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6F09F0BB" wp14:editId="6B652E91">
                <wp:simplePos x="0" y="0"/>
                <wp:positionH relativeFrom="page">
                  <wp:posOffset>5245100</wp:posOffset>
                </wp:positionH>
                <wp:positionV relativeFrom="paragraph">
                  <wp:posOffset>880110</wp:posOffset>
                </wp:positionV>
                <wp:extent cx="1728470" cy="393065"/>
                <wp:effectExtent l="0" t="0" r="0" b="0"/>
                <wp:wrapNone/>
                <wp:docPr id="5" name="Shape 5"/>
                <wp:cNvGraphicFramePr/>
                <a:graphic xmlns:a="http://schemas.openxmlformats.org/drawingml/2006/main">
                  <a:graphicData uri="http://schemas.microsoft.com/office/word/2010/wordprocessingShape">
                    <wps:wsp>
                      <wps:cNvSpPr txBox="1"/>
                      <wps:spPr>
                        <a:xfrm>
                          <a:off x="0" y="0"/>
                          <a:ext cx="1728470" cy="393065"/>
                        </a:xfrm>
                        <a:prstGeom prst="rect">
                          <a:avLst/>
                        </a:prstGeom>
                        <a:noFill/>
                      </wps:spPr>
                      <wps:txbx>
                        <w:txbxContent>
                          <w:p w14:paraId="0F2B4C80" w14:textId="77777777" w:rsidR="00F20C1A" w:rsidRDefault="00000000">
                            <w:pPr>
                              <w:pStyle w:val="Picturecaption10"/>
                              <w:tabs>
                                <w:tab w:val="left" w:leader="dot" w:pos="2664"/>
                              </w:tabs>
                              <w:spacing w:after="120"/>
                            </w:pPr>
                            <w:r>
                              <w:rPr>
                                <w:rStyle w:val="Picturecaption1"/>
                              </w:rPr>
                              <w:t>ID dle RS MVČR:</w:t>
                            </w:r>
                            <w:r>
                              <w:rPr>
                                <w:rStyle w:val="Picturecaption1"/>
                              </w:rPr>
                              <w:tab/>
                            </w:r>
                          </w:p>
                          <w:p w14:paraId="0B22737D" w14:textId="77777777" w:rsidR="00F20C1A" w:rsidRDefault="00000000">
                            <w:pPr>
                              <w:pStyle w:val="Picturecaption10"/>
                              <w:spacing w:after="0"/>
                              <w:jc w:val="center"/>
                            </w:pPr>
                            <w:r>
                              <w:rPr>
                                <w:rStyle w:val="Picturecaption1"/>
                              </w:rPr>
                              <w:t>Datum evidence; 22. 11. 2024</w:t>
                            </w:r>
                          </w:p>
                        </w:txbxContent>
                      </wps:txbx>
                      <wps:bodyPr lIns="0" tIns="0" rIns="0" bIns="0"/>
                    </wps:wsp>
                  </a:graphicData>
                </a:graphic>
              </wp:anchor>
            </w:drawing>
          </mc:Choice>
          <mc:Fallback>
            <w:pict>
              <v:shape w14:anchorId="6F09F0BB" id="Shape 5" o:spid="_x0000_s1027" type="#_x0000_t202" style="position:absolute;left:0;text-align:left;margin-left:413pt;margin-top:69.3pt;width:136.1pt;height:30.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" filled="f" stroked="f">
                <v:textbox inset="0,0,0,0">
                  <w:txbxContent>
                    <w:p w14:paraId="0F2B4C80" w14:textId="77777777" w:rsidR="00F20C1A" w:rsidRDefault="00000000">
                      <w:pPr>
                        <w:pStyle w:val="Picturecaption10"/>
                        <w:tabs>
                          <w:tab w:val="left" w:leader="dot" w:pos="2664"/>
                        </w:tabs>
                        <w:spacing w:after="120"/>
                      </w:pPr>
                      <w:r>
                        <w:rPr>
                          <w:rStyle w:val="Picturecaption1"/>
                        </w:rPr>
                        <w:t>ID dle RS MVČR:</w:t>
                      </w:r>
                      <w:r>
                        <w:rPr>
                          <w:rStyle w:val="Picturecaption1"/>
                        </w:rPr>
                        <w:tab/>
                      </w:r>
                    </w:p>
                    <w:p w14:paraId="0B22737D" w14:textId="77777777" w:rsidR="00F20C1A" w:rsidRDefault="00000000">
                      <w:pPr>
                        <w:pStyle w:val="Picturecaption10"/>
                        <w:spacing w:after="0"/>
                        <w:jc w:val="center"/>
                      </w:pPr>
                      <w:r>
                        <w:rPr>
                          <w:rStyle w:val="Picturecaption1"/>
                        </w:rPr>
                        <w:t>Datum evidence; 22. 11. 2024</w:t>
                      </w:r>
                    </w:p>
                  </w:txbxContent>
                </v:textbox>
                <w10:wrap anchorx="page"/>
              </v:shape>
            </w:pict>
          </mc:Fallback>
        </mc:AlternateContent>
      </w:r>
      <w:r>
        <w:rPr>
          <w:rStyle w:val="Bodytext4"/>
        </w:rPr>
        <w:t xml:space="preserve">servisu a údržbě, číslo: </w:t>
      </w:r>
      <w:proofErr w:type="gramStart"/>
      <w:r>
        <w:rPr>
          <w:rStyle w:val="Bodytext4"/>
        </w:rPr>
        <w:t>2012- 430</w:t>
      </w:r>
      <w:proofErr w:type="gramEnd"/>
    </w:p>
    <w:p w14:paraId="1D3A217E" w14:textId="77777777" w:rsidR="00F20C1A" w:rsidRDefault="00000000">
      <w:pPr>
        <w:pStyle w:val="Heading210"/>
        <w:keepNext/>
        <w:keepLines/>
        <w:spacing w:after="0"/>
      </w:pPr>
      <w:bookmarkStart w:id="1" w:name="bookmark2"/>
      <w:r>
        <w:rPr>
          <w:rStyle w:val="Heading21"/>
        </w:rPr>
        <w:t>uzavřená mezi</w:t>
      </w:r>
      <w:bookmarkEnd w:id="1"/>
    </w:p>
    <w:p w14:paraId="5A2390F9" w14:textId="77777777" w:rsidR="00F20C1A" w:rsidRDefault="00000000">
      <w:pPr>
        <w:pStyle w:val="Bodytext20"/>
        <w:spacing w:line="240" w:lineRule="auto"/>
        <w:ind w:firstLine="460"/>
      </w:pPr>
      <w:r>
        <w:rPr>
          <w:noProof/>
        </w:rPr>
        <mc:AlternateContent>
          <mc:Choice Requires="wps">
            <w:drawing>
              <wp:anchor distT="0" distB="0" distL="114300" distR="114300" simplePos="0" relativeHeight="125829379" behindDoc="0" locked="0" layoutInCell="1" allowOverlap="1" wp14:anchorId="23B85B9A" wp14:editId="729EDE36">
                <wp:simplePos x="0" y="0"/>
                <wp:positionH relativeFrom="page">
                  <wp:posOffset>723265</wp:posOffset>
                </wp:positionH>
                <wp:positionV relativeFrom="paragraph">
                  <wp:posOffset>25400</wp:posOffset>
                </wp:positionV>
                <wp:extent cx="895985" cy="125730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895985" cy="1257300"/>
                        </a:xfrm>
                        <a:prstGeom prst="rect">
                          <a:avLst/>
                        </a:prstGeom>
                        <a:noFill/>
                      </wps:spPr>
                      <wps:txbx>
                        <w:txbxContent>
                          <w:p w14:paraId="1BEF1F79" w14:textId="77777777" w:rsidR="00F20C1A" w:rsidRDefault="00000000">
                            <w:pPr>
                              <w:pStyle w:val="Bodytext20"/>
                              <w:spacing w:after="440" w:line="226" w:lineRule="auto"/>
                              <w:ind w:firstLine="0"/>
                            </w:pPr>
                            <w:r>
                              <w:rPr>
                                <w:rStyle w:val="Bodytext2"/>
                              </w:rPr>
                              <w:t>Společností sídlem</w:t>
                            </w:r>
                          </w:p>
                          <w:p w14:paraId="3F972519" w14:textId="77777777" w:rsidR="00F20C1A" w:rsidRDefault="00000000">
                            <w:pPr>
                              <w:pStyle w:val="Bodytext20"/>
                              <w:spacing w:line="230" w:lineRule="auto"/>
                              <w:ind w:firstLine="0"/>
                            </w:pPr>
                            <w:r>
                              <w:rPr>
                                <w:rStyle w:val="Bodytext2"/>
                              </w:rPr>
                              <w:t>IČ</w:t>
                            </w:r>
                          </w:p>
                          <w:p w14:paraId="5607654F" w14:textId="77777777" w:rsidR="00626713" w:rsidRDefault="00000000">
                            <w:pPr>
                              <w:pStyle w:val="Bodytext20"/>
                              <w:spacing w:line="230" w:lineRule="auto"/>
                              <w:ind w:firstLine="0"/>
                              <w:rPr>
                                <w:rStyle w:val="Bodytext2"/>
                              </w:rPr>
                            </w:pPr>
                            <w:r>
                              <w:rPr>
                                <w:rStyle w:val="Bodytext2"/>
                              </w:rPr>
                              <w:t xml:space="preserve">DIČ </w:t>
                            </w:r>
                          </w:p>
                          <w:p w14:paraId="2476F624" w14:textId="6F276981" w:rsidR="00F20C1A" w:rsidRDefault="00000000">
                            <w:pPr>
                              <w:pStyle w:val="Bodytext20"/>
                              <w:spacing w:line="230" w:lineRule="auto"/>
                              <w:ind w:firstLine="0"/>
                            </w:pPr>
                            <w:r>
                              <w:rPr>
                                <w:rStyle w:val="Bodytext2"/>
                              </w:rPr>
                              <w:t>číslo účtu jednající kontaktní email:</w:t>
                            </w:r>
                          </w:p>
                        </w:txbxContent>
                      </wps:txbx>
                      <wps:bodyPr lIns="0" tIns="0" rIns="0" bIns="0"/>
                    </wps:wsp>
                  </a:graphicData>
                </a:graphic>
              </wp:anchor>
            </w:drawing>
          </mc:Choice>
          <mc:Fallback>
            <w:pict>
              <v:shape w14:anchorId="23B85B9A" id="Shape 7" o:spid="_x0000_s1028" type="#_x0000_t202" style="position:absolute;left:0;text-align:left;margin-left:56.95pt;margin-top:2pt;width:70.55pt;height:99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v9cwEAAOECAAAOAAAAZHJzL2Uyb0RvYy54bWysUlFLwzAQfhf8DyHvrt1k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" filled="f" stroked="f">
                <v:textbox inset="0,0,0,0">
                  <w:txbxContent>
                    <w:p w14:paraId="1BEF1F79" w14:textId="77777777" w:rsidR="00F20C1A" w:rsidRDefault="00000000">
                      <w:pPr>
                        <w:pStyle w:val="Bodytext20"/>
                        <w:spacing w:after="440" w:line="226" w:lineRule="auto"/>
                        <w:ind w:firstLine="0"/>
                      </w:pPr>
                      <w:r>
                        <w:rPr>
                          <w:rStyle w:val="Bodytext2"/>
                        </w:rPr>
                        <w:t>Společností sídlem</w:t>
                      </w:r>
                    </w:p>
                    <w:p w14:paraId="3F972519" w14:textId="77777777" w:rsidR="00F20C1A" w:rsidRDefault="00000000">
                      <w:pPr>
                        <w:pStyle w:val="Bodytext20"/>
                        <w:spacing w:line="230" w:lineRule="auto"/>
                        <w:ind w:firstLine="0"/>
                      </w:pPr>
                      <w:r>
                        <w:rPr>
                          <w:rStyle w:val="Bodytext2"/>
                        </w:rPr>
                        <w:t>IČ</w:t>
                      </w:r>
                    </w:p>
                    <w:p w14:paraId="5607654F" w14:textId="77777777" w:rsidR="00626713" w:rsidRDefault="00000000">
                      <w:pPr>
                        <w:pStyle w:val="Bodytext20"/>
                        <w:spacing w:line="230" w:lineRule="auto"/>
                        <w:ind w:firstLine="0"/>
                        <w:rPr>
                          <w:rStyle w:val="Bodytext2"/>
                        </w:rPr>
                      </w:pPr>
                      <w:r>
                        <w:rPr>
                          <w:rStyle w:val="Bodytext2"/>
                        </w:rPr>
                        <w:t xml:space="preserve">DIČ </w:t>
                      </w:r>
                    </w:p>
                    <w:p w14:paraId="2476F624" w14:textId="6F276981" w:rsidR="00F20C1A" w:rsidRDefault="00000000">
                      <w:pPr>
                        <w:pStyle w:val="Bodytext20"/>
                        <w:spacing w:line="230" w:lineRule="auto"/>
                        <w:ind w:firstLine="0"/>
                      </w:pPr>
                      <w:r>
                        <w:rPr>
                          <w:rStyle w:val="Bodytext2"/>
                        </w:rPr>
                        <w:t>číslo účtu jednající kontaktní email:</w:t>
                      </w:r>
                    </w:p>
                  </w:txbxContent>
                </v:textbox>
                <w10:wrap type="square" side="right" anchorx="page"/>
              </v:shape>
            </w:pict>
          </mc:Fallback>
        </mc:AlternateContent>
      </w:r>
      <w:r>
        <w:rPr>
          <w:rStyle w:val="Bodytext2"/>
        </w:rPr>
        <w:t>IVAR ID Poděbrady, s.r.o.</w:t>
      </w:r>
    </w:p>
    <w:p w14:paraId="217D951F" w14:textId="77777777" w:rsidR="00F20C1A" w:rsidRDefault="00000000">
      <w:pPr>
        <w:pStyle w:val="Bodytext20"/>
        <w:ind w:firstLine="460"/>
      </w:pPr>
      <w:r>
        <w:rPr>
          <w:rStyle w:val="Bodytext2"/>
        </w:rPr>
        <w:t>Bílkova 127,290 01 Poděbrady</w:t>
      </w:r>
    </w:p>
    <w:p w14:paraId="69CE98FB" w14:textId="77777777" w:rsidR="00F20C1A" w:rsidRDefault="00000000">
      <w:pPr>
        <w:pStyle w:val="Bodytext20"/>
        <w:ind w:firstLine="460"/>
      </w:pPr>
      <w:r>
        <w:rPr>
          <w:rStyle w:val="Bodytext2"/>
        </w:rPr>
        <w:t>nástupnická organizace firmy IVAR a.s.</w:t>
      </w:r>
    </w:p>
    <w:p w14:paraId="35CFC367" w14:textId="77777777" w:rsidR="00F20C1A" w:rsidRDefault="00000000">
      <w:pPr>
        <w:pStyle w:val="Bodytext20"/>
        <w:ind w:firstLine="460"/>
      </w:pPr>
      <w:r>
        <w:rPr>
          <w:rStyle w:val="Bodytext2"/>
        </w:rPr>
        <w:t>Brno, Těžební 1250/</w:t>
      </w:r>
      <w:proofErr w:type="gramStart"/>
      <w:r>
        <w:rPr>
          <w:rStyle w:val="Bodytext2"/>
        </w:rPr>
        <w:t>2d</w:t>
      </w:r>
      <w:proofErr w:type="gramEnd"/>
      <w:r>
        <w:rPr>
          <w:rStyle w:val="Bodytext2"/>
        </w:rPr>
        <w:t>, PSČ 627 00 BRNO</w:t>
      </w:r>
    </w:p>
    <w:p w14:paraId="7E8827AC" w14:textId="77777777" w:rsidR="00F20C1A" w:rsidRDefault="00000000">
      <w:pPr>
        <w:pStyle w:val="Bodytext20"/>
        <w:ind w:firstLine="460"/>
      </w:pPr>
      <w:r>
        <w:rPr>
          <w:rStyle w:val="Bodytext2"/>
        </w:rPr>
        <w:t>11821434</w:t>
      </w:r>
    </w:p>
    <w:p w14:paraId="4866E8D8" w14:textId="77777777" w:rsidR="00F20C1A" w:rsidRDefault="00000000">
      <w:pPr>
        <w:pStyle w:val="Bodytext20"/>
        <w:ind w:firstLine="460"/>
      </w:pPr>
      <w:r>
        <w:rPr>
          <w:rStyle w:val="Bodytext2"/>
        </w:rPr>
        <w:t>CZ- 11821434</w:t>
      </w:r>
    </w:p>
    <w:p w14:paraId="7C561D3F" w14:textId="77777777" w:rsidR="00626713" w:rsidRDefault="00626713">
      <w:pPr>
        <w:pStyle w:val="Bodytext20"/>
        <w:spacing w:line="223" w:lineRule="auto"/>
        <w:ind w:firstLine="460"/>
        <w:rPr>
          <w:rStyle w:val="Bodytext2"/>
        </w:rPr>
      </w:pPr>
    </w:p>
    <w:p w14:paraId="1CF550D6" w14:textId="0EACF1B3" w:rsidR="00F20C1A" w:rsidRDefault="00000000">
      <w:pPr>
        <w:pStyle w:val="Bodytext20"/>
        <w:spacing w:line="223" w:lineRule="auto"/>
        <w:ind w:firstLine="460"/>
      </w:pPr>
      <w:r>
        <w:rPr>
          <w:rStyle w:val="Bodytext2"/>
        </w:rPr>
        <w:t>jednatel</w:t>
      </w:r>
    </w:p>
    <w:p w14:paraId="0A2AE601" w14:textId="77777777" w:rsidR="00F20C1A" w:rsidRDefault="00000000">
      <w:pPr>
        <w:pStyle w:val="Bodytext20"/>
        <w:ind w:firstLine="460"/>
      </w:pPr>
      <w:r>
        <w:rPr>
          <w:noProof/>
        </w:rPr>
        <mc:AlternateContent>
          <mc:Choice Requires="wps">
            <w:drawing>
              <wp:anchor distT="0" distB="0" distL="114300" distR="114300" simplePos="0" relativeHeight="125829381" behindDoc="0" locked="0" layoutInCell="1" allowOverlap="1" wp14:anchorId="53BFB175" wp14:editId="7C07A872">
                <wp:simplePos x="0" y="0"/>
                <wp:positionH relativeFrom="page">
                  <wp:posOffset>732155</wp:posOffset>
                </wp:positionH>
                <wp:positionV relativeFrom="paragraph">
                  <wp:posOffset>152400</wp:posOffset>
                </wp:positionV>
                <wp:extent cx="474091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740910" cy="173990"/>
                        </a:xfrm>
                        <a:prstGeom prst="rect">
                          <a:avLst/>
                        </a:prstGeom>
                        <a:noFill/>
                      </wps:spPr>
                      <wps:txbx>
                        <w:txbxContent>
                          <w:p w14:paraId="2415600A" w14:textId="77777777" w:rsidR="00F20C1A" w:rsidRDefault="00000000">
                            <w:pPr>
                              <w:pStyle w:val="Bodytext20"/>
                              <w:spacing w:line="240" w:lineRule="auto"/>
                              <w:ind w:firstLine="0"/>
                            </w:pPr>
                            <w:r>
                              <w:rPr>
                                <w:rStyle w:val="Bodytext2"/>
                              </w:rPr>
                              <w:t>Společnost je zapsaná v zapsaná v OR vedeném u MS v Praze, v oddílu C, vložce č. 354929</w:t>
                            </w:r>
                          </w:p>
                        </w:txbxContent>
                      </wps:txbx>
                      <wps:bodyPr wrap="none" lIns="0" tIns="0" rIns="0" bIns="0"/>
                    </wps:wsp>
                  </a:graphicData>
                </a:graphic>
              </wp:anchor>
            </w:drawing>
          </mc:Choice>
          <mc:Fallback>
            <w:pict>
              <v:shape w14:anchorId="53BFB175" id="Shape 9" o:spid="_x0000_s1029" type="#_x0000_t202" style="position:absolute;left:0;text-align:left;margin-left:57.65pt;margin-top:12pt;width:373.3pt;height:13.7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5p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" filled="f" stroked="f">
                <v:textbox inset="0,0,0,0">
                  <w:txbxContent>
                    <w:p w14:paraId="2415600A" w14:textId="77777777" w:rsidR="00F20C1A" w:rsidRDefault="00000000">
                      <w:pPr>
                        <w:pStyle w:val="Bodytext20"/>
                        <w:spacing w:line="240" w:lineRule="auto"/>
                        <w:ind w:firstLine="0"/>
                      </w:pPr>
                      <w:r>
                        <w:rPr>
                          <w:rStyle w:val="Bodytext2"/>
                        </w:rPr>
                        <w:t>Společnost je zapsaná v zapsaná v OR vedeném u MS v Praze, v oddílu C, vložce č. 354929</w:t>
                      </w:r>
                    </w:p>
                  </w:txbxContent>
                </v:textbox>
                <w10:wrap type="topAndBottom" anchorx="page"/>
              </v:shape>
            </w:pict>
          </mc:Fallback>
        </mc:AlternateContent>
      </w:r>
      <w:hyperlink r:id="rId8" w:history="1">
        <w:r>
          <w:rPr>
            <w:rStyle w:val="Bodytext2"/>
            <w:lang w:val="en-US" w:eastAsia="en-US" w:bidi="en-US"/>
          </w:rPr>
          <w:t>obchodni@ivarpodebrady.cz</w:t>
        </w:r>
      </w:hyperlink>
    </w:p>
    <w:p w14:paraId="2AC67A0C" w14:textId="77777777" w:rsidR="00F20C1A" w:rsidRDefault="00000000">
      <w:pPr>
        <w:pStyle w:val="Bodytext10"/>
        <w:spacing w:before="40" w:after="520" w:line="240" w:lineRule="auto"/>
        <w:ind w:firstLine="260"/>
        <w:jc w:val="both"/>
      </w:pPr>
      <w:r>
        <w:rPr>
          <w:rStyle w:val="Bodytext1"/>
          <w:rFonts w:ascii="Times New Roman" w:eastAsia="Times New Roman" w:hAnsi="Times New Roman" w:cs="Times New Roman"/>
          <w:sz w:val="20"/>
          <w:szCs w:val="20"/>
        </w:rPr>
        <w:t xml:space="preserve">(dále jen </w:t>
      </w:r>
      <w:r>
        <w:rPr>
          <w:rStyle w:val="Bodytext1"/>
        </w:rPr>
        <w:t>„Poskytovatel“)</w:t>
      </w:r>
    </w:p>
    <w:p w14:paraId="1B44F55B" w14:textId="77777777" w:rsidR="00F20C1A" w:rsidRDefault="00000000">
      <w:pPr>
        <w:pStyle w:val="Bodytext20"/>
        <w:tabs>
          <w:tab w:val="left" w:pos="2235"/>
        </w:tabs>
        <w:spacing w:line="240" w:lineRule="auto"/>
        <w:jc w:val="both"/>
      </w:pPr>
      <w:r>
        <w:rPr>
          <w:rStyle w:val="Bodytext2"/>
        </w:rPr>
        <w:t>Společností</w:t>
      </w:r>
      <w:r>
        <w:rPr>
          <w:rStyle w:val="Bodytext2"/>
        </w:rPr>
        <w:tab/>
        <w:t>Nemocnice Havířov, příspěvková organizace</w:t>
      </w:r>
    </w:p>
    <w:p w14:paraId="3F85531D" w14:textId="77777777" w:rsidR="00F20C1A" w:rsidRDefault="00000000">
      <w:pPr>
        <w:pStyle w:val="Bodytext20"/>
        <w:tabs>
          <w:tab w:val="left" w:pos="2235"/>
        </w:tabs>
        <w:spacing w:line="223" w:lineRule="auto"/>
        <w:jc w:val="both"/>
      </w:pPr>
      <w:r>
        <w:rPr>
          <w:rStyle w:val="Bodytext2"/>
        </w:rPr>
        <w:t>sídlem</w:t>
      </w:r>
      <w:r>
        <w:rPr>
          <w:rStyle w:val="Bodytext2"/>
        </w:rPr>
        <w:tab/>
        <w:t>Dělnická 1132/24, 736 01 Havířov</w:t>
      </w:r>
    </w:p>
    <w:p w14:paraId="78D25C12" w14:textId="77777777" w:rsidR="00F20C1A" w:rsidRDefault="00000000">
      <w:pPr>
        <w:pStyle w:val="Bodytext20"/>
        <w:tabs>
          <w:tab w:val="left" w:pos="2235"/>
        </w:tabs>
        <w:spacing w:line="240" w:lineRule="auto"/>
        <w:jc w:val="both"/>
      </w:pPr>
      <w:r>
        <w:rPr>
          <w:rStyle w:val="Bodytext2"/>
        </w:rPr>
        <w:t>IČ</w:t>
      </w:r>
      <w:r>
        <w:rPr>
          <w:rStyle w:val="Bodytext2"/>
        </w:rPr>
        <w:tab/>
        <w:t>008 44 896</w:t>
      </w:r>
    </w:p>
    <w:p w14:paraId="392304E4" w14:textId="74C8693A" w:rsidR="00F20C1A" w:rsidRDefault="00000000">
      <w:pPr>
        <w:pStyle w:val="Bodytext20"/>
        <w:tabs>
          <w:tab w:val="left" w:pos="2235"/>
        </w:tabs>
        <w:spacing w:line="223" w:lineRule="auto"/>
        <w:jc w:val="both"/>
      </w:pPr>
      <w:r>
        <w:rPr>
          <w:rStyle w:val="Bodytext2"/>
        </w:rPr>
        <w:t>jednající</w:t>
      </w:r>
      <w:r>
        <w:rPr>
          <w:rStyle w:val="Bodytext2"/>
        </w:rPr>
        <w:tab/>
        <w:t>ředitel</w:t>
      </w:r>
    </w:p>
    <w:p w14:paraId="0F7F7D77" w14:textId="77777777" w:rsidR="00F20C1A" w:rsidRDefault="00000000">
      <w:pPr>
        <w:pStyle w:val="Bodytext20"/>
        <w:spacing w:after="100" w:line="223" w:lineRule="auto"/>
      </w:pPr>
      <w:r>
        <w:rPr>
          <w:rStyle w:val="Bodytext2"/>
        </w:rPr>
        <w:t xml:space="preserve">Společnost je zapsána v obchodním rejstříku vedeném Krajským soudem v Ostravě, oddíl </w:t>
      </w:r>
      <w:proofErr w:type="spellStart"/>
      <w:r>
        <w:rPr>
          <w:rStyle w:val="Bodytext2"/>
        </w:rPr>
        <w:t>Pr</w:t>
      </w:r>
      <w:proofErr w:type="spellEnd"/>
      <w:r>
        <w:rPr>
          <w:rStyle w:val="Bodytext2"/>
        </w:rPr>
        <w:t>, vložka 899</w:t>
      </w:r>
    </w:p>
    <w:p w14:paraId="28FD0185" w14:textId="77777777" w:rsidR="00F20C1A" w:rsidRDefault="00000000">
      <w:pPr>
        <w:pStyle w:val="Bodytext20"/>
        <w:spacing w:after="520" w:line="240" w:lineRule="auto"/>
        <w:jc w:val="both"/>
      </w:pPr>
      <w:r>
        <w:rPr>
          <w:rStyle w:val="Bodytext2"/>
        </w:rPr>
        <w:t>(dále jen „Uživatel“)</w:t>
      </w:r>
    </w:p>
    <w:p w14:paraId="0D300324" w14:textId="77777777" w:rsidR="00F20C1A" w:rsidRDefault="00F20C1A">
      <w:pPr>
        <w:pStyle w:val="Heading210"/>
        <w:keepNext/>
        <w:keepLines/>
        <w:numPr>
          <w:ilvl w:val="0"/>
          <w:numId w:val="1"/>
        </w:numPr>
        <w:spacing w:after="0"/>
      </w:pPr>
      <w:bookmarkStart w:id="2" w:name="bookmark4"/>
      <w:bookmarkEnd w:id="2"/>
    </w:p>
    <w:p w14:paraId="05F53BEC" w14:textId="77777777" w:rsidR="00F20C1A" w:rsidRDefault="00000000">
      <w:pPr>
        <w:pStyle w:val="Heading210"/>
        <w:keepNext/>
        <w:keepLines/>
        <w:spacing w:after="300"/>
      </w:pPr>
      <w:r>
        <w:rPr>
          <w:rStyle w:val="Heading21"/>
        </w:rPr>
        <w:t>Předmět dodatku</w:t>
      </w:r>
    </w:p>
    <w:p w14:paraId="2C0876EC" w14:textId="77777777" w:rsidR="00F20C1A" w:rsidRDefault="00000000">
      <w:pPr>
        <w:pStyle w:val="Bodytext10"/>
        <w:numPr>
          <w:ilvl w:val="0"/>
          <w:numId w:val="2"/>
        </w:numPr>
        <w:tabs>
          <w:tab w:val="left" w:pos="597"/>
        </w:tabs>
        <w:spacing w:after="0" w:line="283" w:lineRule="auto"/>
        <w:ind w:left="820" w:hanging="540"/>
        <w:jc w:val="both"/>
      </w:pPr>
      <w:r>
        <w:rPr>
          <w:rStyle w:val="Bodytext1"/>
        </w:rPr>
        <w:t>Předmětem dodatku je ujednání o rozšíření užívané licence SW sjednané v základní smlouvě v rozsahu 1100 pracovníků</w:t>
      </w:r>
    </w:p>
    <w:p w14:paraId="5BC6F953" w14:textId="77777777" w:rsidR="00F20C1A" w:rsidRDefault="00000000">
      <w:pPr>
        <w:pStyle w:val="Bodytext10"/>
        <w:spacing w:after="200" w:line="283" w:lineRule="auto"/>
        <w:ind w:left="1040"/>
      </w:pPr>
      <w:r>
        <w:rPr>
          <w:rStyle w:val="Bodytext1"/>
        </w:rPr>
        <w:t>15 konkurenčně sdílených licencí</w:t>
      </w:r>
    </w:p>
    <w:p w14:paraId="7B57CAD4" w14:textId="77777777" w:rsidR="00F20C1A" w:rsidRDefault="00000000">
      <w:pPr>
        <w:pStyle w:val="Bodytext10"/>
        <w:spacing w:after="0" w:line="283" w:lineRule="auto"/>
        <w:ind w:firstLine="620"/>
        <w:jc w:val="both"/>
      </w:pPr>
      <w:r>
        <w:rPr>
          <w:rStyle w:val="Bodytext1"/>
        </w:rPr>
        <w:t>na rozsah</w:t>
      </w:r>
    </w:p>
    <w:p w14:paraId="720D1382" w14:textId="77777777" w:rsidR="00F20C1A" w:rsidRDefault="00000000">
      <w:pPr>
        <w:pStyle w:val="Bodytext10"/>
        <w:spacing w:after="0" w:line="283" w:lineRule="auto"/>
        <w:ind w:firstLine="820"/>
      </w:pPr>
      <w:r>
        <w:rPr>
          <w:rStyle w:val="Bodytext1"/>
        </w:rPr>
        <w:t>1250 pracovníků</w:t>
      </w:r>
    </w:p>
    <w:p w14:paraId="7AB26306" w14:textId="77777777" w:rsidR="00F20C1A" w:rsidRDefault="00000000">
      <w:pPr>
        <w:pStyle w:val="Bodytext10"/>
        <w:spacing w:after="400" w:line="283" w:lineRule="auto"/>
        <w:ind w:firstLine="960"/>
        <w:jc w:val="both"/>
      </w:pPr>
      <w:r>
        <w:rPr>
          <w:rStyle w:val="Bodytext1"/>
        </w:rPr>
        <w:t>15 konkurenčně sdílených licencí</w:t>
      </w:r>
    </w:p>
    <w:p w14:paraId="288DE6AD" w14:textId="77777777" w:rsidR="00F20C1A" w:rsidRDefault="00F20C1A">
      <w:pPr>
        <w:pStyle w:val="Heading210"/>
        <w:keepNext/>
        <w:keepLines/>
        <w:numPr>
          <w:ilvl w:val="0"/>
          <w:numId w:val="1"/>
        </w:numPr>
        <w:spacing w:after="0"/>
      </w:pPr>
      <w:bookmarkStart w:id="3" w:name="bookmark7"/>
      <w:bookmarkEnd w:id="3"/>
    </w:p>
    <w:p w14:paraId="66D73A4F" w14:textId="77777777" w:rsidR="00F20C1A" w:rsidRDefault="00000000">
      <w:pPr>
        <w:pStyle w:val="Heading210"/>
        <w:keepNext/>
        <w:keepLines/>
        <w:spacing w:after="300"/>
      </w:pPr>
      <w:bookmarkStart w:id="4" w:name="bookmark9"/>
      <w:r>
        <w:rPr>
          <w:rStyle w:val="Heading21"/>
        </w:rPr>
        <w:t>Cena licenčního rozšíření SW</w:t>
      </w:r>
      <w:bookmarkEnd w:id="4"/>
    </w:p>
    <w:p w14:paraId="69E4E321" w14:textId="77777777" w:rsidR="00F20C1A" w:rsidRDefault="00000000">
      <w:pPr>
        <w:pStyle w:val="Tablecaption10"/>
        <w:spacing w:after="120"/>
        <w:ind w:left="353" w:firstLine="0"/>
      </w:pPr>
      <w:r>
        <w:rPr>
          <w:rStyle w:val="Tablecaption1"/>
        </w:rPr>
        <w:t>1. Cena je tvořena rozdílem mezi cenou původní sjednané licence a cenou cílové licence.</w:t>
      </w:r>
    </w:p>
    <w:p w14:paraId="0CEA618D" w14:textId="77777777" w:rsidR="00F20C1A" w:rsidRDefault="00000000">
      <w:pPr>
        <w:pStyle w:val="Tablecaption10"/>
        <w:spacing w:after="0"/>
        <w:ind w:firstLine="0"/>
        <w:jc w:val="both"/>
      </w:pPr>
      <w:r>
        <w:rPr>
          <w:rStyle w:val="Tablecaption1"/>
        </w:rPr>
        <w:t>a) Kalkulace původní ceny licence pro 1100 pracovníků a 15 konkurenčně sdílených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09"/>
        <w:gridCol w:w="742"/>
        <w:gridCol w:w="583"/>
        <w:gridCol w:w="936"/>
        <w:gridCol w:w="1130"/>
        <w:gridCol w:w="720"/>
        <w:gridCol w:w="1001"/>
      </w:tblGrid>
      <w:tr w:rsidR="00F20C1A" w14:paraId="223DB4DD" w14:textId="77777777">
        <w:tblPrEx>
          <w:tblCellMar>
            <w:top w:w="0" w:type="dxa"/>
            <w:bottom w:w="0" w:type="dxa"/>
          </w:tblCellMar>
        </w:tblPrEx>
        <w:trPr>
          <w:trHeight w:hRule="exact" w:val="540"/>
          <w:jc w:val="center"/>
        </w:trPr>
        <w:tc>
          <w:tcPr>
            <w:tcW w:w="4709" w:type="dxa"/>
            <w:tcBorders>
              <w:top w:val="single" w:sz="4" w:space="0" w:color="auto"/>
              <w:left w:val="single" w:sz="4" w:space="0" w:color="auto"/>
            </w:tcBorders>
            <w:shd w:val="clear" w:color="auto" w:fill="auto"/>
            <w:vAlign w:val="bottom"/>
          </w:tcPr>
          <w:p w14:paraId="16AD1BAB" w14:textId="77777777" w:rsidR="00F20C1A" w:rsidRDefault="00000000">
            <w:pPr>
              <w:pStyle w:val="Other10"/>
              <w:jc w:val="center"/>
            </w:pPr>
            <w:r>
              <w:rPr>
                <w:rStyle w:val="Other1"/>
              </w:rPr>
              <w:t xml:space="preserve">24 8136 </w:t>
            </w:r>
            <w:proofErr w:type="spellStart"/>
            <w:r>
              <w:rPr>
                <w:rStyle w:val="Other1"/>
              </w:rPr>
              <w:t>Nem</w:t>
            </w:r>
            <w:proofErr w:type="spellEnd"/>
            <w:r>
              <w:rPr>
                <w:rStyle w:val="Other1"/>
              </w:rPr>
              <w:t xml:space="preserve"> Havířov stávající licence SM1100_15</w:t>
            </w:r>
          </w:p>
        </w:tc>
        <w:tc>
          <w:tcPr>
            <w:tcW w:w="742" w:type="dxa"/>
            <w:tcBorders>
              <w:top w:val="single" w:sz="4" w:space="0" w:color="auto"/>
            </w:tcBorders>
            <w:shd w:val="clear" w:color="auto" w:fill="auto"/>
          </w:tcPr>
          <w:p w14:paraId="0A0B2081" w14:textId="77777777" w:rsidR="00F20C1A" w:rsidRDefault="00000000">
            <w:pPr>
              <w:pStyle w:val="Other10"/>
              <w:jc w:val="center"/>
            </w:pPr>
            <w:proofErr w:type="spellStart"/>
            <w:r>
              <w:rPr>
                <w:rStyle w:val="Other1"/>
              </w:rPr>
              <w:t>jedn</w:t>
            </w:r>
            <w:proofErr w:type="spellEnd"/>
            <w:r>
              <w:rPr>
                <w:rStyle w:val="Other1"/>
              </w:rPr>
              <w:t>.</w:t>
            </w:r>
          </w:p>
        </w:tc>
        <w:tc>
          <w:tcPr>
            <w:tcW w:w="583" w:type="dxa"/>
            <w:tcBorders>
              <w:top w:val="single" w:sz="4" w:space="0" w:color="auto"/>
            </w:tcBorders>
            <w:shd w:val="clear" w:color="auto" w:fill="auto"/>
          </w:tcPr>
          <w:p w14:paraId="67EA9CDF" w14:textId="77777777" w:rsidR="00F20C1A" w:rsidRDefault="00000000">
            <w:pPr>
              <w:pStyle w:val="Other10"/>
              <w:jc w:val="center"/>
            </w:pPr>
            <w:r>
              <w:rPr>
                <w:rStyle w:val="Other1"/>
              </w:rPr>
              <w:t>poč.</w:t>
            </w:r>
          </w:p>
        </w:tc>
        <w:tc>
          <w:tcPr>
            <w:tcW w:w="936" w:type="dxa"/>
            <w:tcBorders>
              <w:top w:val="single" w:sz="4" w:space="0" w:color="auto"/>
            </w:tcBorders>
            <w:shd w:val="clear" w:color="auto" w:fill="auto"/>
          </w:tcPr>
          <w:p w14:paraId="2E911711" w14:textId="77777777" w:rsidR="00F20C1A" w:rsidRDefault="00000000">
            <w:pPr>
              <w:pStyle w:val="Other10"/>
              <w:jc w:val="right"/>
            </w:pPr>
            <w:r>
              <w:rPr>
                <w:rStyle w:val="Other1"/>
              </w:rPr>
              <w:t>cena/ks</w:t>
            </w:r>
          </w:p>
        </w:tc>
        <w:tc>
          <w:tcPr>
            <w:tcW w:w="1130" w:type="dxa"/>
            <w:tcBorders>
              <w:top w:val="single" w:sz="4" w:space="0" w:color="auto"/>
            </w:tcBorders>
            <w:shd w:val="clear" w:color="auto" w:fill="auto"/>
            <w:vAlign w:val="bottom"/>
          </w:tcPr>
          <w:p w14:paraId="0F2EAAEA" w14:textId="77777777" w:rsidR="00F20C1A" w:rsidRDefault="00000000">
            <w:pPr>
              <w:pStyle w:val="Other10"/>
              <w:jc w:val="center"/>
            </w:pPr>
            <w:r>
              <w:rPr>
                <w:rStyle w:val="Other1"/>
              </w:rPr>
              <w:t>cena bez DPH</w:t>
            </w:r>
          </w:p>
        </w:tc>
        <w:tc>
          <w:tcPr>
            <w:tcW w:w="720" w:type="dxa"/>
            <w:tcBorders>
              <w:top w:val="single" w:sz="4" w:space="0" w:color="auto"/>
            </w:tcBorders>
            <w:shd w:val="clear" w:color="auto" w:fill="auto"/>
          </w:tcPr>
          <w:p w14:paraId="0C5F8E48" w14:textId="77777777" w:rsidR="00F20C1A" w:rsidRDefault="00000000">
            <w:pPr>
              <w:pStyle w:val="Other10"/>
            </w:pPr>
            <w:r>
              <w:rPr>
                <w:rStyle w:val="Other1"/>
              </w:rPr>
              <w:t>DPH</w:t>
            </w:r>
          </w:p>
        </w:tc>
        <w:tc>
          <w:tcPr>
            <w:tcW w:w="1001" w:type="dxa"/>
            <w:tcBorders>
              <w:top w:val="single" w:sz="4" w:space="0" w:color="auto"/>
              <w:right w:val="single" w:sz="4" w:space="0" w:color="auto"/>
            </w:tcBorders>
            <w:shd w:val="clear" w:color="auto" w:fill="auto"/>
            <w:vAlign w:val="bottom"/>
          </w:tcPr>
          <w:p w14:paraId="48E20745" w14:textId="77777777" w:rsidR="00F20C1A" w:rsidRDefault="00000000">
            <w:pPr>
              <w:pStyle w:val="Other10"/>
              <w:jc w:val="center"/>
            </w:pPr>
            <w:r>
              <w:rPr>
                <w:rStyle w:val="Other1"/>
              </w:rPr>
              <w:t>cena vč. DPH</w:t>
            </w:r>
          </w:p>
        </w:tc>
      </w:tr>
      <w:tr w:rsidR="00F20C1A" w14:paraId="06F83049" w14:textId="77777777">
        <w:tblPrEx>
          <w:tblCellMar>
            <w:top w:w="0" w:type="dxa"/>
            <w:bottom w:w="0" w:type="dxa"/>
          </w:tblCellMar>
        </w:tblPrEx>
        <w:trPr>
          <w:trHeight w:hRule="exact" w:val="252"/>
          <w:jc w:val="center"/>
        </w:trPr>
        <w:tc>
          <w:tcPr>
            <w:tcW w:w="4709" w:type="dxa"/>
            <w:tcBorders>
              <w:top w:val="single" w:sz="4" w:space="0" w:color="auto"/>
              <w:left w:val="single" w:sz="4" w:space="0" w:color="auto"/>
            </w:tcBorders>
            <w:shd w:val="clear" w:color="auto" w:fill="auto"/>
            <w:vAlign w:val="bottom"/>
          </w:tcPr>
          <w:p w14:paraId="3450511C" w14:textId="77777777" w:rsidR="00F20C1A" w:rsidRDefault="00000000">
            <w:pPr>
              <w:pStyle w:val="Other10"/>
            </w:pPr>
            <w:r>
              <w:rPr>
                <w:rStyle w:val="Other1"/>
                <w:color w:val="DE5A58"/>
              </w:rPr>
              <w:t xml:space="preserve">SW </w:t>
            </w:r>
            <w:r>
              <w:rPr>
                <w:rStyle w:val="Other1"/>
                <w:i/>
                <w:iCs/>
                <w:color w:val="DE5A58"/>
              </w:rPr>
              <w:t>licence</w:t>
            </w:r>
          </w:p>
        </w:tc>
        <w:tc>
          <w:tcPr>
            <w:tcW w:w="742" w:type="dxa"/>
            <w:tcBorders>
              <w:top w:val="single" w:sz="4" w:space="0" w:color="auto"/>
            </w:tcBorders>
            <w:shd w:val="clear" w:color="auto" w:fill="auto"/>
          </w:tcPr>
          <w:p w14:paraId="08447C50" w14:textId="77777777" w:rsidR="00F20C1A" w:rsidRDefault="00F20C1A">
            <w:pPr>
              <w:rPr>
                <w:sz w:val="10"/>
                <w:szCs w:val="10"/>
              </w:rPr>
            </w:pPr>
          </w:p>
        </w:tc>
        <w:tc>
          <w:tcPr>
            <w:tcW w:w="583" w:type="dxa"/>
            <w:tcBorders>
              <w:top w:val="single" w:sz="4" w:space="0" w:color="auto"/>
            </w:tcBorders>
            <w:shd w:val="clear" w:color="auto" w:fill="auto"/>
          </w:tcPr>
          <w:p w14:paraId="4661B412" w14:textId="77777777" w:rsidR="00F20C1A" w:rsidRDefault="00F20C1A">
            <w:pPr>
              <w:rPr>
                <w:sz w:val="10"/>
                <w:szCs w:val="10"/>
              </w:rPr>
            </w:pPr>
          </w:p>
        </w:tc>
        <w:tc>
          <w:tcPr>
            <w:tcW w:w="936" w:type="dxa"/>
            <w:tcBorders>
              <w:top w:val="single" w:sz="4" w:space="0" w:color="auto"/>
            </w:tcBorders>
            <w:shd w:val="clear" w:color="auto" w:fill="auto"/>
          </w:tcPr>
          <w:p w14:paraId="2D45FA6C" w14:textId="77777777" w:rsidR="00F20C1A" w:rsidRDefault="00F20C1A">
            <w:pPr>
              <w:rPr>
                <w:sz w:val="10"/>
                <w:szCs w:val="10"/>
              </w:rPr>
            </w:pPr>
          </w:p>
        </w:tc>
        <w:tc>
          <w:tcPr>
            <w:tcW w:w="1130" w:type="dxa"/>
            <w:tcBorders>
              <w:top w:val="single" w:sz="4" w:space="0" w:color="auto"/>
            </w:tcBorders>
            <w:shd w:val="clear" w:color="auto" w:fill="auto"/>
          </w:tcPr>
          <w:p w14:paraId="70A4B994" w14:textId="77777777" w:rsidR="00F20C1A" w:rsidRDefault="00F20C1A">
            <w:pPr>
              <w:rPr>
                <w:sz w:val="10"/>
                <w:szCs w:val="10"/>
              </w:rPr>
            </w:pPr>
          </w:p>
        </w:tc>
        <w:tc>
          <w:tcPr>
            <w:tcW w:w="720" w:type="dxa"/>
            <w:tcBorders>
              <w:top w:val="single" w:sz="4" w:space="0" w:color="auto"/>
            </w:tcBorders>
            <w:shd w:val="clear" w:color="auto" w:fill="auto"/>
          </w:tcPr>
          <w:p w14:paraId="7A705361" w14:textId="77777777" w:rsidR="00F20C1A" w:rsidRDefault="00F20C1A">
            <w:pPr>
              <w:rPr>
                <w:sz w:val="10"/>
                <w:szCs w:val="10"/>
              </w:rPr>
            </w:pPr>
          </w:p>
        </w:tc>
        <w:tc>
          <w:tcPr>
            <w:tcW w:w="1001" w:type="dxa"/>
            <w:tcBorders>
              <w:top w:val="single" w:sz="4" w:space="0" w:color="auto"/>
              <w:right w:val="single" w:sz="4" w:space="0" w:color="auto"/>
            </w:tcBorders>
            <w:shd w:val="clear" w:color="auto" w:fill="auto"/>
          </w:tcPr>
          <w:p w14:paraId="423BB0BE" w14:textId="77777777" w:rsidR="00F20C1A" w:rsidRDefault="00F20C1A">
            <w:pPr>
              <w:rPr>
                <w:sz w:val="10"/>
                <w:szCs w:val="10"/>
              </w:rPr>
            </w:pPr>
          </w:p>
        </w:tc>
      </w:tr>
      <w:tr w:rsidR="00F20C1A" w14:paraId="7F77A5B2" w14:textId="77777777">
        <w:tblPrEx>
          <w:tblCellMar>
            <w:top w:w="0" w:type="dxa"/>
            <w:bottom w:w="0" w:type="dxa"/>
          </w:tblCellMar>
        </w:tblPrEx>
        <w:trPr>
          <w:trHeight w:hRule="exact" w:val="245"/>
          <w:jc w:val="center"/>
        </w:trPr>
        <w:tc>
          <w:tcPr>
            <w:tcW w:w="4709" w:type="dxa"/>
            <w:tcBorders>
              <w:top w:val="single" w:sz="4" w:space="0" w:color="auto"/>
              <w:left w:val="single" w:sz="4" w:space="0" w:color="auto"/>
            </w:tcBorders>
            <w:shd w:val="clear" w:color="auto" w:fill="auto"/>
          </w:tcPr>
          <w:p w14:paraId="7A610A07" w14:textId="77777777" w:rsidR="00F20C1A" w:rsidRDefault="00000000">
            <w:pPr>
              <w:pStyle w:val="Other10"/>
            </w:pPr>
            <w:r>
              <w:rPr>
                <w:rStyle w:val="Other1"/>
              </w:rPr>
              <w:t xml:space="preserve">SW </w:t>
            </w:r>
            <w:proofErr w:type="spellStart"/>
            <w:proofErr w:type="gramStart"/>
            <w:r>
              <w:rPr>
                <w:rStyle w:val="Other1"/>
              </w:rPr>
              <w:t>ShiftMaster</w:t>
            </w:r>
            <w:proofErr w:type="spellEnd"/>
            <w:r>
              <w:rPr>
                <w:rStyle w:val="Other1"/>
              </w:rPr>
              <w:t xml:space="preserve"> - licence</w:t>
            </w:r>
            <w:proofErr w:type="gramEnd"/>
            <w:r>
              <w:rPr>
                <w:rStyle w:val="Other1"/>
              </w:rPr>
              <w:t xml:space="preserve"> na počet 1100 pracovníků</w:t>
            </w:r>
          </w:p>
        </w:tc>
        <w:tc>
          <w:tcPr>
            <w:tcW w:w="742" w:type="dxa"/>
            <w:shd w:val="clear" w:color="auto" w:fill="auto"/>
          </w:tcPr>
          <w:p w14:paraId="77CAA081" w14:textId="77777777" w:rsidR="00F20C1A" w:rsidRDefault="00000000">
            <w:pPr>
              <w:pStyle w:val="Other10"/>
              <w:ind w:firstLine="360"/>
            </w:pPr>
            <w:r>
              <w:rPr>
                <w:rStyle w:val="Other1"/>
              </w:rPr>
              <w:t>ks</w:t>
            </w:r>
          </w:p>
        </w:tc>
        <w:tc>
          <w:tcPr>
            <w:tcW w:w="583" w:type="dxa"/>
            <w:shd w:val="clear" w:color="auto" w:fill="auto"/>
          </w:tcPr>
          <w:p w14:paraId="337C7FB5" w14:textId="77777777" w:rsidR="00F20C1A" w:rsidRDefault="00000000">
            <w:pPr>
              <w:pStyle w:val="Other10"/>
              <w:jc w:val="center"/>
            </w:pPr>
            <w:r>
              <w:rPr>
                <w:rStyle w:val="Other1"/>
              </w:rPr>
              <w:t>1</w:t>
            </w:r>
          </w:p>
        </w:tc>
        <w:tc>
          <w:tcPr>
            <w:tcW w:w="936" w:type="dxa"/>
            <w:shd w:val="clear" w:color="auto" w:fill="auto"/>
          </w:tcPr>
          <w:p w14:paraId="4A3C0C8F" w14:textId="572F5619" w:rsidR="00F20C1A" w:rsidRDefault="00F20C1A">
            <w:pPr>
              <w:pStyle w:val="Other10"/>
              <w:jc w:val="right"/>
            </w:pPr>
          </w:p>
        </w:tc>
        <w:tc>
          <w:tcPr>
            <w:tcW w:w="1130" w:type="dxa"/>
            <w:shd w:val="clear" w:color="auto" w:fill="auto"/>
          </w:tcPr>
          <w:p w14:paraId="7CBAA090" w14:textId="27ADF226" w:rsidR="00F20C1A" w:rsidRDefault="00F20C1A">
            <w:pPr>
              <w:pStyle w:val="Other10"/>
              <w:ind w:firstLine="220"/>
            </w:pPr>
          </w:p>
        </w:tc>
        <w:tc>
          <w:tcPr>
            <w:tcW w:w="720" w:type="dxa"/>
            <w:shd w:val="clear" w:color="auto" w:fill="auto"/>
          </w:tcPr>
          <w:p w14:paraId="1EAEB39E" w14:textId="77777777" w:rsidR="00F20C1A" w:rsidRDefault="00000000">
            <w:pPr>
              <w:pStyle w:val="Other10"/>
            </w:pPr>
            <w:proofErr w:type="gramStart"/>
            <w:r>
              <w:rPr>
                <w:rStyle w:val="Other1"/>
              </w:rPr>
              <w:t>21%</w:t>
            </w:r>
            <w:proofErr w:type="gramEnd"/>
          </w:p>
        </w:tc>
        <w:tc>
          <w:tcPr>
            <w:tcW w:w="1001" w:type="dxa"/>
            <w:tcBorders>
              <w:right w:val="single" w:sz="4" w:space="0" w:color="auto"/>
            </w:tcBorders>
            <w:shd w:val="clear" w:color="auto" w:fill="auto"/>
          </w:tcPr>
          <w:p w14:paraId="2F2D7F41" w14:textId="64828A75" w:rsidR="00F20C1A" w:rsidRDefault="00F20C1A">
            <w:pPr>
              <w:pStyle w:val="Other10"/>
            </w:pPr>
          </w:p>
        </w:tc>
      </w:tr>
      <w:tr w:rsidR="00F20C1A" w14:paraId="1A8D0189" w14:textId="77777777">
        <w:tblPrEx>
          <w:tblCellMar>
            <w:top w:w="0" w:type="dxa"/>
            <w:bottom w:w="0" w:type="dxa"/>
          </w:tblCellMar>
        </w:tblPrEx>
        <w:trPr>
          <w:trHeight w:hRule="exact" w:val="454"/>
          <w:jc w:val="center"/>
        </w:trPr>
        <w:tc>
          <w:tcPr>
            <w:tcW w:w="4709" w:type="dxa"/>
            <w:tcBorders>
              <w:left w:val="single" w:sz="4" w:space="0" w:color="auto"/>
            </w:tcBorders>
            <w:shd w:val="clear" w:color="auto" w:fill="auto"/>
          </w:tcPr>
          <w:p w14:paraId="2C1C89A3" w14:textId="77777777" w:rsidR="00F20C1A" w:rsidRDefault="00000000">
            <w:pPr>
              <w:pStyle w:val="Other10"/>
            </w:pPr>
            <w:proofErr w:type="spellStart"/>
            <w:proofErr w:type="gramStart"/>
            <w:r>
              <w:rPr>
                <w:rStyle w:val="Other1"/>
              </w:rPr>
              <w:t>ShiftMaster</w:t>
            </w:r>
            <w:proofErr w:type="spellEnd"/>
            <w:r>
              <w:rPr>
                <w:rStyle w:val="Other1"/>
              </w:rPr>
              <w:t xml:space="preserve"> - konkurenčně</w:t>
            </w:r>
            <w:proofErr w:type="gramEnd"/>
            <w:r>
              <w:rPr>
                <w:rStyle w:val="Other1"/>
              </w:rPr>
              <w:t xml:space="preserve"> sdílené licence (15x)</w:t>
            </w:r>
          </w:p>
        </w:tc>
        <w:tc>
          <w:tcPr>
            <w:tcW w:w="742" w:type="dxa"/>
            <w:shd w:val="clear" w:color="auto" w:fill="auto"/>
          </w:tcPr>
          <w:p w14:paraId="5DD90250" w14:textId="77777777" w:rsidR="00F20C1A" w:rsidRDefault="00000000">
            <w:pPr>
              <w:pStyle w:val="Other10"/>
              <w:ind w:firstLine="360"/>
            </w:pPr>
            <w:r>
              <w:rPr>
                <w:rStyle w:val="Other1"/>
              </w:rPr>
              <w:t>ks</w:t>
            </w:r>
          </w:p>
        </w:tc>
        <w:tc>
          <w:tcPr>
            <w:tcW w:w="583" w:type="dxa"/>
            <w:shd w:val="clear" w:color="auto" w:fill="auto"/>
          </w:tcPr>
          <w:p w14:paraId="693A9791" w14:textId="77777777" w:rsidR="00F20C1A" w:rsidRDefault="00000000">
            <w:pPr>
              <w:pStyle w:val="Other10"/>
              <w:jc w:val="center"/>
            </w:pPr>
            <w:r>
              <w:rPr>
                <w:rStyle w:val="Other1"/>
              </w:rPr>
              <w:t>15</w:t>
            </w:r>
          </w:p>
        </w:tc>
        <w:tc>
          <w:tcPr>
            <w:tcW w:w="936" w:type="dxa"/>
            <w:shd w:val="clear" w:color="auto" w:fill="auto"/>
          </w:tcPr>
          <w:p w14:paraId="07D59415" w14:textId="79419874" w:rsidR="00F20C1A" w:rsidRDefault="00F20C1A">
            <w:pPr>
              <w:pStyle w:val="Other10"/>
              <w:ind w:right="200"/>
              <w:jc w:val="right"/>
            </w:pPr>
          </w:p>
        </w:tc>
        <w:tc>
          <w:tcPr>
            <w:tcW w:w="1130" w:type="dxa"/>
            <w:shd w:val="clear" w:color="auto" w:fill="auto"/>
          </w:tcPr>
          <w:p w14:paraId="279EAD84" w14:textId="4E06E30F" w:rsidR="00F20C1A" w:rsidRDefault="00F20C1A">
            <w:pPr>
              <w:pStyle w:val="Other10"/>
              <w:jc w:val="center"/>
            </w:pPr>
          </w:p>
        </w:tc>
        <w:tc>
          <w:tcPr>
            <w:tcW w:w="720" w:type="dxa"/>
            <w:shd w:val="clear" w:color="auto" w:fill="auto"/>
          </w:tcPr>
          <w:p w14:paraId="0D736A29" w14:textId="77777777" w:rsidR="00F20C1A" w:rsidRDefault="00000000">
            <w:pPr>
              <w:pStyle w:val="Other10"/>
            </w:pPr>
            <w:proofErr w:type="gramStart"/>
            <w:r>
              <w:rPr>
                <w:rStyle w:val="Other1"/>
              </w:rPr>
              <w:t>21%</w:t>
            </w:r>
            <w:proofErr w:type="gramEnd"/>
          </w:p>
        </w:tc>
        <w:tc>
          <w:tcPr>
            <w:tcW w:w="1001" w:type="dxa"/>
            <w:tcBorders>
              <w:right w:val="single" w:sz="4" w:space="0" w:color="auto"/>
            </w:tcBorders>
            <w:shd w:val="clear" w:color="auto" w:fill="auto"/>
          </w:tcPr>
          <w:p w14:paraId="1FBC6C21" w14:textId="7F068F21" w:rsidR="00F20C1A" w:rsidRDefault="00F20C1A">
            <w:pPr>
              <w:pStyle w:val="Other10"/>
              <w:ind w:firstLine="180"/>
            </w:pPr>
          </w:p>
        </w:tc>
      </w:tr>
      <w:tr w:rsidR="00F20C1A" w14:paraId="059029BD" w14:textId="77777777">
        <w:tblPrEx>
          <w:tblCellMar>
            <w:top w:w="0" w:type="dxa"/>
            <w:bottom w:w="0" w:type="dxa"/>
          </w:tblCellMar>
        </w:tblPrEx>
        <w:trPr>
          <w:trHeight w:hRule="exact" w:val="324"/>
          <w:jc w:val="center"/>
        </w:trPr>
        <w:tc>
          <w:tcPr>
            <w:tcW w:w="4709" w:type="dxa"/>
            <w:tcBorders>
              <w:top w:val="single" w:sz="4" w:space="0" w:color="auto"/>
              <w:left w:val="single" w:sz="4" w:space="0" w:color="auto"/>
              <w:bottom w:val="single" w:sz="4" w:space="0" w:color="auto"/>
            </w:tcBorders>
            <w:shd w:val="clear" w:color="auto" w:fill="auto"/>
          </w:tcPr>
          <w:p w14:paraId="2E80AC8D" w14:textId="77777777" w:rsidR="00F20C1A" w:rsidRDefault="00000000">
            <w:pPr>
              <w:pStyle w:val="Other10"/>
            </w:pPr>
            <w:r>
              <w:rPr>
                <w:rStyle w:val="Other1"/>
                <w:color w:val="DE5A58"/>
              </w:rPr>
              <w:t>Náklady na SW licence celkem</w:t>
            </w:r>
          </w:p>
        </w:tc>
        <w:tc>
          <w:tcPr>
            <w:tcW w:w="742" w:type="dxa"/>
            <w:tcBorders>
              <w:top w:val="single" w:sz="4" w:space="0" w:color="auto"/>
              <w:bottom w:val="single" w:sz="4" w:space="0" w:color="auto"/>
            </w:tcBorders>
            <w:shd w:val="clear" w:color="auto" w:fill="auto"/>
          </w:tcPr>
          <w:p w14:paraId="19687784" w14:textId="77777777" w:rsidR="00F20C1A" w:rsidRDefault="00F20C1A">
            <w:pPr>
              <w:rPr>
                <w:sz w:val="10"/>
                <w:szCs w:val="10"/>
              </w:rPr>
            </w:pPr>
          </w:p>
        </w:tc>
        <w:tc>
          <w:tcPr>
            <w:tcW w:w="583" w:type="dxa"/>
            <w:tcBorders>
              <w:top w:val="single" w:sz="4" w:space="0" w:color="auto"/>
              <w:bottom w:val="single" w:sz="4" w:space="0" w:color="auto"/>
            </w:tcBorders>
            <w:shd w:val="clear" w:color="auto" w:fill="auto"/>
          </w:tcPr>
          <w:p w14:paraId="57BDB1B5" w14:textId="77777777" w:rsidR="00F20C1A" w:rsidRDefault="00F20C1A">
            <w:pPr>
              <w:rPr>
                <w:sz w:val="10"/>
                <w:szCs w:val="10"/>
              </w:rPr>
            </w:pPr>
          </w:p>
        </w:tc>
        <w:tc>
          <w:tcPr>
            <w:tcW w:w="936" w:type="dxa"/>
            <w:tcBorders>
              <w:top w:val="single" w:sz="4" w:space="0" w:color="auto"/>
              <w:bottom w:val="single" w:sz="4" w:space="0" w:color="auto"/>
            </w:tcBorders>
            <w:shd w:val="clear" w:color="auto" w:fill="auto"/>
          </w:tcPr>
          <w:p w14:paraId="235753C8" w14:textId="77777777" w:rsidR="00F20C1A" w:rsidRDefault="00F20C1A">
            <w:pPr>
              <w:rPr>
                <w:sz w:val="10"/>
                <w:szCs w:val="10"/>
              </w:rPr>
            </w:pPr>
          </w:p>
        </w:tc>
        <w:tc>
          <w:tcPr>
            <w:tcW w:w="1130" w:type="dxa"/>
            <w:tcBorders>
              <w:top w:val="single" w:sz="4" w:space="0" w:color="auto"/>
              <w:bottom w:val="single" w:sz="4" w:space="0" w:color="auto"/>
            </w:tcBorders>
            <w:shd w:val="clear" w:color="auto" w:fill="auto"/>
          </w:tcPr>
          <w:p w14:paraId="6835F021" w14:textId="77777777" w:rsidR="00F20C1A" w:rsidRDefault="00000000">
            <w:pPr>
              <w:pStyle w:val="Other10"/>
              <w:ind w:firstLine="220"/>
            </w:pPr>
            <w:r>
              <w:rPr>
                <w:rStyle w:val="Other1"/>
                <w:color w:val="DE5A58"/>
                <w:u w:val="single"/>
              </w:rPr>
              <w:t>475 884</w:t>
            </w:r>
          </w:p>
        </w:tc>
        <w:tc>
          <w:tcPr>
            <w:tcW w:w="720" w:type="dxa"/>
            <w:tcBorders>
              <w:top w:val="single" w:sz="4" w:space="0" w:color="auto"/>
              <w:bottom w:val="single" w:sz="4" w:space="0" w:color="auto"/>
            </w:tcBorders>
            <w:shd w:val="clear" w:color="auto" w:fill="auto"/>
          </w:tcPr>
          <w:p w14:paraId="7849FEF9" w14:textId="77777777" w:rsidR="00F20C1A" w:rsidRDefault="00F20C1A">
            <w:pPr>
              <w:rPr>
                <w:sz w:val="10"/>
                <w:szCs w:val="10"/>
              </w:rPr>
            </w:pPr>
          </w:p>
        </w:tc>
        <w:tc>
          <w:tcPr>
            <w:tcW w:w="1001" w:type="dxa"/>
            <w:tcBorders>
              <w:top w:val="single" w:sz="4" w:space="0" w:color="auto"/>
              <w:bottom w:val="single" w:sz="4" w:space="0" w:color="auto"/>
              <w:right w:val="single" w:sz="4" w:space="0" w:color="auto"/>
            </w:tcBorders>
            <w:shd w:val="clear" w:color="auto" w:fill="auto"/>
          </w:tcPr>
          <w:p w14:paraId="49C78041" w14:textId="77777777" w:rsidR="00F20C1A" w:rsidRDefault="00000000">
            <w:pPr>
              <w:pStyle w:val="Other10"/>
            </w:pPr>
            <w:r>
              <w:rPr>
                <w:rStyle w:val="Other1"/>
                <w:color w:val="DE5A58"/>
                <w:u w:val="single"/>
              </w:rPr>
              <w:t>575 819</w:t>
            </w:r>
          </w:p>
        </w:tc>
      </w:tr>
    </w:tbl>
    <w:p w14:paraId="069DEF43" w14:textId="77777777" w:rsidR="00F20C1A" w:rsidRDefault="00000000">
      <w:pPr>
        <w:spacing w:line="1" w:lineRule="exact"/>
        <w:rPr>
          <w:sz w:val="2"/>
          <w:szCs w:val="2"/>
        </w:rPr>
      </w:pPr>
      <w:r>
        <w:br w:type="page"/>
      </w:r>
    </w:p>
    <w:p w14:paraId="73F08845" w14:textId="77777777" w:rsidR="00F20C1A" w:rsidRDefault="00000000">
      <w:pPr>
        <w:pStyle w:val="Heading110"/>
        <w:keepNext/>
        <w:keepLines/>
        <w:spacing w:after="0" w:line="266" w:lineRule="auto"/>
        <w:ind w:firstLine="0"/>
        <w:jc w:val="center"/>
      </w:pPr>
      <w:bookmarkStart w:id="5" w:name="bookmark11"/>
      <w:r>
        <w:rPr>
          <w:rStyle w:val="Heading11"/>
          <w:b/>
          <w:bCs/>
          <w:color w:val="DE5A58"/>
        </w:rPr>
        <w:lastRenderedPageBreak/>
        <w:t xml:space="preserve">W </w:t>
      </w:r>
      <w:proofErr w:type="spellStart"/>
      <w:r>
        <w:rPr>
          <w:rStyle w:val="Heading11"/>
          <w:b/>
          <w:bCs/>
        </w:rPr>
        <w:t>iVRR</w:t>
      </w:r>
      <w:proofErr w:type="spellEnd"/>
      <w:r>
        <w:rPr>
          <w:rStyle w:val="Heading11"/>
          <w:b/>
          <w:bCs/>
        </w:rPr>
        <w:t xml:space="preserve"> </w:t>
      </w:r>
      <w:proofErr w:type="spellStart"/>
      <w:r>
        <w:rPr>
          <w:rStyle w:val="Heading11"/>
          <w:b/>
          <w:bCs/>
        </w:rPr>
        <w:t>iO</w:t>
      </w:r>
      <w:proofErr w:type="spellEnd"/>
      <w:r>
        <w:rPr>
          <w:rStyle w:val="Heading11"/>
          <w:b/>
          <w:bCs/>
        </w:rPr>
        <w:t xml:space="preserve"> </w:t>
      </w:r>
      <w:proofErr w:type="spellStart"/>
      <w:r>
        <w:rPr>
          <w:rStyle w:val="Heading11"/>
          <w:b/>
          <w:bCs/>
          <w:color w:val="DE5A58"/>
        </w:rPr>
        <w:t>ifjl</w:t>
      </w:r>
      <w:proofErr w:type="spellEnd"/>
      <w:r>
        <w:rPr>
          <w:rStyle w:val="Heading11"/>
          <w:b/>
          <w:bCs/>
          <w:color w:val="DE5A58"/>
        </w:rPr>
        <w:t xml:space="preserve"> </w:t>
      </w:r>
      <w:proofErr w:type="spellStart"/>
      <w:r>
        <w:rPr>
          <w:rStyle w:val="Heading11"/>
          <w:b/>
          <w:bCs/>
        </w:rPr>
        <w:t>iVAR</w:t>
      </w:r>
      <w:proofErr w:type="spellEnd"/>
      <w:r>
        <w:rPr>
          <w:rStyle w:val="Heading11"/>
          <w:b/>
          <w:bCs/>
        </w:rPr>
        <w:t xml:space="preserve"> ÍD </w:t>
      </w:r>
      <w:r>
        <w:rPr>
          <w:rStyle w:val="Heading11"/>
          <w:b/>
          <w:bCs/>
          <w:color w:val="DE5A58"/>
        </w:rPr>
        <w:t xml:space="preserve">W </w:t>
      </w:r>
      <w:proofErr w:type="spellStart"/>
      <w:r>
        <w:rPr>
          <w:rStyle w:val="Heading11"/>
          <w:b/>
          <w:bCs/>
        </w:rPr>
        <w:t>iVRR</w:t>
      </w:r>
      <w:proofErr w:type="spellEnd"/>
      <w:r>
        <w:rPr>
          <w:rStyle w:val="Heading11"/>
          <w:b/>
          <w:bCs/>
        </w:rPr>
        <w:t xml:space="preserve"> </w:t>
      </w:r>
      <w:proofErr w:type="spellStart"/>
      <w:r>
        <w:rPr>
          <w:rStyle w:val="Heading11"/>
          <w:b/>
          <w:bCs/>
        </w:rPr>
        <w:t>iD</w:t>
      </w:r>
      <w:proofErr w:type="spellEnd"/>
      <w:r>
        <w:rPr>
          <w:rStyle w:val="Heading11"/>
          <w:b/>
          <w:bCs/>
        </w:rPr>
        <w:t xml:space="preserve"> </w:t>
      </w:r>
      <w:proofErr w:type="spellStart"/>
      <w:r>
        <w:rPr>
          <w:rStyle w:val="Heading11"/>
          <w:b/>
          <w:bCs/>
          <w:color w:val="DE5A58"/>
        </w:rPr>
        <w:t>ájf</w:t>
      </w:r>
      <w:proofErr w:type="spellEnd"/>
      <w:r>
        <w:rPr>
          <w:rStyle w:val="Heading11"/>
          <w:b/>
          <w:bCs/>
          <w:color w:val="DE5A58"/>
        </w:rPr>
        <w:t xml:space="preserve"> </w:t>
      </w:r>
      <w:proofErr w:type="spellStart"/>
      <w:r>
        <w:rPr>
          <w:rStyle w:val="Heading11"/>
          <w:b/>
          <w:bCs/>
        </w:rPr>
        <w:t>iVRR</w:t>
      </w:r>
      <w:proofErr w:type="spellEnd"/>
      <w:r>
        <w:rPr>
          <w:rStyle w:val="Heading11"/>
          <w:b/>
          <w:bCs/>
        </w:rPr>
        <w:t xml:space="preserve"> </w:t>
      </w:r>
      <w:proofErr w:type="spellStart"/>
      <w:r>
        <w:rPr>
          <w:rStyle w:val="Heading11"/>
          <w:b/>
          <w:bCs/>
        </w:rPr>
        <w:t>iO</w:t>
      </w:r>
      <w:proofErr w:type="spellEnd"/>
      <w:r>
        <w:rPr>
          <w:rStyle w:val="Heading11"/>
          <w:b/>
          <w:bCs/>
        </w:rPr>
        <w:t xml:space="preserve"> </w:t>
      </w:r>
      <w:r>
        <w:rPr>
          <w:rStyle w:val="Heading11"/>
          <w:b/>
          <w:bCs/>
          <w:color w:val="DE5A58"/>
        </w:rPr>
        <w:t xml:space="preserve">W </w:t>
      </w:r>
      <w:proofErr w:type="spellStart"/>
      <w:r>
        <w:rPr>
          <w:rStyle w:val="Heading11"/>
          <w:b/>
          <w:bCs/>
        </w:rPr>
        <w:t>iVRR</w:t>
      </w:r>
      <w:proofErr w:type="spellEnd"/>
      <w:r>
        <w:rPr>
          <w:rStyle w:val="Heading11"/>
          <w:b/>
          <w:bCs/>
        </w:rPr>
        <w:t xml:space="preserve"> </w:t>
      </w:r>
      <w:proofErr w:type="spellStart"/>
      <w:r>
        <w:rPr>
          <w:rStyle w:val="Heading11"/>
          <w:b/>
          <w:bCs/>
        </w:rPr>
        <w:t>iD</w:t>
      </w:r>
      <w:bookmarkEnd w:id="5"/>
      <w:proofErr w:type="spellEnd"/>
    </w:p>
    <w:p w14:paraId="6DA8C257" w14:textId="77777777" w:rsidR="00F20C1A" w:rsidRDefault="00000000">
      <w:pPr>
        <w:pStyle w:val="Bodytext10"/>
        <w:spacing w:after="180" w:line="266" w:lineRule="auto"/>
        <w:ind w:firstLine="660"/>
        <w:jc w:val="both"/>
      </w:pPr>
      <w:r>
        <w:rPr>
          <w:rStyle w:val="Bodytext1"/>
          <w:rFonts w:ascii="Times New Roman" w:eastAsia="Times New Roman" w:hAnsi="Times New Roman" w:cs="Times New Roman"/>
          <w:sz w:val="20"/>
          <w:szCs w:val="20"/>
        </w:rPr>
        <w:t xml:space="preserve">b) </w:t>
      </w:r>
      <w:r>
        <w:rPr>
          <w:rStyle w:val="Bodytext1"/>
        </w:rPr>
        <w:t>Kalkulace ceny rozšířené licence pro 1250 pracovníků a 15 konkurenčně sdílených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7"/>
        <w:gridCol w:w="1310"/>
        <w:gridCol w:w="986"/>
        <w:gridCol w:w="1066"/>
        <w:gridCol w:w="670"/>
        <w:gridCol w:w="1044"/>
      </w:tblGrid>
      <w:tr w:rsidR="00F20C1A" w14:paraId="6FD7F530" w14:textId="77777777">
        <w:tblPrEx>
          <w:tblCellMar>
            <w:top w:w="0" w:type="dxa"/>
            <w:bottom w:w="0" w:type="dxa"/>
          </w:tblCellMar>
        </w:tblPrEx>
        <w:trPr>
          <w:trHeight w:hRule="exact" w:val="540"/>
          <w:jc w:val="center"/>
        </w:trPr>
        <w:tc>
          <w:tcPr>
            <w:tcW w:w="4687" w:type="dxa"/>
            <w:tcBorders>
              <w:top w:val="single" w:sz="4" w:space="0" w:color="auto"/>
              <w:left w:val="single" w:sz="4" w:space="0" w:color="auto"/>
            </w:tcBorders>
            <w:shd w:val="clear" w:color="auto" w:fill="auto"/>
            <w:vAlign w:val="bottom"/>
          </w:tcPr>
          <w:p w14:paraId="7E34666F" w14:textId="77777777" w:rsidR="00F20C1A" w:rsidRDefault="00000000">
            <w:pPr>
              <w:pStyle w:val="Other10"/>
              <w:jc w:val="center"/>
            </w:pPr>
            <w:r>
              <w:rPr>
                <w:rStyle w:val="Other1"/>
              </w:rPr>
              <w:t xml:space="preserve">24_8136 </w:t>
            </w:r>
            <w:proofErr w:type="spellStart"/>
            <w:r>
              <w:rPr>
                <w:rStyle w:val="Other1"/>
              </w:rPr>
              <w:t>Nem</w:t>
            </w:r>
            <w:proofErr w:type="spellEnd"/>
            <w:r>
              <w:rPr>
                <w:rStyle w:val="Other1"/>
              </w:rPr>
              <w:t xml:space="preserve"> Havířov cílová licence SM1250_15</w:t>
            </w:r>
          </w:p>
        </w:tc>
        <w:tc>
          <w:tcPr>
            <w:tcW w:w="1310" w:type="dxa"/>
            <w:tcBorders>
              <w:top w:val="single" w:sz="4" w:space="0" w:color="auto"/>
            </w:tcBorders>
            <w:shd w:val="clear" w:color="auto" w:fill="auto"/>
          </w:tcPr>
          <w:p w14:paraId="3B4AA0A4" w14:textId="77777777" w:rsidR="00F20C1A" w:rsidRDefault="00000000">
            <w:pPr>
              <w:pStyle w:val="Other10"/>
              <w:jc w:val="right"/>
            </w:pPr>
            <w:proofErr w:type="spellStart"/>
            <w:r>
              <w:rPr>
                <w:rStyle w:val="Other1"/>
              </w:rPr>
              <w:t>jedn</w:t>
            </w:r>
            <w:proofErr w:type="spellEnd"/>
            <w:r>
              <w:rPr>
                <w:rStyle w:val="Other1"/>
              </w:rPr>
              <w:t>. poč.</w:t>
            </w:r>
          </w:p>
        </w:tc>
        <w:tc>
          <w:tcPr>
            <w:tcW w:w="986" w:type="dxa"/>
            <w:tcBorders>
              <w:top w:val="single" w:sz="4" w:space="0" w:color="auto"/>
            </w:tcBorders>
            <w:shd w:val="clear" w:color="auto" w:fill="auto"/>
          </w:tcPr>
          <w:p w14:paraId="39019835" w14:textId="77777777" w:rsidR="00F20C1A" w:rsidRDefault="00000000">
            <w:pPr>
              <w:pStyle w:val="Other10"/>
              <w:jc w:val="center"/>
            </w:pPr>
            <w:r>
              <w:rPr>
                <w:rStyle w:val="Other1"/>
              </w:rPr>
              <w:t>cena/ks</w:t>
            </w:r>
          </w:p>
        </w:tc>
        <w:tc>
          <w:tcPr>
            <w:tcW w:w="1066" w:type="dxa"/>
            <w:tcBorders>
              <w:top w:val="single" w:sz="4" w:space="0" w:color="auto"/>
            </w:tcBorders>
            <w:shd w:val="clear" w:color="auto" w:fill="auto"/>
            <w:vAlign w:val="bottom"/>
          </w:tcPr>
          <w:p w14:paraId="0D3900EC" w14:textId="77777777" w:rsidR="00F20C1A" w:rsidRDefault="00000000">
            <w:pPr>
              <w:pStyle w:val="Other10"/>
              <w:jc w:val="center"/>
            </w:pPr>
            <w:r>
              <w:rPr>
                <w:rStyle w:val="Other1"/>
              </w:rPr>
              <w:t>cena bez DPH</w:t>
            </w:r>
          </w:p>
        </w:tc>
        <w:tc>
          <w:tcPr>
            <w:tcW w:w="670" w:type="dxa"/>
            <w:tcBorders>
              <w:top w:val="single" w:sz="4" w:space="0" w:color="auto"/>
            </w:tcBorders>
            <w:shd w:val="clear" w:color="auto" w:fill="auto"/>
          </w:tcPr>
          <w:p w14:paraId="5EE52524" w14:textId="77777777" w:rsidR="00F20C1A" w:rsidRDefault="00000000">
            <w:pPr>
              <w:pStyle w:val="Other10"/>
            </w:pPr>
            <w:r>
              <w:rPr>
                <w:rStyle w:val="Other1"/>
              </w:rPr>
              <w:t>DPH</w:t>
            </w:r>
          </w:p>
        </w:tc>
        <w:tc>
          <w:tcPr>
            <w:tcW w:w="1044" w:type="dxa"/>
            <w:tcBorders>
              <w:top w:val="single" w:sz="4" w:space="0" w:color="auto"/>
              <w:right w:val="single" w:sz="4" w:space="0" w:color="auto"/>
            </w:tcBorders>
            <w:shd w:val="clear" w:color="auto" w:fill="auto"/>
            <w:vAlign w:val="bottom"/>
          </w:tcPr>
          <w:p w14:paraId="17CEB3E4" w14:textId="77777777" w:rsidR="00F20C1A" w:rsidRDefault="00000000">
            <w:pPr>
              <w:pStyle w:val="Other10"/>
              <w:jc w:val="center"/>
            </w:pPr>
            <w:r>
              <w:rPr>
                <w:rStyle w:val="Other1"/>
              </w:rPr>
              <w:t>cena vč. DPH</w:t>
            </w:r>
          </w:p>
        </w:tc>
      </w:tr>
      <w:tr w:rsidR="00F20C1A" w14:paraId="0BC968B9" w14:textId="77777777">
        <w:tblPrEx>
          <w:tblCellMar>
            <w:top w:w="0" w:type="dxa"/>
            <w:bottom w:w="0" w:type="dxa"/>
          </w:tblCellMar>
        </w:tblPrEx>
        <w:trPr>
          <w:trHeight w:hRule="exact" w:val="245"/>
          <w:jc w:val="center"/>
        </w:trPr>
        <w:tc>
          <w:tcPr>
            <w:tcW w:w="4687" w:type="dxa"/>
            <w:tcBorders>
              <w:top w:val="single" w:sz="4" w:space="0" w:color="auto"/>
              <w:left w:val="single" w:sz="4" w:space="0" w:color="auto"/>
            </w:tcBorders>
            <w:shd w:val="clear" w:color="auto" w:fill="auto"/>
            <w:vAlign w:val="bottom"/>
          </w:tcPr>
          <w:p w14:paraId="4AE61797" w14:textId="77777777" w:rsidR="00F20C1A" w:rsidRDefault="00000000">
            <w:pPr>
              <w:pStyle w:val="Other10"/>
            </w:pPr>
            <w:r>
              <w:rPr>
                <w:rStyle w:val="Other1"/>
                <w:color w:val="DE5A58"/>
              </w:rPr>
              <w:t xml:space="preserve">SŮV </w:t>
            </w:r>
            <w:r>
              <w:rPr>
                <w:rStyle w:val="Other1"/>
                <w:i/>
                <w:iCs/>
                <w:color w:val="DE5A58"/>
              </w:rPr>
              <w:t>licence</w:t>
            </w:r>
          </w:p>
        </w:tc>
        <w:tc>
          <w:tcPr>
            <w:tcW w:w="1310" w:type="dxa"/>
            <w:tcBorders>
              <w:top w:val="single" w:sz="4" w:space="0" w:color="auto"/>
            </w:tcBorders>
            <w:shd w:val="clear" w:color="auto" w:fill="auto"/>
          </w:tcPr>
          <w:p w14:paraId="7823DE15" w14:textId="77777777" w:rsidR="00F20C1A" w:rsidRDefault="00F20C1A">
            <w:pPr>
              <w:rPr>
                <w:sz w:val="10"/>
                <w:szCs w:val="10"/>
              </w:rPr>
            </w:pPr>
          </w:p>
        </w:tc>
        <w:tc>
          <w:tcPr>
            <w:tcW w:w="986" w:type="dxa"/>
            <w:tcBorders>
              <w:top w:val="single" w:sz="4" w:space="0" w:color="auto"/>
            </w:tcBorders>
            <w:shd w:val="clear" w:color="auto" w:fill="auto"/>
          </w:tcPr>
          <w:p w14:paraId="130BD0DB" w14:textId="77777777" w:rsidR="00F20C1A" w:rsidRDefault="00F20C1A">
            <w:pPr>
              <w:rPr>
                <w:sz w:val="10"/>
                <w:szCs w:val="10"/>
              </w:rPr>
            </w:pPr>
          </w:p>
        </w:tc>
        <w:tc>
          <w:tcPr>
            <w:tcW w:w="1066" w:type="dxa"/>
            <w:tcBorders>
              <w:top w:val="single" w:sz="4" w:space="0" w:color="auto"/>
            </w:tcBorders>
            <w:shd w:val="clear" w:color="auto" w:fill="auto"/>
          </w:tcPr>
          <w:p w14:paraId="47581389" w14:textId="77777777" w:rsidR="00F20C1A" w:rsidRDefault="00F20C1A">
            <w:pPr>
              <w:rPr>
                <w:sz w:val="10"/>
                <w:szCs w:val="10"/>
              </w:rPr>
            </w:pPr>
          </w:p>
        </w:tc>
        <w:tc>
          <w:tcPr>
            <w:tcW w:w="670" w:type="dxa"/>
            <w:tcBorders>
              <w:top w:val="single" w:sz="4" w:space="0" w:color="auto"/>
            </w:tcBorders>
            <w:shd w:val="clear" w:color="auto" w:fill="auto"/>
          </w:tcPr>
          <w:p w14:paraId="18F24E88" w14:textId="77777777" w:rsidR="00F20C1A" w:rsidRDefault="00F20C1A">
            <w:pPr>
              <w:rPr>
                <w:sz w:val="10"/>
                <w:szCs w:val="10"/>
              </w:rPr>
            </w:pPr>
          </w:p>
        </w:tc>
        <w:tc>
          <w:tcPr>
            <w:tcW w:w="1044" w:type="dxa"/>
            <w:tcBorders>
              <w:top w:val="single" w:sz="4" w:space="0" w:color="auto"/>
              <w:right w:val="single" w:sz="4" w:space="0" w:color="auto"/>
            </w:tcBorders>
            <w:shd w:val="clear" w:color="auto" w:fill="auto"/>
          </w:tcPr>
          <w:p w14:paraId="22BB7021" w14:textId="77777777" w:rsidR="00F20C1A" w:rsidRDefault="00F20C1A">
            <w:pPr>
              <w:rPr>
                <w:sz w:val="10"/>
                <w:szCs w:val="10"/>
              </w:rPr>
            </w:pPr>
          </w:p>
        </w:tc>
      </w:tr>
      <w:tr w:rsidR="00F20C1A" w14:paraId="18136247" w14:textId="77777777">
        <w:tblPrEx>
          <w:tblCellMar>
            <w:top w:w="0" w:type="dxa"/>
            <w:bottom w:w="0" w:type="dxa"/>
          </w:tblCellMar>
        </w:tblPrEx>
        <w:trPr>
          <w:trHeight w:hRule="exact" w:val="238"/>
          <w:jc w:val="center"/>
        </w:trPr>
        <w:tc>
          <w:tcPr>
            <w:tcW w:w="4687" w:type="dxa"/>
            <w:tcBorders>
              <w:top w:val="single" w:sz="4" w:space="0" w:color="auto"/>
              <w:left w:val="single" w:sz="4" w:space="0" w:color="auto"/>
            </w:tcBorders>
            <w:shd w:val="clear" w:color="auto" w:fill="auto"/>
          </w:tcPr>
          <w:p w14:paraId="48C346AA" w14:textId="77777777" w:rsidR="00F20C1A" w:rsidRDefault="00000000">
            <w:pPr>
              <w:pStyle w:val="Other10"/>
            </w:pPr>
            <w:r>
              <w:rPr>
                <w:rStyle w:val="Other1"/>
              </w:rPr>
              <w:t xml:space="preserve">SW </w:t>
            </w:r>
            <w:proofErr w:type="spellStart"/>
            <w:proofErr w:type="gramStart"/>
            <w:r>
              <w:rPr>
                <w:rStyle w:val="Other1"/>
              </w:rPr>
              <w:t>ShiftMaster</w:t>
            </w:r>
            <w:proofErr w:type="spellEnd"/>
            <w:r>
              <w:rPr>
                <w:rStyle w:val="Other1"/>
              </w:rPr>
              <w:t xml:space="preserve"> - licence</w:t>
            </w:r>
            <w:proofErr w:type="gramEnd"/>
            <w:r>
              <w:rPr>
                <w:rStyle w:val="Other1"/>
              </w:rPr>
              <w:t xml:space="preserve"> na počet 1250 pracovníků</w:t>
            </w:r>
          </w:p>
        </w:tc>
        <w:tc>
          <w:tcPr>
            <w:tcW w:w="1310" w:type="dxa"/>
            <w:shd w:val="clear" w:color="auto" w:fill="auto"/>
          </w:tcPr>
          <w:p w14:paraId="067AD036" w14:textId="77777777" w:rsidR="00F20C1A" w:rsidRDefault="00000000">
            <w:pPr>
              <w:pStyle w:val="Other10"/>
              <w:ind w:firstLine="360"/>
            </w:pPr>
            <w:r>
              <w:rPr>
                <w:rStyle w:val="Other1"/>
              </w:rPr>
              <w:t>ks 1</w:t>
            </w:r>
          </w:p>
        </w:tc>
        <w:tc>
          <w:tcPr>
            <w:tcW w:w="986" w:type="dxa"/>
            <w:shd w:val="clear" w:color="auto" w:fill="auto"/>
          </w:tcPr>
          <w:p w14:paraId="30926309" w14:textId="5EEAFE5F" w:rsidR="00F20C1A" w:rsidRDefault="00F20C1A">
            <w:pPr>
              <w:pStyle w:val="Other10"/>
              <w:jc w:val="center"/>
            </w:pPr>
          </w:p>
        </w:tc>
        <w:tc>
          <w:tcPr>
            <w:tcW w:w="1066" w:type="dxa"/>
            <w:shd w:val="clear" w:color="auto" w:fill="auto"/>
          </w:tcPr>
          <w:p w14:paraId="7AEE2BAE" w14:textId="39ADE305" w:rsidR="00F20C1A" w:rsidRDefault="00F20C1A">
            <w:pPr>
              <w:pStyle w:val="Other10"/>
              <w:jc w:val="center"/>
            </w:pPr>
          </w:p>
        </w:tc>
        <w:tc>
          <w:tcPr>
            <w:tcW w:w="670" w:type="dxa"/>
            <w:shd w:val="clear" w:color="auto" w:fill="auto"/>
          </w:tcPr>
          <w:p w14:paraId="1E0EA321" w14:textId="77777777" w:rsidR="00F20C1A" w:rsidRDefault="00000000">
            <w:pPr>
              <w:pStyle w:val="Other10"/>
            </w:pPr>
            <w:proofErr w:type="gramStart"/>
            <w:r>
              <w:rPr>
                <w:rStyle w:val="Other1"/>
              </w:rPr>
              <w:t>21%</w:t>
            </w:r>
            <w:proofErr w:type="gramEnd"/>
          </w:p>
        </w:tc>
        <w:tc>
          <w:tcPr>
            <w:tcW w:w="1044" w:type="dxa"/>
            <w:tcBorders>
              <w:right w:val="single" w:sz="4" w:space="0" w:color="auto"/>
            </w:tcBorders>
            <w:shd w:val="clear" w:color="auto" w:fill="auto"/>
          </w:tcPr>
          <w:p w14:paraId="3294F8A3" w14:textId="4B835D7B" w:rsidR="00F20C1A" w:rsidRDefault="00F20C1A">
            <w:pPr>
              <w:pStyle w:val="Other10"/>
              <w:ind w:firstLine="220"/>
            </w:pPr>
          </w:p>
        </w:tc>
      </w:tr>
      <w:tr w:rsidR="00F20C1A" w14:paraId="0B0B2B08" w14:textId="77777777">
        <w:tblPrEx>
          <w:tblCellMar>
            <w:top w:w="0" w:type="dxa"/>
            <w:bottom w:w="0" w:type="dxa"/>
          </w:tblCellMar>
        </w:tblPrEx>
        <w:trPr>
          <w:trHeight w:hRule="exact" w:val="475"/>
          <w:jc w:val="center"/>
        </w:trPr>
        <w:tc>
          <w:tcPr>
            <w:tcW w:w="4687" w:type="dxa"/>
            <w:tcBorders>
              <w:left w:val="single" w:sz="4" w:space="0" w:color="auto"/>
            </w:tcBorders>
            <w:shd w:val="clear" w:color="auto" w:fill="auto"/>
          </w:tcPr>
          <w:p w14:paraId="3AAE0833" w14:textId="77777777" w:rsidR="00F20C1A" w:rsidRDefault="00000000">
            <w:pPr>
              <w:pStyle w:val="Other10"/>
            </w:pPr>
            <w:proofErr w:type="spellStart"/>
            <w:proofErr w:type="gramStart"/>
            <w:r>
              <w:rPr>
                <w:rStyle w:val="Other1"/>
              </w:rPr>
              <w:t>ShiftMaster</w:t>
            </w:r>
            <w:proofErr w:type="spellEnd"/>
            <w:r>
              <w:rPr>
                <w:rStyle w:val="Other1"/>
              </w:rPr>
              <w:t xml:space="preserve"> - konkurenčně</w:t>
            </w:r>
            <w:proofErr w:type="gramEnd"/>
            <w:r>
              <w:rPr>
                <w:rStyle w:val="Other1"/>
              </w:rPr>
              <w:t xml:space="preserve"> sdílené licence (15x)</w:t>
            </w:r>
          </w:p>
        </w:tc>
        <w:tc>
          <w:tcPr>
            <w:tcW w:w="1310" w:type="dxa"/>
            <w:shd w:val="clear" w:color="auto" w:fill="auto"/>
          </w:tcPr>
          <w:p w14:paraId="417D4E2A" w14:textId="77777777" w:rsidR="00F20C1A" w:rsidRDefault="00000000">
            <w:pPr>
              <w:pStyle w:val="Other10"/>
              <w:ind w:firstLine="360"/>
            </w:pPr>
            <w:r>
              <w:rPr>
                <w:rStyle w:val="Other1"/>
              </w:rPr>
              <w:t>ks 15</w:t>
            </w:r>
          </w:p>
        </w:tc>
        <w:tc>
          <w:tcPr>
            <w:tcW w:w="986" w:type="dxa"/>
            <w:shd w:val="clear" w:color="auto" w:fill="auto"/>
          </w:tcPr>
          <w:p w14:paraId="7F2C7F97" w14:textId="01EBBB76" w:rsidR="00F20C1A" w:rsidRDefault="00F20C1A">
            <w:pPr>
              <w:pStyle w:val="Other10"/>
              <w:jc w:val="center"/>
            </w:pPr>
          </w:p>
        </w:tc>
        <w:tc>
          <w:tcPr>
            <w:tcW w:w="1066" w:type="dxa"/>
            <w:shd w:val="clear" w:color="auto" w:fill="auto"/>
          </w:tcPr>
          <w:p w14:paraId="6927B7FE" w14:textId="782D6E41" w:rsidR="00F20C1A" w:rsidRDefault="00F20C1A">
            <w:pPr>
              <w:pStyle w:val="Other10"/>
              <w:jc w:val="center"/>
            </w:pPr>
          </w:p>
        </w:tc>
        <w:tc>
          <w:tcPr>
            <w:tcW w:w="670" w:type="dxa"/>
            <w:shd w:val="clear" w:color="auto" w:fill="auto"/>
          </w:tcPr>
          <w:p w14:paraId="33CA7A18" w14:textId="77777777" w:rsidR="00F20C1A" w:rsidRDefault="00000000">
            <w:pPr>
              <w:pStyle w:val="Other10"/>
            </w:pPr>
            <w:proofErr w:type="gramStart"/>
            <w:r>
              <w:rPr>
                <w:rStyle w:val="Other1"/>
              </w:rPr>
              <w:t>21%</w:t>
            </w:r>
            <w:proofErr w:type="gramEnd"/>
          </w:p>
        </w:tc>
        <w:tc>
          <w:tcPr>
            <w:tcW w:w="1044" w:type="dxa"/>
            <w:tcBorders>
              <w:right w:val="single" w:sz="4" w:space="0" w:color="auto"/>
            </w:tcBorders>
            <w:shd w:val="clear" w:color="auto" w:fill="auto"/>
          </w:tcPr>
          <w:p w14:paraId="79BAB6FE" w14:textId="09A619B2" w:rsidR="00F20C1A" w:rsidRDefault="00F20C1A">
            <w:pPr>
              <w:pStyle w:val="Other10"/>
              <w:ind w:firstLine="220"/>
            </w:pPr>
          </w:p>
        </w:tc>
      </w:tr>
      <w:tr w:rsidR="00F20C1A" w14:paraId="19B31F21" w14:textId="77777777">
        <w:tblPrEx>
          <w:tblCellMar>
            <w:top w:w="0" w:type="dxa"/>
            <w:bottom w:w="0" w:type="dxa"/>
          </w:tblCellMar>
        </w:tblPrEx>
        <w:trPr>
          <w:trHeight w:hRule="exact" w:val="259"/>
          <w:jc w:val="center"/>
        </w:trPr>
        <w:tc>
          <w:tcPr>
            <w:tcW w:w="4687" w:type="dxa"/>
            <w:tcBorders>
              <w:top w:val="single" w:sz="4" w:space="0" w:color="auto"/>
              <w:left w:val="single" w:sz="4" w:space="0" w:color="auto"/>
            </w:tcBorders>
            <w:shd w:val="clear" w:color="auto" w:fill="auto"/>
            <w:vAlign w:val="bottom"/>
          </w:tcPr>
          <w:p w14:paraId="467E9604" w14:textId="77777777" w:rsidR="00F20C1A" w:rsidRDefault="00000000">
            <w:pPr>
              <w:pStyle w:val="Other10"/>
            </w:pPr>
            <w:r>
              <w:rPr>
                <w:rStyle w:val="Other1"/>
                <w:color w:val="DE5A58"/>
              </w:rPr>
              <w:t>Náklady na SW licence celkem</w:t>
            </w:r>
          </w:p>
        </w:tc>
        <w:tc>
          <w:tcPr>
            <w:tcW w:w="1310" w:type="dxa"/>
            <w:tcBorders>
              <w:top w:val="single" w:sz="4" w:space="0" w:color="auto"/>
            </w:tcBorders>
            <w:shd w:val="clear" w:color="auto" w:fill="auto"/>
          </w:tcPr>
          <w:p w14:paraId="014DF591" w14:textId="77777777" w:rsidR="00F20C1A" w:rsidRDefault="00F20C1A">
            <w:pPr>
              <w:rPr>
                <w:sz w:val="10"/>
                <w:szCs w:val="10"/>
              </w:rPr>
            </w:pPr>
          </w:p>
        </w:tc>
        <w:tc>
          <w:tcPr>
            <w:tcW w:w="986" w:type="dxa"/>
            <w:tcBorders>
              <w:top w:val="single" w:sz="4" w:space="0" w:color="auto"/>
            </w:tcBorders>
            <w:shd w:val="clear" w:color="auto" w:fill="auto"/>
          </w:tcPr>
          <w:p w14:paraId="26D2748C" w14:textId="77777777" w:rsidR="00F20C1A" w:rsidRDefault="00F20C1A">
            <w:pPr>
              <w:rPr>
                <w:sz w:val="10"/>
                <w:szCs w:val="10"/>
              </w:rPr>
            </w:pPr>
          </w:p>
        </w:tc>
        <w:tc>
          <w:tcPr>
            <w:tcW w:w="1066" w:type="dxa"/>
            <w:tcBorders>
              <w:top w:val="single" w:sz="4" w:space="0" w:color="auto"/>
            </w:tcBorders>
            <w:shd w:val="clear" w:color="auto" w:fill="auto"/>
            <w:vAlign w:val="bottom"/>
          </w:tcPr>
          <w:p w14:paraId="72CDF387" w14:textId="77777777" w:rsidR="00F20C1A" w:rsidRDefault="00000000">
            <w:pPr>
              <w:pStyle w:val="Other10"/>
              <w:jc w:val="center"/>
            </w:pPr>
            <w:r>
              <w:rPr>
                <w:rStyle w:val="Other1"/>
                <w:color w:val="DE5A58"/>
              </w:rPr>
              <w:t>526 940</w:t>
            </w:r>
          </w:p>
        </w:tc>
        <w:tc>
          <w:tcPr>
            <w:tcW w:w="670" w:type="dxa"/>
            <w:tcBorders>
              <w:top w:val="single" w:sz="4" w:space="0" w:color="auto"/>
            </w:tcBorders>
            <w:shd w:val="clear" w:color="auto" w:fill="auto"/>
          </w:tcPr>
          <w:p w14:paraId="6204711F" w14:textId="77777777" w:rsidR="00F20C1A" w:rsidRDefault="00F20C1A">
            <w:pPr>
              <w:rPr>
                <w:sz w:val="10"/>
                <w:szCs w:val="10"/>
              </w:rPr>
            </w:pPr>
          </w:p>
        </w:tc>
        <w:tc>
          <w:tcPr>
            <w:tcW w:w="1044" w:type="dxa"/>
            <w:tcBorders>
              <w:top w:val="single" w:sz="4" w:space="0" w:color="auto"/>
              <w:right w:val="single" w:sz="4" w:space="0" w:color="auto"/>
            </w:tcBorders>
            <w:shd w:val="clear" w:color="auto" w:fill="auto"/>
            <w:vAlign w:val="bottom"/>
          </w:tcPr>
          <w:p w14:paraId="5F74AA38" w14:textId="77777777" w:rsidR="00F20C1A" w:rsidRDefault="00000000">
            <w:pPr>
              <w:pStyle w:val="Other10"/>
            </w:pPr>
            <w:r>
              <w:rPr>
                <w:rStyle w:val="Other1"/>
                <w:color w:val="DE5A58"/>
              </w:rPr>
              <w:t>637 598</w:t>
            </w:r>
          </w:p>
        </w:tc>
      </w:tr>
      <w:tr w:rsidR="00F20C1A" w14:paraId="6977ABA7" w14:textId="77777777">
        <w:tblPrEx>
          <w:tblCellMar>
            <w:top w:w="0" w:type="dxa"/>
            <w:bottom w:w="0" w:type="dxa"/>
          </w:tblCellMar>
        </w:tblPrEx>
        <w:trPr>
          <w:trHeight w:hRule="exact" w:val="331"/>
          <w:jc w:val="center"/>
        </w:trPr>
        <w:tc>
          <w:tcPr>
            <w:tcW w:w="4687" w:type="dxa"/>
            <w:tcBorders>
              <w:top w:val="single" w:sz="4" w:space="0" w:color="auto"/>
              <w:left w:val="single" w:sz="4" w:space="0" w:color="auto"/>
              <w:bottom w:val="single" w:sz="4" w:space="0" w:color="auto"/>
            </w:tcBorders>
            <w:shd w:val="clear" w:color="auto" w:fill="auto"/>
          </w:tcPr>
          <w:p w14:paraId="07BE0757" w14:textId="77777777" w:rsidR="00F20C1A" w:rsidRDefault="00000000">
            <w:pPr>
              <w:pStyle w:val="Other10"/>
            </w:pPr>
            <w:r>
              <w:rPr>
                <w:rStyle w:val="Other1"/>
                <w:color w:val="DE5A58"/>
              </w:rPr>
              <w:t>Cena Hot-Line podpory pro následné období</w:t>
            </w:r>
          </w:p>
        </w:tc>
        <w:tc>
          <w:tcPr>
            <w:tcW w:w="1310" w:type="dxa"/>
            <w:tcBorders>
              <w:top w:val="single" w:sz="4" w:space="0" w:color="auto"/>
              <w:bottom w:val="single" w:sz="4" w:space="0" w:color="auto"/>
            </w:tcBorders>
            <w:shd w:val="clear" w:color="auto" w:fill="auto"/>
          </w:tcPr>
          <w:p w14:paraId="202C399F" w14:textId="77777777" w:rsidR="00F20C1A" w:rsidRDefault="00F20C1A">
            <w:pPr>
              <w:rPr>
                <w:sz w:val="10"/>
                <w:szCs w:val="10"/>
              </w:rPr>
            </w:pPr>
          </w:p>
        </w:tc>
        <w:tc>
          <w:tcPr>
            <w:tcW w:w="986" w:type="dxa"/>
            <w:tcBorders>
              <w:top w:val="single" w:sz="4" w:space="0" w:color="auto"/>
              <w:bottom w:val="single" w:sz="4" w:space="0" w:color="auto"/>
            </w:tcBorders>
            <w:shd w:val="clear" w:color="auto" w:fill="auto"/>
          </w:tcPr>
          <w:p w14:paraId="5BAB5842" w14:textId="77777777" w:rsidR="00F20C1A" w:rsidRDefault="00F20C1A">
            <w:pPr>
              <w:rPr>
                <w:sz w:val="10"/>
                <w:szCs w:val="10"/>
              </w:rPr>
            </w:pPr>
          </w:p>
        </w:tc>
        <w:tc>
          <w:tcPr>
            <w:tcW w:w="1066" w:type="dxa"/>
            <w:tcBorders>
              <w:top w:val="single" w:sz="4" w:space="0" w:color="auto"/>
              <w:bottom w:val="single" w:sz="4" w:space="0" w:color="auto"/>
            </w:tcBorders>
            <w:shd w:val="clear" w:color="auto" w:fill="auto"/>
          </w:tcPr>
          <w:p w14:paraId="5765D177" w14:textId="77777777" w:rsidR="00F20C1A" w:rsidRDefault="00000000">
            <w:pPr>
              <w:pStyle w:val="Other10"/>
              <w:jc w:val="center"/>
            </w:pPr>
            <w:r>
              <w:rPr>
                <w:rStyle w:val="Other1"/>
                <w:color w:val="DE5A58"/>
              </w:rPr>
              <w:t>52 694</w:t>
            </w:r>
          </w:p>
        </w:tc>
        <w:tc>
          <w:tcPr>
            <w:tcW w:w="670" w:type="dxa"/>
            <w:tcBorders>
              <w:top w:val="single" w:sz="4" w:space="0" w:color="auto"/>
              <w:bottom w:val="single" w:sz="4" w:space="0" w:color="auto"/>
            </w:tcBorders>
            <w:shd w:val="clear" w:color="auto" w:fill="auto"/>
          </w:tcPr>
          <w:p w14:paraId="782194E0" w14:textId="77777777" w:rsidR="00F20C1A" w:rsidRDefault="00F20C1A">
            <w:pPr>
              <w:rPr>
                <w:sz w:val="10"/>
                <w:szCs w:val="10"/>
              </w:rPr>
            </w:pPr>
          </w:p>
        </w:tc>
        <w:tc>
          <w:tcPr>
            <w:tcW w:w="1044" w:type="dxa"/>
            <w:tcBorders>
              <w:top w:val="single" w:sz="4" w:space="0" w:color="auto"/>
              <w:bottom w:val="single" w:sz="4" w:space="0" w:color="auto"/>
              <w:right w:val="single" w:sz="4" w:space="0" w:color="auto"/>
            </w:tcBorders>
            <w:shd w:val="clear" w:color="auto" w:fill="auto"/>
          </w:tcPr>
          <w:p w14:paraId="3B593CA0" w14:textId="77777777" w:rsidR="00F20C1A" w:rsidRDefault="00000000">
            <w:pPr>
              <w:pStyle w:val="Other10"/>
              <w:ind w:firstLine="180"/>
            </w:pPr>
            <w:r>
              <w:rPr>
                <w:rStyle w:val="Other1"/>
                <w:color w:val="DE5A58"/>
              </w:rPr>
              <w:t>63 760</w:t>
            </w:r>
          </w:p>
        </w:tc>
      </w:tr>
    </w:tbl>
    <w:p w14:paraId="2F01043B" w14:textId="77777777" w:rsidR="00F20C1A" w:rsidRDefault="00F20C1A">
      <w:pPr>
        <w:spacing w:after="319" w:line="1" w:lineRule="exact"/>
      </w:pPr>
    </w:p>
    <w:p w14:paraId="550C07C0" w14:textId="77777777" w:rsidR="00F20C1A" w:rsidRDefault="00F20C1A">
      <w:pPr>
        <w:spacing w:line="1" w:lineRule="exact"/>
      </w:pPr>
    </w:p>
    <w:p w14:paraId="4992330E" w14:textId="77777777" w:rsidR="00F20C1A" w:rsidRDefault="00000000">
      <w:pPr>
        <w:pStyle w:val="Tablecaption10"/>
        <w:spacing w:after="0"/>
        <w:ind w:left="662" w:firstLine="0"/>
      </w:pPr>
      <w:r>
        <w:rPr>
          <w:rStyle w:val="Tablecaption1"/>
        </w:rPr>
        <w:t>c) Kalkulace ceny rozšíření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30"/>
        <w:gridCol w:w="1390"/>
        <w:gridCol w:w="965"/>
        <w:gridCol w:w="1073"/>
        <w:gridCol w:w="648"/>
        <w:gridCol w:w="1058"/>
      </w:tblGrid>
      <w:tr w:rsidR="00F20C1A" w14:paraId="1A7D991B" w14:textId="77777777">
        <w:tblPrEx>
          <w:tblCellMar>
            <w:top w:w="0" w:type="dxa"/>
            <w:bottom w:w="0" w:type="dxa"/>
          </w:tblCellMar>
        </w:tblPrEx>
        <w:trPr>
          <w:trHeight w:hRule="exact" w:val="562"/>
          <w:jc w:val="center"/>
        </w:trPr>
        <w:tc>
          <w:tcPr>
            <w:tcW w:w="4630" w:type="dxa"/>
            <w:tcBorders>
              <w:top w:val="single" w:sz="4" w:space="0" w:color="auto"/>
              <w:left w:val="single" w:sz="4" w:space="0" w:color="auto"/>
            </w:tcBorders>
            <w:shd w:val="clear" w:color="auto" w:fill="auto"/>
          </w:tcPr>
          <w:p w14:paraId="08BD85EB" w14:textId="77777777" w:rsidR="00F20C1A" w:rsidRDefault="00000000">
            <w:pPr>
              <w:pStyle w:val="Other10"/>
              <w:ind w:firstLine="960"/>
            </w:pPr>
            <w:r>
              <w:rPr>
                <w:rStyle w:val="Other1"/>
              </w:rPr>
              <w:t>kalkulace ceny rozšíření licence</w:t>
            </w:r>
          </w:p>
        </w:tc>
        <w:tc>
          <w:tcPr>
            <w:tcW w:w="1390" w:type="dxa"/>
            <w:tcBorders>
              <w:top w:val="single" w:sz="4" w:space="0" w:color="auto"/>
            </w:tcBorders>
            <w:shd w:val="clear" w:color="auto" w:fill="auto"/>
          </w:tcPr>
          <w:p w14:paraId="69C73613" w14:textId="77777777" w:rsidR="00F20C1A" w:rsidRDefault="00000000">
            <w:pPr>
              <w:pStyle w:val="Other10"/>
              <w:ind w:firstLine="260"/>
            </w:pPr>
            <w:proofErr w:type="spellStart"/>
            <w:r>
              <w:rPr>
                <w:rStyle w:val="Other1"/>
              </w:rPr>
              <w:t>jedn</w:t>
            </w:r>
            <w:proofErr w:type="spellEnd"/>
            <w:r>
              <w:rPr>
                <w:rStyle w:val="Other1"/>
              </w:rPr>
              <w:t>. poč.</w:t>
            </w:r>
          </w:p>
        </w:tc>
        <w:tc>
          <w:tcPr>
            <w:tcW w:w="965" w:type="dxa"/>
            <w:tcBorders>
              <w:top w:val="single" w:sz="4" w:space="0" w:color="auto"/>
            </w:tcBorders>
            <w:shd w:val="clear" w:color="auto" w:fill="auto"/>
          </w:tcPr>
          <w:p w14:paraId="1A726F77" w14:textId="77777777" w:rsidR="00F20C1A" w:rsidRDefault="00000000">
            <w:pPr>
              <w:pStyle w:val="Other10"/>
              <w:jc w:val="center"/>
            </w:pPr>
            <w:r>
              <w:rPr>
                <w:rStyle w:val="Other1"/>
              </w:rPr>
              <w:t>cena/ks</w:t>
            </w:r>
          </w:p>
        </w:tc>
        <w:tc>
          <w:tcPr>
            <w:tcW w:w="1073" w:type="dxa"/>
            <w:tcBorders>
              <w:top w:val="single" w:sz="4" w:space="0" w:color="auto"/>
            </w:tcBorders>
            <w:shd w:val="clear" w:color="auto" w:fill="auto"/>
          </w:tcPr>
          <w:p w14:paraId="332AE5AC" w14:textId="77777777" w:rsidR="00F20C1A" w:rsidRDefault="00000000">
            <w:pPr>
              <w:pStyle w:val="Other10"/>
              <w:jc w:val="center"/>
            </w:pPr>
            <w:r>
              <w:rPr>
                <w:rStyle w:val="Other1"/>
              </w:rPr>
              <w:t>cena bez DPH</w:t>
            </w:r>
          </w:p>
        </w:tc>
        <w:tc>
          <w:tcPr>
            <w:tcW w:w="648" w:type="dxa"/>
            <w:tcBorders>
              <w:top w:val="single" w:sz="4" w:space="0" w:color="auto"/>
            </w:tcBorders>
            <w:shd w:val="clear" w:color="auto" w:fill="auto"/>
          </w:tcPr>
          <w:p w14:paraId="0FB9CF3B" w14:textId="77777777" w:rsidR="00F20C1A" w:rsidRDefault="00000000">
            <w:pPr>
              <w:pStyle w:val="Other10"/>
            </w:pPr>
            <w:r>
              <w:rPr>
                <w:rStyle w:val="Other1"/>
              </w:rPr>
              <w:t>DPH</w:t>
            </w:r>
          </w:p>
        </w:tc>
        <w:tc>
          <w:tcPr>
            <w:tcW w:w="1058" w:type="dxa"/>
            <w:tcBorders>
              <w:top w:val="single" w:sz="4" w:space="0" w:color="auto"/>
              <w:right w:val="single" w:sz="4" w:space="0" w:color="auto"/>
            </w:tcBorders>
            <w:shd w:val="clear" w:color="auto" w:fill="auto"/>
          </w:tcPr>
          <w:p w14:paraId="664FB271" w14:textId="77777777" w:rsidR="00F20C1A" w:rsidRDefault="00000000">
            <w:pPr>
              <w:pStyle w:val="Other10"/>
              <w:jc w:val="center"/>
            </w:pPr>
            <w:r>
              <w:rPr>
                <w:rStyle w:val="Other1"/>
              </w:rPr>
              <w:t>cena vč. DPH</w:t>
            </w:r>
          </w:p>
        </w:tc>
      </w:tr>
      <w:tr w:rsidR="00F20C1A" w14:paraId="3BE974E4" w14:textId="77777777">
        <w:tblPrEx>
          <w:tblCellMar>
            <w:top w:w="0" w:type="dxa"/>
            <w:bottom w:w="0" w:type="dxa"/>
          </w:tblCellMar>
        </w:tblPrEx>
        <w:trPr>
          <w:trHeight w:hRule="exact" w:val="274"/>
          <w:jc w:val="center"/>
        </w:trPr>
        <w:tc>
          <w:tcPr>
            <w:tcW w:w="4630" w:type="dxa"/>
            <w:tcBorders>
              <w:top w:val="single" w:sz="4" w:space="0" w:color="auto"/>
              <w:left w:val="single" w:sz="4" w:space="0" w:color="auto"/>
            </w:tcBorders>
            <w:shd w:val="clear" w:color="auto" w:fill="auto"/>
            <w:vAlign w:val="bottom"/>
          </w:tcPr>
          <w:p w14:paraId="5F67648B" w14:textId="77777777" w:rsidR="00F20C1A" w:rsidRDefault="00000000">
            <w:pPr>
              <w:pStyle w:val="Other10"/>
            </w:pPr>
            <w:r>
              <w:rPr>
                <w:rStyle w:val="Other1"/>
              </w:rPr>
              <w:t xml:space="preserve">Doplatek </w:t>
            </w:r>
            <w:proofErr w:type="gramStart"/>
            <w:r>
              <w:rPr>
                <w:rStyle w:val="Other1"/>
              </w:rPr>
              <w:t>licence - výchozí</w:t>
            </w:r>
            <w:proofErr w:type="gramEnd"/>
            <w:r>
              <w:rPr>
                <w:rStyle w:val="Other1"/>
              </w:rPr>
              <w:t xml:space="preserve"> rozdílová cena</w:t>
            </w:r>
          </w:p>
        </w:tc>
        <w:tc>
          <w:tcPr>
            <w:tcW w:w="1390" w:type="dxa"/>
            <w:tcBorders>
              <w:top w:val="single" w:sz="4" w:space="0" w:color="auto"/>
            </w:tcBorders>
            <w:shd w:val="clear" w:color="auto" w:fill="auto"/>
            <w:vAlign w:val="bottom"/>
          </w:tcPr>
          <w:p w14:paraId="1C890A21" w14:textId="77777777" w:rsidR="00F20C1A" w:rsidRDefault="00000000">
            <w:pPr>
              <w:pStyle w:val="Other10"/>
              <w:ind w:firstLine="400"/>
            </w:pPr>
            <w:r>
              <w:rPr>
                <w:rStyle w:val="Other1"/>
              </w:rPr>
              <w:t>ks 1</w:t>
            </w:r>
          </w:p>
        </w:tc>
        <w:tc>
          <w:tcPr>
            <w:tcW w:w="965" w:type="dxa"/>
            <w:tcBorders>
              <w:top w:val="single" w:sz="4" w:space="0" w:color="auto"/>
            </w:tcBorders>
            <w:shd w:val="clear" w:color="auto" w:fill="auto"/>
            <w:vAlign w:val="bottom"/>
          </w:tcPr>
          <w:p w14:paraId="50566177" w14:textId="2C8FCB77" w:rsidR="00F20C1A" w:rsidRDefault="00F20C1A">
            <w:pPr>
              <w:pStyle w:val="Other10"/>
              <w:jc w:val="center"/>
            </w:pPr>
          </w:p>
        </w:tc>
        <w:tc>
          <w:tcPr>
            <w:tcW w:w="1073" w:type="dxa"/>
            <w:tcBorders>
              <w:top w:val="single" w:sz="4" w:space="0" w:color="auto"/>
            </w:tcBorders>
            <w:shd w:val="clear" w:color="auto" w:fill="auto"/>
            <w:vAlign w:val="bottom"/>
          </w:tcPr>
          <w:p w14:paraId="1CE5E507" w14:textId="44347C42" w:rsidR="00F20C1A" w:rsidRDefault="00F20C1A">
            <w:pPr>
              <w:pStyle w:val="Other10"/>
              <w:jc w:val="center"/>
            </w:pPr>
          </w:p>
        </w:tc>
        <w:tc>
          <w:tcPr>
            <w:tcW w:w="648" w:type="dxa"/>
            <w:tcBorders>
              <w:top w:val="single" w:sz="4" w:space="0" w:color="auto"/>
            </w:tcBorders>
            <w:shd w:val="clear" w:color="auto" w:fill="auto"/>
            <w:vAlign w:val="bottom"/>
          </w:tcPr>
          <w:p w14:paraId="3A900C5E" w14:textId="77777777" w:rsidR="00F20C1A" w:rsidRDefault="00000000">
            <w:pPr>
              <w:pStyle w:val="Other10"/>
            </w:pPr>
            <w:proofErr w:type="gramStart"/>
            <w:r>
              <w:rPr>
                <w:rStyle w:val="Other1"/>
              </w:rPr>
              <w:t>21%</w:t>
            </w:r>
            <w:proofErr w:type="gramEnd"/>
          </w:p>
        </w:tc>
        <w:tc>
          <w:tcPr>
            <w:tcW w:w="1058" w:type="dxa"/>
            <w:tcBorders>
              <w:top w:val="single" w:sz="4" w:space="0" w:color="auto"/>
              <w:right w:val="single" w:sz="4" w:space="0" w:color="auto"/>
            </w:tcBorders>
            <w:shd w:val="clear" w:color="auto" w:fill="auto"/>
            <w:vAlign w:val="bottom"/>
          </w:tcPr>
          <w:p w14:paraId="43374F49" w14:textId="76795924" w:rsidR="00F20C1A" w:rsidRDefault="00F20C1A">
            <w:pPr>
              <w:pStyle w:val="Other10"/>
            </w:pPr>
          </w:p>
        </w:tc>
      </w:tr>
      <w:tr w:rsidR="00F20C1A" w14:paraId="19DB85A5" w14:textId="77777777">
        <w:tblPrEx>
          <w:tblCellMar>
            <w:top w:w="0" w:type="dxa"/>
            <w:bottom w:w="0" w:type="dxa"/>
          </w:tblCellMar>
        </w:tblPrEx>
        <w:trPr>
          <w:trHeight w:hRule="exact" w:val="482"/>
          <w:jc w:val="center"/>
        </w:trPr>
        <w:tc>
          <w:tcPr>
            <w:tcW w:w="4630" w:type="dxa"/>
            <w:tcBorders>
              <w:left w:val="single" w:sz="4" w:space="0" w:color="auto"/>
            </w:tcBorders>
            <w:shd w:val="clear" w:color="auto" w:fill="auto"/>
          </w:tcPr>
          <w:p w14:paraId="063632B6" w14:textId="77777777" w:rsidR="00F20C1A" w:rsidRDefault="00000000">
            <w:pPr>
              <w:pStyle w:val="Other10"/>
            </w:pPr>
            <w:r>
              <w:rPr>
                <w:rStyle w:val="Other1"/>
              </w:rPr>
              <w:t>Sleva na nákup licence 10 %</w:t>
            </w:r>
          </w:p>
        </w:tc>
        <w:tc>
          <w:tcPr>
            <w:tcW w:w="1390" w:type="dxa"/>
            <w:shd w:val="clear" w:color="auto" w:fill="auto"/>
          </w:tcPr>
          <w:p w14:paraId="68442876" w14:textId="77777777" w:rsidR="00F20C1A" w:rsidRDefault="00000000">
            <w:pPr>
              <w:pStyle w:val="Other10"/>
              <w:ind w:firstLine="400"/>
            </w:pPr>
            <w:r>
              <w:rPr>
                <w:rStyle w:val="Other1"/>
              </w:rPr>
              <w:t>ks -1</w:t>
            </w:r>
          </w:p>
        </w:tc>
        <w:tc>
          <w:tcPr>
            <w:tcW w:w="965" w:type="dxa"/>
            <w:shd w:val="clear" w:color="auto" w:fill="auto"/>
          </w:tcPr>
          <w:p w14:paraId="19D1277D" w14:textId="1CB56892" w:rsidR="00F20C1A" w:rsidRDefault="00F20C1A">
            <w:pPr>
              <w:pStyle w:val="Other10"/>
              <w:jc w:val="center"/>
            </w:pPr>
          </w:p>
        </w:tc>
        <w:tc>
          <w:tcPr>
            <w:tcW w:w="1073" w:type="dxa"/>
            <w:shd w:val="clear" w:color="auto" w:fill="auto"/>
          </w:tcPr>
          <w:p w14:paraId="07E49A1D" w14:textId="237D65C1" w:rsidR="00F20C1A" w:rsidRDefault="00F20C1A">
            <w:pPr>
              <w:pStyle w:val="Other10"/>
              <w:jc w:val="center"/>
            </w:pPr>
          </w:p>
        </w:tc>
        <w:tc>
          <w:tcPr>
            <w:tcW w:w="648" w:type="dxa"/>
            <w:shd w:val="clear" w:color="auto" w:fill="auto"/>
          </w:tcPr>
          <w:p w14:paraId="67F90ABF" w14:textId="77777777" w:rsidR="00F20C1A" w:rsidRDefault="00000000">
            <w:pPr>
              <w:pStyle w:val="Other10"/>
            </w:pPr>
            <w:proofErr w:type="gramStart"/>
            <w:r>
              <w:rPr>
                <w:rStyle w:val="Other1"/>
              </w:rPr>
              <w:t>21%</w:t>
            </w:r>
            <w:proofErr w:type="gramEnd"/>
          </w:p>
        </w:tc>
        <w:tc>
          <w:tcPr>
            <w:tcW w:w="1058" w:type="dxa"/>
            <w:tcBorders>
              <w:right w:val="single" w:sz="4" w:space="0" w:color="auto"/>
            </w:tcBorders>
            <w:shd w:val="clear" w:color="auto" w:fill="auto"/>
          </w:tcPr>
          <w:p w14:paraId="581E34C6" w14:textId="285DAB72" w:rsidR="00F20C1A" w:rsidRDefault="00F20C1A">
            <w:pPr>
              <w:pStyle w:val="Other10"/>
            </w:pPr>
          </w:p>
        </w:tc>
      </w:tr>
      <w:tr w:rsidR="00F20C1A" w14:paraId="1F2156DA" w14:textId="77777777">
        <w:tblPrEx>
          <w:tblCellMar>
            <w:top w:w="0" w:type="dxa"/>
            <w:bottom w:w="0" w:type="dxa"/>
          </w:tblCellMar>
        </w:tblPrEx>
        <w:trPr>
          <w:trHeight w:hRule="exact" w:val="331"/>
          <w:jc w:val="center"/>
        </w:trPr>
        <w:tc>
          <w:tcPr>
            <w:tcW w:w="4630" w:type="dxa"/>
            <w:tcBorders>
              <w:top w:val="single" w:sz="4" w:space="0" w:color="auto"/>
              <w:left w:val="single" w:sz="4" w:space="0" w:color="auto"/>
              <w:bottom w:val="single" w:sz="4" w:space="0" w:color="auto"/>
            </w:tcBorders>
            <w:shd w:val="clear" w:color="auto" w:fill="FFFD39"/>
          </w:tcPr>
          <w:p w14:paraId="15A2CC22" w14:textId="77777777" w:rsidR="00F20C1A" w:rsidRDefault="00F20C1A">
            <w:pPr>
              <w:rPr>
                <w:sz w:val="10"/>
                <w:szCs w:val="10"/>
              </w:rPr>
            </w:pPr>
          </w:p>
        </w:tc>
        <w:tc>
          <w:tcPr>
            <w:tcW w:w="1390" w:type="dxa"/>
            <w:tcBorders>
              <w:top w:val="single" w:sz="4" w:space="0" w:color="auto"/>
              <w:bottom w:val="single" w:sz="4" w:space="0" w:color="auto"/>
            </w:tcBorders>
            <w:shd w:val="clear" w:color="auto" w:fill="FFFD39"/>
          </w:tcPr>
          <w:p w14:paraId="217DE8E1" w14:textId="77777777" w:rsidR="00F20C1A" w:rsidRDefault="00F20C1A">
            <w:pPr>
              <w:rPr>
                <w:sz w:val="10"/>
                <w:szCs w:val="10"/>
              </w:rPr>
            </w:pPr>
          </w:p>
        </w:tc>
        <w:tc>
          <w:tcPr>
            <w:tcW w:w="965" w:type="dxa"/>
            <w:tcBorders>
              <w:top w:val="single" w:sz="4" w:space="0" w:color="auto"/>
              <w:bottom w:val="single" w:sz="4" w:space="0" w:color="auto"/>
            </w:tcBorders>
            <w:shd w:val="clear" w:color="auto" w:fill="FFFD39"/>
          </w:tcPr>
          <w:p w14:paraId="765BBFE0" w14:textId="77777777" w:rsidR="00F20C1A" w:rsidRDefault="00F20C1A">
            <w:pPr>
              <w:rPr>
                <w:sz w:val="10"/>
                <w:szCs w:val="10"/>
              </w:rPr>
            </w:pPr>
          </w:p>
        </w:tc>
        <w:tc>
          <w:tcPr>
            <w:tcW w:w="1073" w:type="dxa"/>
            <w:tcBorders>
              <w:top w:val="single" w:sz="4" w:space="0" w:color="auto"/>
              <w:bottom w:val="single" w:sz="4" w:space="0" w:color="auto"/>
            </w:tcBorders>
            <w:shd w:val="clear" w:color="auto" w:fill="FFFD39"/>
          </w:tcPr>
          <w:p w14:paraId="38DCE0CC" w14:textId="77777777" w:rsidR="00F20C1A" w:rsidRDefault="00000000">
            <w:pPr>
              <w:pStyle w:val="Other10"/>
              <w:jc w:val="center"/>
            </w:pPr>
            <w:r>
              <w:rPr>
                <w:rStyle w:val="Other1"/>
                <w:color w:val="DE5A58"/>
              </w:rPr>
              <w:t>45 951</w:t>
            </w:r>
          </w:p>
        </w:tc>
        <w:tc>
          <w:tcPr>
            <w:tcW w:w="648" w:type="dxa"/>
            <w:tcBorders>
              <w:top w:val="single" w:sz="4" w:space="0" w:color="auto"/>
              <w:bottom w:val="single" w:sz="4" w:space="0" w:color="auto"/>
            </w:tcBorders>
            <w:shd w:val="clear" w:color="auto" w:fill="FFFD39"/>
          </w:tcPr>
          <w:p w14:paraId="0CA8C5A8" w14:textId="77777777" w:rsidR="00F20C1A" w:rsidRDefault="00F20C1A">
            <w:pPr>
              <w:rPr>
                <w:sz w:val="10"/>
                <w:szCs w:val="10"/>
              </w:rPr>
            </w:pPr>
          </w:p>
        </w:tc>
        <w:tc>
          <w:tcPr>
            <w:tcW w:w="1058" w:type="dxa"/>
            <w:tcBorders>
              <w:top w:val="single" w:sz="4" w:space="0" w:color="auto"/>
              <w:bottom w:val="single" w:sz="4" w:space="0" w:color="auto"/>
              <w:right w:val="single" w:sz="4" w:space="0" w:color="auto"/>
            </w:tcBorders>
            <w:shd w:val="clear" w:color="auto" w:fill="FFFD39"/>
          </w:tcPr>
          <w:p w14:paraId="41B385D0" w14:textId="77777777" w:rsidR="00F20C1A" w:rsidRDefault="00000000">
            <w:pPr>
              <w:pStyle w:val="Other10"/>
              <w:jc w:val="center"/>
            </w:pPr>
            <w:r>
              <w:rPr>
                <w:rStyle w:val="Other1"/>
                <w:color w:val="DE5A58"/>
              </w:rPr>
              <w:t>55 600</w:t>
            </w:r>
          </w:p>
        </w:tc>
      </w:tr>
    </w:tbl>
    <w:p w14:paraId="5D0DBE50" w14:textId="77777777" w:rsidR="00F20C1A" w:rsidRDefault="00F20C1A">
      <w:pPr>
        <w:spacing w:after="319" w:line="1" w:lineRule="exact"/>
      </w:pPr>
    </w:p>
    <w:p w14:paraId="734AEA16" w14:textId="77777777" w:rsidR="00F20C1A" w:rsidRDefault="00000000">
      <w:pPr>
        <w:pStyle w:val="Bodytext10"/>
        <w:spacing w:after="280"/>
        <w:ind w:left="660"/>
      </w:pPr>
      <w:r>
        <w:rPr>
          <w:rStyle w:val="Bodytext1"/>
        </w:rPr>
        <w:t>Cena rozšíření SW tvořící rozdíl mezi cenami licence činí 45.951, - Kč bez DPH. V souladu se zákonem o DPH přistupuje k této částce aktuální sazba DPH.</w:t>
      </w:r>
    </w:p>
    <w:p w14:paraId="1C0344D5" w14:textId="77777777" w:rsidR="00F20C1A" w:rsidRDefault="00000000">
      <w:pPr>
        <w:pStyle w:val="Bodytext10"/>
        <w:spacing w:after="660" w:line="252" w:lineRule="auto"/>
        <w:ind w:left="1020" w:hanging="360"/>
      </w:pPr>
      <w:r>
        <w:rPr>
          <w:rStyle w:val="Bodytext1"/>
          <w:rFonts w:ascii="Times New Roman" w:eastAsia="Times New Roman" w:hAnsi="Times New Roman" w:cs="Times New Roman"/>
          <w:sz w:val="20"/>
          <w:szCs w:val="20"/>
        </w:rPr>
        <w:t xml:space="preserve">d) </w:t>
      </w:r>
      <w:r>
        <w:rPr>
          <w:rStyle w:val="Bodytext1"/>
        </w:rPr>
        <w:t xml:space="preserve">Pro další období je v souladu se základní smlouvou nově stanovena cena Hot-Line a SW podpory ve výši </w:t>
      </w:r>
      <w:proofErr w:type="gramStart"/>
      <w:r>
        <w:rPr>
          <w:rStyle w:val="Bodytext1"/>
        </w:rPr>
        <w:t>52.694,-</w:t>
      </w:r>
      <w:proofErr w:type="gramEnd"/>
      <w:r>
        <w:rPr>
          <w:rStyle w:val="Bodytext1"/>
        </w:rPr>
        <w:t xml:space="preserve"> Kč bez DPH ročně. V souladu se zákonem o DPH přistupuje k této částce aktuální sazba DPH.</w:t>
      </w:r>
    </w:p>
    <w:p w14:paraId="44745627" w14:textId="77777777" w:rsidR="00F20C1A" w:rsidRDefault="00F20C1A">
      <w:pPr>
        <w:pStyle w:val="Heading210"/>
        <w:keepNext/>
        <w:keepLines/>
        <w:numPr>
          <w:ilvl w:val="0"/>
          <w:numId w:val="1"/>
        </w:numPr>
        <w:spacing w:after="0"/>
      </w:pPr>
      <w:bookmarkStart w:id="6" w:name="bookmark13"/>
      <w:bookmarkEnd w:id="6"/>
    </w:p>
    <w:p w14:paraId="3E19E78A" w14:textId="77777777" w:rsidR="00F20C1A" w:rsidRDefault="00000000">
      <w:pPr>
        <w:pStyle w:val="Heading210"/>
        <w:keepNext/>
        <w:keepLines/>
        <w:spacing w:after="280"/>
      </w:pPr>
      <w:bookmarkStart w:id="7" w:name="bookmark15"/>
      <w:r>
        <w:rPr>
          <w:rStyle w:val="Heading21"/>
        </w:rPr>
        <w:t>Úprava ceníku „služby a výkony“ nad rámec Hot-Line</w:t>
      </w:r>
      <w:bookmarkEnd w:id="7"/>
    </w:p>
    <w:p w14:paraId="02D47D04" w14:textId="77777777" w:rsidR="00F20C1A" w:rsidRDefault="00000000">
      <w:pPr>
        <w:pStyle w:val="Bodytext10"/>
        <w:spacing w:after="180"/>
        <w:ind w:left="660"/>
      </w:pPr>
      <w:r>
        <w:rPr>
          <w:rStyle w:val="Bodytext1"/>
        </w:rPr>
        <w:t>Pro podporu SW produktu nad rámec základní Hot-Line jsou poskytnuté výkony účtovány podle ceníku pro rok 2025 níže. Výkony jsou realizovány po odsouhlasení kupujícím.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5616"/>
        <w:gridCol w:w="1109"/>
        <w:gridCol w:w="1008"/>
      </w:tblGrid>
      <w:tr w:rsidR="00F20C1A" w14:paraId="452714BB" w14:textId="77777777">
        <w:tblPrEx>
          <w:tblCellMar>
            <w:top w:w="0" w:type="dxa"/>
            <w:bottom w:w="0" w:type="dxa"/>
          </w:tblCellMar>
        </w:tblPrEx>
        <w:trPr>
          <w:trHeight w:hRule="exact" w:val="317"/>
          <w:jc w:val="center"/>
        </w:trPr>
        <w:tc>
          <w:tcPr>
            <w:tcW w:w="8655" w:type="dxa"/>
            <w:gridSpan w:val="4"/>
            <w:tcBorders>
              <w:top w:val="single" w:sz="4" w:space="0" w:color="auto"/>
              <w:left w:val="single" w:sz="4" w:space="0" w:color="auto"/>
              <w:right w:val="single" w:sz="4" w:space="0" w:color="auto"/>
            </w:tcBorders>
            <w:shd w:val="clear" w:color="auto" w:fill="auto"/>
            <w:vAlign w:val="bottom"/>
          </w:tcPr>
          <w:p w14:paraId="2CCCBACD" w14:textId="77777777" w:rsidR="00F20C1A" w:rsidRDefault="00000000">
            <w:pPr>
              <w:pStyle w:val="Other10"/>
              <w:jc w:val="center"/>
            </w:pPr>
            <w:proofErr w:type="gramStart"/>
            <w:r>
              <w:rPr>
                <w:rStyle w:val="Other1"/>
                <w:i/>
                <w:iCs/>
              </w:rPr>
              <w:t>CENÍK - SLUŽBY</w:t>
            </w:r>
            <w:proofErr w:type="gramEnd"/>
            <w:r>
              <w:rPr>
                <w:rStyle w:val="Other1"/>
                <w:i/>
                <w:iCs/>
              </w:rPr>
              <w:t xml:space="preserve"> a VÝKONY nad sjednaný rámec podpory - rok 2025</w:t>
            </w:r>
          </w:p>
        </w:tc>
      </w:tr>
      <w:tr w:rsidR="00F20C1A" w14:paraId="3F6F3CD0" w14:textId="77777777">
        <w:tblPrEx>
          <w:tblCellMar>
            <w:top w:w="0" w:type="dxa"/>
            <w:bottom w:w="0" w:type="dxa"/>
          </w:tblCellMar>
        </w:tblPrEx>
        <w:trPr>
          <w:trHeight w:hRule="exact" w:val="288"/>
          <w:jc w:val="center"/>
        </w:trPr>
        <w:tc>
          <w:tcPr>
            <w:tcW w:w="922" w:type="dxa"/>
            <w:tcBorders>
              <w:top w:val="single" w:sz="4" w:space="0" w:color="auto"/>
              <w:left w:val="single" w:sz="4" w:space="0" w:color="auto"/>
            </w:tcBorders>
            <w:shd w:val="clear" w:color="auto" w:fill="auto"/>
            <w:vAlign w:val="bottom"/>
          </w:tcPr>
          <w:p w14:paraId="075314A4" w14:textId="77777777" w:rsidR="00F20C1A" w:rsidRDefault="00000000">
            <w:pPr>
              <w:pStyle w:val="Other10"/>
              <w:jc w:val="both"/>
            </w:pPr>
            <w:proofErr w:type="spellStart"/>
            <w:r>
              <w:rPr>
                <w:rStyle w:val="Other1"/>
              </w:rPr>
              <w:t>obj</w:t>
            </w:r>
            <w:proofErr w:type="spellEnd"/>
            <w:r>
              <w:rPr>
                <w:rStyle w:val="Other1"/>
              </w:rPr>
              <w:t>. kód</w:t>
            </w:r>
          </w:p>
        </w:tc>
        <w:tc>
          <w:tcPr>
            <w:tcW w:w="5616" w:type="dxa"/>
            <w:tcBorders>
              <w:top w:val="single" w:sz="4" w:space="0" w:color="auto"/>
            </w:tcBorders>
            <w:shd w:val="clear" w:color="auto" w:fill="auto"/>
            <w:vAlign w:val="bottom"/>
          </w:tcPr>
          <w:p w14:paraId="194B8EBA" w14:textId="77777777" w:rsidR="00F20C1A" w:rsidRDefault="00000000">
            <w:pPr>
              <w:pStyle w:val="Other10"/>
            </w:pPr>
            <w:r>
              <w:rPr>
                <w:rStyle w:val="Other1"/>
              </w:rPr>
              <w:t>Název položky</w:t>
            </w:r>
          </w:p>
        </w:tc>
        <w:tc>
          <w:tcPr>
            <w:tcW w:w="1109" w:type="dxa"/>
            <w:tcBorders>
              <w:top w:val="single" w:sz="4" w:space="0" w:color="auto"/>
            </w:tcBorders>
            <w:shd w:val="clear" w:color="auto" w:fill="auto"/>
            <w:vAlign w:val="bottom"/>
          </w:tcPr>
          <w:p w14:paraId="02AF436D" w14:textId="77777777" w:rsidR="00F20C1A" w:rsidRDefault="00000000">
            <w:pPr>
              <w:pStyle w:val="Other10"/>
              <w:jc w:val="right"/>
            </w:pPr>
            <w:proofErr w:type="spellStart"/>
            <w:r>
              <w:rPr>
                <w:rStyle w:val="Other1"/>
              </w:rPr>
              <w:t>jedn</w:t>
            </w:r>
            <w:proofErr w:type="spellEnd"/>
            <w:r>
              <w:rPr>
                <w:rStyle w:val="Other1"/>
              </w:rPr>
              <w:t>.</w:t>
            </w:r>
          </w:p>
        </w:tc>
        <w:tc>
          <w:tcPr>
            <w:tcW w:w="1008" w:type="dxa"/>
            <w:tcBorders>
              <w:top w:val="single" w:sz="4" w:space="0" w:color="auto"/>
              <w:right w:val="single" w:sz="4" w:space="0" w:color="auto"/>
            </w:tcBorders>
            <w:shd w:val="clear" w:color="auto" w:fill="auto"/>
            <w:vAlign w:val="bottom"/>
          </w:tcPr>
          <w:p w14:paraId="18BA5583" w14:textId="77777777" w:rsidR="00F20C1A" w:rsidRDefault="00000000">
            <w:pPr>
              <w:pStyle w:val="Other10"/>
              <w:ind w:firstLine="240"/>
            </w:pPr>
            <w:r>
              <w:rPr>
                <w:rStyle w:val="Other1"/>
              </w:rPr>
              <w:t>cena</w:t>
            </w:r>
          </w:p>
        </w:tc>
      </w:tr>
      <w:tr w:rsidR="00F20C1A" w14:paraId="3A694A9B" w14:textId="77777777">
        <w:tblPrEx>
          <w:tblCellMar>
            <w:top w:w="0" w:type="dxa"/>
            <w:bottom w:w="0" w:type="dxa"/>
          </w:tblCellMar>
        </w:tblPrEx>
        <w:trPr>
          <w:trHeight w:hRule="exact" w:val="295"/>
          <w:jc w:val="center"/>
        </w:trPr>
        <w:tc>
          <w:tcPr>
            <w:tcW w:w="922" w:type="dxa"/>
            <w:tcBorders>
              <w:top w:val="single" w:sz="4" w:space="0" w:color="auto"/>
              <w:left w:val="single" w:sz="4" w:space="0" w:color="auto"/>
            </w:tcBorders>
            <w:shd w:val="clear" w:color="auto" w:fill="auto"/>
          </w:tcPr>
          <w:p w14:paraId="297CC737" w14:textId="77777777" w:rsidR="00F20C1A" w:rsidRDefault="00F20C1A">
            <w:pPr>
              <w:rPr>
                <w:sz w:val="10"/>
                <w:szCs w:val="10"/>
              </w:rPr>
            </w:pPr>
          </w:p>
        </w:tc>
        <w:tc>
          <w:tcPr>
            <w:tcW w:w="5616" w:type="dxa"/>
            <w:tcBorders>
              <w:top w:val="single" w:sz="4" w:space="0" w:color="auto"/>
            </w:tcBorders>
            <w:shd w:val="clear" w:color="auto" w:fill="auto"/>
            <w:vAlign w:val="bottom"/>
          </w:tcPr>
          <w:p w14:paraId="32F33FAE" w14:textId="77777777" w:rsidR="00F20C1A" w:rsidRDefault="00000000">
            <w:pPr>
              <w:pStyle w:val="Other10"/>
            </w:pPr>
            <w:r>
              <w:rPr>
                <w:rStyle w:val="Other1"/>
                <w:i/>
                <w:iCs/>
              </w:rPr>
              <w:t>servisní výkony</w:t>
            </w:r>
          </w:p>
        </w:tc>
        <w:tc>
          <w:tcPr>
            <w:tcW w:w="1109" w:type="dxa"/>
            <w:tcBorders>
              <w:top w:val="single" w:sz="4" w:space="0" w:color="auto"/>
            </w:tcBorders>
            <w:shd w:val="clear" w:color="auto" w:fill="auto"/>
          </w:tcPr>
          <w:p w14:paraId="38DEC09E" w14:textId="77777777" w:rsidR="00F20C1A" w:rsidRDefault="00F20C1A">
            <w:pPr>
              <w:rPr>
                <w:sz w:val="10"/>
                <w:szCs w:val="10"/>
              </w:rPr>
            </w:pPr>
          </w:p>
        </w:tc>
        <w:tc>
          <w:tcPr>
            <w:tcW w:w="1008" w:type="dxa"/>
            <w:tcBorders>
              <w:top w:val="single" w:sz="4" w:space="0" w:color="auto"/>
              <w:right w:val="single" w:sz="4" w:space="0" w:color="auto"/>
            </w:tcBorders>
            <w:shd w:val="clear" w:color="auto" w:fill="auto"/>
            <w:vAlign w:val="bottom"/>
          </w:tcPr>
          <w:p w14:paraId="54902F09" w14:textId="77777777" w:rsidR="00F20C1A" w:rsidRDefault="00000000">
            <w:pPr>
              <w:pStyle w:val="Other10"/>
              <w:jc w:val="center"/>
            </w:pPr>
            <w:r>
              <w:rPr>
                <w:rStyle w:val="Other1"/>
              </w:rPr>
              <w:t>bez DPH</w:t>
            </w:r>
          </w:p>
        </w:tc>
      </w:tr>
      <w:tr w:rsidR="00F20C1A" w14:paraId="69948534" w14:textId="77777777">
        <w:tblPrEx>
          <w:tblCellMar>
            <w:top w:w="0" w:type="dxa"/>
            <w:bottom w:w="0" w:type="dxa"/>
          </w:tblCellMar>
        </w:tblPrEx>
        <w:trPr>
          <w:trHeight w:hRule="exact" w:val="310"/>
          <w:jc w:val="center"/>
        </w:trPr>
        <w:tc>
          <w:tcPr>
            <w:tcW w:w="922" w:type="dxa"/>
            <w:tcBorders>
              <w:top w:val="single" w:sz="4" w:space="0" w:color="auto"/>
              <w:left w:val="single" w:sz="4" w:space="0" w:color="auto"/>
            </w:tcBorders>
            <w:shd w:val="clear" w:color="auto" w:fill="auto"/>
            <w:vAlign w:val="bottom"/>
          </w:tcPr>
          <w:p w14:paraId="745FEA15" w14:textId="77777777" w:rsidR="00F20C1A" w:rsidRDefault="00000000">
            <w:pPr>
              <w:pStyle w:val="Other10"/>
              <w:jc w:val="both"/>
              <w:rPr>
                <w:sz w:val="15"/>
                <w:szCs w:val="15"/>
              </w:rPr>
            </w:pPr>
            <w:r>
              <w:rPr>
                <w:rStyle w:val="Other1"/>
                <w:sz w:val="15"/>
                <w:szCs w:val="15"/>
              </w:rPr>
              <w:t>SL20001</w:t>
            </w:r>
          </w:p>
        </w:tc>
        <w:tc>
          <w:tcPr>
            <w:tcW w:w="5616" w:type="dxa"/>
            <w:tcBorders>
              <w:top w:val="single" w:sz="4" w:space="0" w:color="auto"/>
            </w:tcBorders>
            <w:shd w:val="clear" w:color="auto" w:fill="auto"/>
            <w:vAlign w:val="bottom"/>
          </w:tcPr>
          <w:p w14:paraId="1EA4164D" w14:textId="77777777" w:rsidR="00F20C1A" w:rsidRDefault="00000000">
            <w:pPr>
              <w:pStyle w:val="Other10"/>
              <w:rPr>
                <w:sz w:val="15"/>
                <w:szCs w:val="15"/>
              </w:rPr>
            </w:pPr>
            <w:r>
              <w:rPr>
                <w:rStyle w:val="Other1"/>
                <w:sz w:val="15"/>
                <w:szCs w:val="15"/>
              </w:rPr>
              <w:t xml:space="preserve">servis </w:t>
            </w:r>
            <w:proofErr w:type="spellStart"/>
            <w:r>
              <w:rPr>
                <w:rStyle w:val="Other1"/>
                <w:sz w:val="15"/>
                <w:szCs w:val="15"/>
              </w:rPr>
              <w:t>HWext</w:t>
            </w:r>
            <w:proofErr w:type="spellEnd"/>
            <w:r>
              <w:rPr>
                <w:rStyle w:val="Other1"/>
                <w:sz w:val="15"/>
                <w:szCs w:val="15"/>
              </w:rPr>
              <w:t xml:space="preserve">. </w:t>
            </w:r>
            <w:proofErr w:type="gramStart"/>
            <w:r>
              <w:rPr>
                <w:rStyle w:val="Other1"/>
                <w:sz w:val="15"/>
                <w:szCs w:val="15"/>
              </w:rPr>
              <w:t>&lt; 5</w:t>
            </w:r>
            <w:proofErr w:type="gramEnd"/>
            <w:r>
              <w:rPr>
                <w:rStyle w:val="Other1"/>
                <w:sz w:val="15"/>
                <w:szCs w:val="15"/>
              </w:rPr>
              <w:t xml:space="preserve">hod (odborný </w:t>
            </w:r>
            <w:proofErr w:type="spellStart"/>
            <w:r>
              <w:rPr>
                <w:rStyle w:val="Other1"/>
                <w:sz w:val="15"/>
                <w:szCs w:val="15"/>
              </w:rPr>
              <w:t>serv</w:t>
            </w:r>
            <w:proofErr w:type="spellEnd"/>
            <w:r>
              <w:rPr>
                <w:rStyle w:val="Other1"/>
                <w:sz w:val="15"/>
                <w:szCs w:val="15"/>
              </w:rPr>
              <w:t>., montáž)</w:t>
            </w:r>
          </w:p>
        </w:tc>
        <w:tc>
          <w:tcPr>
            <w:tcW w:w="1109" w:type="dxa"/>
            <w:tcBorders>
              <w:top w:val="single" w:sz="4" w:space="0" w:color="auto"/>
            </w:tcBorders>
            <w:shd w:val="clear" w:color="auto" w:fill="auto"/>
            <w:vAlign w:val="bottom"/>
          </w:tcPr>
          <w:p w14:paraId="17F84664" w14:textId="77777777" w:rsidR="00F20C1A" w:rsidRDefault="00000000">
            <w:pPr>
              <w:pStyle w:val="Other10"/>
              <w:ind w:firstLine="660"/>
              <w:jc w:val="both"/>
              <w:rPr>
                <w:sz w:val="15"/>
                <w:szCs w:val="15"/>
              </w:rPr>
            </w:pPr>
            <w:r>
              <w:rPr>
                <w:rStyle w:val="Other1"/>
                <w:sz w:val="15"/>
                <w:szCs w:val="15"/>
              </w:rPr>
              <w:t>hod</w:t>
            </w:r>
          </w:p>
        </w:tc>
        <w:tc>
          <w:tcPr>
            <w:tcW w:w="1008" w:type="dxa"/>
            <w:tcBorders>
              <w:top w:val="single" w:sz="4" w:space="0" w:color="auto"/>
              <w:right w:val="single" w:sz="4" w:space="0" w:color="auto"/>
            </w:tcBorders>
            <w:shd w:val="clear" w:color="auto" w:fill="auto"/>
            <w:vAlign w:val="bottom"/>
          </w:tcPr>
          <w:p w14:paraId="2AB12992" w14:textId="2C870783" w:rsidR="00F20C1A" w:rsidRDefault="00F20C1A">
            <w:pPr>
              <w:pStyle w:val="Other10"/>
              <w:ind w:firstLine="180"/>
              <w:rPr>
                <w:sz w:val="15"/>
                <w:szCs w:val="15"/>
              </w:rPr>
            </w:pPr>
          </w:p>
        </w:tc>
      </w:tr>
      <w:tr w:rsidR="00F20C1A" w14:paraId="6288A1E8" w14:textId="77777777">
        <w:tblPrEx>
          <w:tblCellMar>
            <w:top w:w="0" w:type="dxa"/>
            <w:bottom w:w="0" w:type="dxa"/>
          </w:tblCellMar>
        </w:tblPrEx>
        <w:trPr>
          <w:trHeight w:hRule="exact" w:val="230"/>
          <w:jc w:val="center"/>
        </w:trPr>
        <w:tc>
          <w:tcPr>
            <w:tcW w:w="922" w:type="dxa"/>
            <w:tcBorders>
              <w:left w:val="single" w:sz="4" w:space="0" w:color="auto"/>
            </w:tcBorders>
            <w:shd w:val="clear" w:color="auto" w:fill="auto"/>
          </w:tcPr>
          <w:p w14:paraId="01C6FA74" w14:textId="77777777" w:rsidR="00F20C1A" w:rsidRDefault="00000000">
            <w:pPr>
              <w:pStyle w:val="Other10"/>
              <w:jc w:val="both"/>
              <w:rPr>
                <w:sz w:val="15"/>
                <w:szCs w:val="15"/>
              </w:rPr>
            </w:pPr>
            <w:r>
              <w:rPr>
                <w:rStyle w:val="Other1"/>
                <w:sz w:val="15"/>
                <w:szCs w:val="15"/>
              </w:rPr>
              <w:t>SL20002</w:t>
            </w:r>
          </w:p>
        </w:tc>
        <w:tc>
          <w:tcPr>
            <w:tcW w:w="5616" w:type="dxa"/>
            <w:shd w:val="clear" w:color="auto" w:fill="auto"/>
          </w:tcPr>
          <w:p w14:paraId="4982F075" w14:textId="77777777" w:rsidR="00F20C1A" w:rsidRDefault="00000000">
            <w:pPr>
              <w:pStyle w:val="Other10"/>
              <w:rPr>
                <w:sz w:val="15"/>
                <w:szCs w:val="15"/>
              </w:rPr>
            </w:pPr>
            <w:r>
              <w:rPr>
                <w:rStyle w:val="Other1"/>
                <w:sz w:val="15"/>
                <w:szCs w:val="15"/>
              </w:rPr>
              <w:t xml:space="preserve">servis </w:t>
            </w:r>
            <w:proofErr w:type="spellStart"/>
            <w:r>
              <w:rPr>
                <w:rStyle w:val="Other1"/>
                <w:sz w:val="15"/>
                <w:szCs w:val="15"/>
              </w:rPr>
              <w:t>HWext</w:t>
            </w:r>
            <w:proofErr w:type="spellEnd"/>
            <w:r>
              <w:rPr>
                <w:rStyle w:val="Other1"/>
                <w:sz w:val="15"/>
                <w:szCs w:val="15"/>
              </w:rPr>
              <w:t xml:space="preserve">. &gt; 5hod (odborný </w:t>
            </w:r>
            <w:proofErr w:type="spellStart"/>
            <w:r>
              <w:rPr>
                <w:rStyle w:val="Other1"/>
                <w:sz w:val="15"/>
                <w:szCs w:val="15"/>
              </w:rPr>
              <w:t>serv</w:t>
            </w:r>
            <w:proofErr w:type="spellEnd"/>
            <w:r>
              <w:rPr>
                <w:rStyle w:val="Other1"/>
                <w:sz w:val="15"/>
                <w:szCs w:val="15"/>
              </w:rPr>
              <w:t>., montáž)</w:t>
            </w:r>
          </w:p>
        </w:tc>
        <w:tc>
          <w:tcPr>
            <w:tcW w:w="1109" w:type="dxa"/>
            <w:shd w:val="clear" w:color="auto" w:fill="auto"/>
          </w:tcPr>
          <w:p w14:paraId="3F4F9AD0"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6BF2F407" w14:textId="5337F0EC" w:rsidR="00F20C1A" w:rsidRDefault="00F20C1A">
            <w:pPr>
              <w:pStyle w:val="Other10"/>
              <w:ind w:firstLine="240"/>
              <w:rPr>
                <w:sz w:val="15"/>
                <w:szCs w:val="15"/>
              </w:rPr>
            </w:pPr>
          </w:p>
        </w:tc>
      </w:tr>
      <w:tr w:rsidR="00F20C1A" w14:paraId="2011D198" w14:textId="77777777">
        <w:tblPrEx>
          <w:tblCellMar>
            <w:top w:w="0" w:type="dxa"/>
            <w:bottom w:w="0" w:type="dxa"/>
          </w:tblCellMar>
        </w:tblPrEx>
        <w:trPr>
          <w:trHeight w:hRule="exact" w:val="223"/>
          <w:jc w:val="center"/>
        </w:trPr>
        <w:tc>
          <w:tcPr>
            <w:tcW w:w="922" w:type="dxa"/>
            <w:tcBorders>
              <w:left w:val="single" w:sz="4" w:space="0" w:color="auto"/>
            </w:tcBorders>
            <w:shd w:val="clear" w:color="auto" w:fill="auto"/>
            <w:vAlign w:val="bottom"/>
          </w:tcPr>
          <w:p w14:paraId="2EB83ABE" w14:textId="77777777" w:rsidR="00F20C1A" w:rsidRDefault="00000000">
            <w:pPr>
              <w:pStyle w:val="Other10"/>
              <w:jc w:val="both"/>
              <w:rPr>
                <w:sz w:val="15"/>
                <w:szCs w:val="15"/>
              </w:rPr>
            </w:pPr>
            <w:r>
              <w:rPr>
                <w:rStyle w:val="Other1"/>
                <w:sz w:val="15"/>
                <w:szCs w:val="15"/>
              </w:rPr>
              <w:t>SL20003</w:t>
            </w:r>
          </w:p>
        </w:tc>
        <w:tc>
          <w:tcPr>
            <w:tcW w:w="5616" w:type="dxa"/>
            <w:shd w:val="clear" w:color="auto" w:fill="auto"/>
            <w:vAlign w:val="bottom"/>
          </w:tcPr>
          <w:p w14:paraId="6CB24F5B" w14:textId="77777777" w:rsidR="00F20C1A" w:rsidRDefault="00000000">
            <w:pPr>
              <w:pStyle w:val="Other10"/>
              <w:rPr>
                <w:sz w:val="15"/>
                <w:szCs w:val="15"/>
              </w:rPr>
            </w:pPr>
            <w:r>
              <w:rPr>
                <w:rStyle w:val="Other1"/>
                <w:sz w:val="15"/>
                <w:szCs w:val="15"/>
              </w:rPr>
              <w:t xml:space="preserve">servis HW ve firmě IVAR (odborný </w:t>
            </w:r>
            <w:proofErr w:type="spellStart"/>
            <w:r>
              <w:rPr>
                <w:rStyle w:val="Other1"/>
                <w:sz w:val="15"/>
                <w:szCs w:val="15"/>
              </w:rPr>
              <w:t>serv</w:t>
            </w:r>
            <w:proofErr w:type="spellEnd"/>
            <w:r>
              <w:rPr>
                <w:rStyle w:val="Other1"/>
                <w:sz w:val="15"/>
                <w:szCs w:val="15"/>
              </w:rPr>
              <w:t>., montáž)</w:t>
            </w:r>
          </w:p>
        </w:tc>
        <w:tc>
          <w:tcPr>
            <w:tcW w:w="1109" w:type="dxa"/>
            <w:shd w:val="clear" w:color="auto" w:fill="auto"/>
            <w:vAlign w:val="bottom"/>
          </w:tcPr>
          <w:p w14:paraId="0F9B4914"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vAlign w:val="bottom"/>
          </w:tcPr>
          <w:p w14:paraId="534F30D9" w14:textId="242280C0" w:rsidR="00F20C1A" w:rsidRDefault="00F20C1A">
            <w:pPr>
              <w:pStyle w:val="Other10"/>
              <w:ind w:firstLine="240"/>
              <w:rPr>
                <w:sz w:val="15"/>
                <w:szCs w:val="15"/>
              </w:rPr>
            </w:pPr>
          </w:p>
        </w:tc>
      </w:tr>
      <w:tr w:rsidR="00F20C1A" w14:paraId="0472EFA9" w14:textId="77777777">
        <w:tblPrEx>
          <w:tblCellMar>
            <w:top w:w="0" w:type="dxa"/>
            <w:bottom w:w="0" w:type="dxa"/>
          </w:tblCellMar>
        </w:tblPrEx>
        <w:trPr>
          <w:trHeight w:hRule="exact" w:val="288"/>
          <w:jc w:val="center"/>
        </w:trPr>
        <w:tc>
          <w:tcPr>
            <w:tcW w:w="8655" w:type="dxa"/>
            <w:gridSpan w:val="4"/>
            <w:tcBorders>
              <w:top w:val="single" w:sz="4" w:space="0" w:color="auto"/>
              <w:left w:val="single" w:sz="4" w:space="0" w:color="auto"/>
              <w:right w:val="single" w:sz="4" w:space="0" w:color="auto"/>
            </w:tcBorders>
            <w:shd w:val="clear" w:color="auto" w:fill="auto"/>
            <w:vAlign w:val="bottom"/>
          </w:tcPr>
          <w:p w14:paraId="66A2891C" w14:textId="77777777" w:rsidR="00F20C1A" w:rsidRDefault="00000000">
            <w:pPr>
              <w:pStyle w:val="Other10"/>
              <w:tabs>
                <w:tab w:val="left" w:pos="914"/>
              </w:tabs>
            </w:pPr>
            <w:r>
              <w:rPr>
                <w:rStyle w:val="Other1"/>
                <w:sz w:val="15"/>
                <w:szCs w:val="15"/>
              </w:rPr>
              <w:t>I</w:t>
            </w:r>
            <w:r>
              <w:rPr>
                <w:rStyle w:val="Other1"/>
                <w:sz w:val="15"/>
                <w:szCs w:val="15"/>
              </w:rPr>
              <w:tab/>
            </w:r>
            <w:r>
              <w:rPr>
                <w:rStyle w:val="Other1"/>
                <w:i/>
                <w:iCs/>
              </w:rPr>
              <w:t>SW služby</w:t>
            </w:r>
          </w:p>
        </w:tc>
      </w:tr>
      <w:tr w:rsidR="00F20C1A" w14:paraId="4B908D84" w14:textId="77777777">
        <w:tblPrEx>
          <w:tblCellMar>
            <w:top w:w="0" w:type="dxa"/>
            <w:bottom w:w="0" w:type="dxa"/>
          </w:tblCellMar>
        </w:tblPrEx>
        <w:trPr>
          <w:trHeight w:hRule="exact" w:val="302"/>
          <w:jc w:val="center"/>
        </w:trPr>
        <w:tc>
          <w:tcPr>
            <w:tcW w:w="922" w:type="dxa"/>
            <w:tcBorders>
              <w:top w:val="single" w:sz="4" w:space="0" w:color="auto"/>
              <w:left w:val="single" w:sz="4" w:space="0" w:color="auto"/>
            </w:tcBorders>
            <w:shd w:val="clear" w:color="auto" w:fill="auto"/>
            <w:vAlign w:val="bottom"/>
          </w:tcPr>
          <w:p w14:paraId="4860DCDE" w14:textId="77777777" w:rsidR="00F20C1A" w:rsidRDefault="00000000">
            <w:pPr>
              <w:pStyle w:val="Other10"/>
              <w:jc w:val="both"/>
              <w:rPr>
                <w:sz w:val="15"/>
                <w:szCs w:val="15"/>
              </w:rPr>
            </w:pPr>
            <w:r>
              <w:rPr>
                <w:rStyle w:val="Other1"/>
                <w:sz w:val="15"/>
                <w:szCs w:val="15"/>
              </w:rPr>
              <w:t>SL20004</w:t>
            </w:r>
          </w:p>
        </w:tc>
        <w:tc>
          <w:tcPr>
            <w:tcW w:w="5616" w:type="dxa"/>
            <w:tcBorders>
              <w:top w:val="single" w:sz="4" w:space="0" w:color="auto"/>
            </w:tcBorders>
            <w:shd w:val="clear" w:color="auto" w:fill="auto"/>
            <w:vAlign w:val="bottom"/>
          </w:tcPr>
          <w:p w14:paraId="47060C83" w14:textId="77777777" w:rsidR="00F20C1A" w:rsidRDefault="00000000">
            <w:pPr>
              <w:pStyle w:val="Other10"/>
              <w:rPr>
                <w:sz w:val="15"/>
                <w:szCs w:val="15"/>
              </w:rPr>
            </w:pPr>
            <w:r>
              <w:rPr>
                <w:rStyle w:val="Other1"/>
                <w:sz w:val="15"/>
                <w:szCs w:val="15"/>
              </w:rPr>
              <w:t xml:space="preserve">servis SW </w:t>
            </w:r>
            <w:proofErr w:type="spellStart"/>
            <w:r>
              <w:rPr>
                <w:rStyle w:val="Other1"/>
                <w:sz w:val="15"/>
                <w:szCs w:val="15"/>
              </w:rPr>
              <w:t>ext</w:t>
            </w:r>
            <w:proofErr w:type="spellEnd"/>
            <w:r>
              <w:rPr>
                <w:rStyle w:val="Other1"/>
                <w:sz w:val="15"/>
                <w:szCs w:val="15"/>
              </w:rPr>
              <w:t>.</w:t>
            </w:r>
          </w:p>
        </w:tc>
        <w:tc>
          <w:tcPr>
            <w:tcW w:w="1109" w:type="dxa"/>
            <w:tcBorders>
              <w:top w:val="single" w:sz="4" w:space="0" w:color="auto"/>
            </w:tcBorders>
            <w:shd w:val="clear" w:color="auto" w:fill="auto"/>
            <w:vAlign w:val="bottom"/>
          </w:tcPr>
          <w:p w14:paraId="4E1ACB97" w14:textId="77777777" w:rsidR="00F20C1A" w:rsidRDefault="00000000">
            <w:pPr>
              <w:pStyle w:val="Other10"/>
              <w:ind w:firstLine="660"/>
              <w:jc w:val="both"/>
              <w:rPr>
                <w:sz w:val="15"/>
                <w:szCs w:val="15"/>
              </w:rPr>
            </w:pPr>
            <w:r>
              <w:rPr>
                <w:rStyle w:val="Other1"/>
                <w:sz w:val="15"/>
                <w:szCs w:val="15"/>
              </w:rPr>
              <w:t>hod</w:t>
            </w:r>
          </w:p>
        </w:tc>
        <w:tc>
          <w:tcPr>
            <w:tcW w:w="1008" w:type="dxa"/>
            <w:tcBorders>
              <w:top w:val="single" w:sz="4" w:space="0" w:color="auto"/>
              <w:right w:val="single" w:sz="4" w:space="0" w:color="auto"/>
            </w:tcBorders>
            <w:shd w:val="clear" w:color="auto" w:fill="auto"/>
            <w:vAlign w:val="bottom"/>
          </w:tcPr>
          <w:p w14:paraId="75013D10" w14:textId="5AB2189F" w:rsidR="00F20C1A" w:rsidRDefault="00F20C1A">
            <w:pPr>
              <w:pStyle w:val="Other10"/>
              <w:ind w:firstLine="180"/>
              <w:rPr>
                <w:sz w:val="15"/>
                <w:szCs w:val="15"/>
              </w:rPr>
            </w:pPr>
          </w:p>
        </w:tc>
      </w:tr>
      <w:tr w:rsidR="00F20C1A" w14:paraId="1292E8F3" w14:textId="77777777">
        <w:tblPrEx>
          <w:tblCellMar>
            <w:top w:w="0" w:type="dxa"/>
            <w:bottom w:w="0" w:type="dxa"/>
          </w:tblCellMar>
        </w:tblPrEx>
        <w:trPr>
          <w:trHeight w:hRule="exact" w:val="238"/>
          <w:jc w:val="center"/>
        </w:trPr>
        <w:tc>
          <w:tcPr>
            <w:tcW w:w="922" w:type="dxa"/>
            <w:tcBorders>
              <w:left w:val="single" w:sz="4" w:space="0" w:color="auto"/>
            </w:tcBorders>
            <w:shd w:val="clear" w:color="auto" w:fill="auto"/>
          </w:tcPr>
          <w:p w14:paraId="0391E0CA" w14:textId="77777777" w:rsidR="00F20C1A" w:rsidRDefault="00000000">
            <w:pPr>
              <w:pStyle w:val="Other10"/>
              <w:jc w:val="both"/>
              <w:rPr>
                <w:sz w:val="15"/>
                <w:szCs w:val="15"/>
              </w:rPr>
            </w:pPr>
            <w:r>
              <w:rPr>
                <w:rStyle w:val="Other1"/>
                <w:sz w:val="15"/>
                <w:szCs w:val="15"/>
              </w:rPr>
              <w:t>SL20005</w:t>
            </w:r>
          </w:p>
        </w:tc>
        <w:tc>
          <w:tcPr>
            <w:tcW w:w="5616" w:type="dxa"/>
            <w:shd w:val="clear" w:color="auto" w:fill="auto"/>
          </w:tcPr>
          <w:p w14:paraId="0E696513" w14:textId="77777777" w:rsidR="00F20C1A" w:rsidRDefault="00000000">
            <w:pPr>
              <w:pStyle w:val="Other10"/>
              <w:rPr>
                <w:sz w:val="15"/>
                <w:szCs w:val="15"/>
              </w:rPr>
            </w:pPr>
            <w:r>
              <w:rPr>
                <w:rStyle w:val="Other1"/>
                <w:sz w:val="15"/>
                <w:szCs w:val="15"/>
              </w:rPr>
              <w:t>servis SW formou dálkového přístupu (el. konference)</w:t>
            </w:r>
          </w:p>
        </w:tc>
        <w:tc>
          <w:tcPr>
            <w:tcW w:w="1109" w:type="dxa"/>
            <w:shd w:val="clear" w:color="auto" w:fill="auto"/>
          </w:tcPr>
          <w:p w14:paraId="7C574C83"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3C1F29C9" w14:textId="7D67618D" w:rsidR="00F20C1A" w:rsidRDefault="00F20C1A">
            <w:pPr>
              <w:pStyle w:val="Other10"/>
              <w:ind w:firstLine="180"/>
              <w:rPr>
                <w:sz w:val="15"/>
                <w:szCs w:val="15"/>
              </w:rPr>
            </w:pPr>
          </w:p>
        </w:tc>
      </w:tr>
      <w:tr w:rsidR="00F20C1A" w14:paraId="6CE797D4" w14:textId="77777777">
        <w:tblPrEx>
          <w:tblCellMar>
            <w:top w:w="0" w:type="dxa"/>
            <w:bottom w:w="0" w:type="dxa"/>
          </w:tblCellMar>
        </w:tblPrEx>
        <w:trPr>
          <w:trHeight w:hRule="exact" w:val="238"/>
          <w:jc w:val="center"/>
        </w:trPr>
        <w:tc>
          <w:tcPr>
            <w:tcW w:w="922" w:type="dxa"/>
            <w:tcBorders>
              <w:left w:val="single" w:sz="4" w:space="0" w:color="auto"/>
            </w:tcBorders>
            <w:shd w:val="clear" w:color="auto" w:fill="auto"/>
          </w:tcPr>
          <w:p w14:paraId="28FF7F75" w14:textId="77777777" w:rsidR="00F20C1A" w:rsidRDefault="00000000">
            <w:pPr>
              <w:pStyle w:val="Other10"/>
              <w:rPr>
                <w:sz w:val="15"/>
                <w:szCs w:val="15"/>
              </w:rPr>
            </w:pPr>
            <w:r>
              <w:rPr>
                <w:rStyle w:val="Other1"/>
                <w:sz w:val="15"/>
                <w:szCs w:val="15"/>
              </w:rPr>
              <w:t>SL20006</w:t>
            </w:r>
          </w:p>
        </w:tc>
        <w:tc>
          <w:tcPr>
            <w:tcW w:w="5616" w:type="dxa"/>
            <w:shd w:val="clear" w:color="auto" w:fill="auto"/>
          </w:tcPr>
          <w:p w14:paraId="6CC9626D" w14:textId="77777777" w:rsidR="00F20C1A" w:rsidRDefault="00000000">
            <w:pPr>
              <w:pStyle w:val="Other10"/>
              <w:rPr>
                <w:sz w:val="15"/>
                <w:szCs w:val="15"/>
              </w:rPr>
            </w:pPr>
            <w:r>
              <w:rPr>
                <w:rStyle w:val="Other1"/>
                <w:sz w:val="15"/>
                <w:szCs w:val="15"/>
              </w:rPr>
              <w:t xml:space="preserve">servis SW na pracovišti firmy IVAR, </w:t>
            </w:r>
            <w:proofErr w:type="spellStart"/>
            <w:r>
              <w:rPr>
                <w:rStyle w:val="Other1"/>
                <w:sz w:val="15"/>
                <w:szCs w:val="15"/>
              </w:rPr>
              <w:t>započ.hod</w:t>
            </w:r>
            <w:proofErr w:type="spellEnd"/>
            <w:r>
              <w:rPr>
                <w:rStyle w:val="Other1"/>
                <w:sz w:val="15"/>
                <w:szCs w:val="15"/>
              </w:rPr>
              <w:t xml:space="preserve">. (servis, analýza, </w:t>
            </w:r>
            <w:proofErr w:type="spellStart"/>
            <w:r>
              <w:rPr>
                <w:rStyle w:val="Other1"/>
                <w:sz w:val="15"/>
                <w:szCs w:val="15"/>
              </w:rPr>
              <w:t>nast</w:t>
            </w:r>
            <w:proofErr w:type="spellEnd"/>
            <w:r>
              <w:rPr>
                <w:rStyle w:val="Other1"/>
                <w:sz w:val="15"/>
                <w:szCs w:val="15"/>
              </w:rPr>
              <w:t xml:space="preserve">. </w:t>
            </w:r>
            <w:proofErr w:type="spellStart"/>
            <w:r>
              <w:rPr>
                <w:rStyle w:val="Other1"/>
                <w:sz w:val="15"/>
                <w:szCs w:val="15"/>
              </w:rPr>
              <w:t>param</w:t>
            </w:r>
            <w:proofErr w:type="spellEnd"/>
            <w:r>
              <w:rPr>
                <w:rStyle w:val="Other1"/>
                <w:sz w:val="15"/>
                <w:szCs w:val="15"/>
              </w:rPr>
              <w:t>.)</w:t>
            </w:r>
          </w:p>
        </w:tc>
        <w:tc>
          <w:tcPr>
            <w:tcW w:w="1109" w:type="dxa"/>
            <w:shd w:val="clear" w:color="auto" w:fill="auto"/>
          </w:tcPr>
          <w:p w14:paraId="04D1CEE9"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7FFB75EA" w14:textId="02165D9B" w:rsidR="00F20C1A" w:rsidRDefault="00F20C1A">
            <w:pPr>
              <w:pStyle w:val="Other10"/>
              <w:ind w:firstLine="180"/>
              <w:rPr>
                <w:sz w:val="15"/>
                <w:szCs w:val="15"/>
              </w:rPr>
            </w:pPr>
          </w:p>
        </w:tc>
      </w:tr>
      <w:tr w:rsidR="00F20C1A" w14:paraId="1C5591EC" w14:textId="77777777">
        <w:tblPrEx>
          <w:tblCellMar>
            <w:top w:w="0" w:type="dxa"/>
            <w:bottom w:w="0" w:type="dxa"/>
          </w:tblCellMar>
        </w:tblPrEx>
        <w:trPr>
          <w:trHeight w:hRule="exact" w:val="245"/>
          <w:jc w:val="center"/>
        </w:trPr>
        <w:tc>
          <w:tcPr>
            <w:tcW w:w="922" w:type="dxa"/>
            <w:tcBorders>
              <w:left w:val="single" w:sz="4" w:space="0" w:color="auto"/>
            </w:tcBorders>
            <w:shd w:val="clear" w:color="auto" w:fill="auto"/>
          </w:tcPr>
          <w:p w14:paraId="0BB889BE" w14:textId="77777777" w:rsidR="00F20C1A" w:rsidRDefault="00000000">
            <w:pPr>
              <w:pStyle w:val="Other10"/>
              <w:rPr>
                <w:sz w:val="15"/>
                <w:szCs w:val="15"/>
              </w:rPr>
            </w:pPr>
            <w:r>
              <w:rPr>
                <w:rStyle w:val="Other1"/>
                <w:sz w:val="15"/>
                <w:szCs w:val="15"/>
              </w:rPr>
              <w:t>SL20007</w:t>
            </w:r>
          </w:p>
        </w:tc>
        <w:tc>
          <w:tcPr>
            <w:tcW w:w="5616" w:type="dxa"/>
            <w:shd w:val="clear" w:color="auto" w:fill="auto"/>
          </w:tcPr>
          <w:p w14:paraId="4188FCE3" w14:textId="77777777" w:rsidR="00F20C1A" w:rsidRDefault="00000000">
            <w:pPr>
              <w:pStyle w:val="Other10"/>
              <w:rPr>
                <w:sz w:val="15"/>
                <w:szCs w:val="15"/>
              </w:rPr>
            </w:pPr>
            <w:r>
              <w:rPr>
                <w:rStyle w:val="Other1"/>
                <w:sz w:val="15"/>
                <w:szCs w:val="15"/>
              </w:rPr>
              <w:t xml:space="preserve">programátorské </w:t>
            </w:r>
            <w:proofErr w:type="gramStart"/>
            <w:r>
              <w:rPr>
                <w:rStyle w:val="Other1"/>
                <w:sz w:val="15"/>
                <w:szCs w:val="15"/>
              </w:rPr>
              <w:t>služby - zakázková</w:t>
            </w:r>
            <w:proofErr w:type="gramEnd"/>
            <w:r>
              <w:rPr>
                <w:rStyle w:val="Other1"/>
                <w:sz w:val="15"/>
                <w:szCs w:val="15"/>
              </w:rPr>
              <w:t xml:space="preserve"> práce dle objednávky, objem prací &lt;10 hod</w:t>
            </w:r>
          </w:p>
        </w:tc>
        <w:tc>
          <w:tcPr>
            <w:tcW w:w="1109" w:type="dxa"/>
            <w:shd w:val="clear" w:color="auto" w:fill="auto"/>
          </w:tcPr>
          <w:p w14:paraId="3F5A7984"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0CF489C2" w14:textId="2F11AEB2" w:rsidR="00F20C1A" w:rsidRDefault="00F20C1A">
            <w:pPr>
              <w:pStyle w:val="Other10"/>
              <w:ind w:firstLine="180"/>
              <w:rPr>
                <w:sz w:val="15"/>
                <w:szCs w:val="15"/>
              </w:rPr>
            </w:pPr>
          </w:p>
        </w:tc>
      </w:tr>
      <w:tr w:rsidR="00F20C1A" w14:paraId="1D971732" w14:textId="77777777">
        <w:tblPrEx>
          <w:tblCellMar>
            <w:top w:w="0" w:type="dxa"/>
            <w:bottom w:w="0" w:type="dxa"/>
          </w:tblCellMar>
        </w:tblPrEx>
        <w:trPr>
          <w:trHeight w:hRule="exact" w:val="209"/>
          <w:jc w:val="center"/>
        </w:trPr>
        <w:tc>
          <w:tcPr>
            <w:tcW w:w="922" w:type="dxa"/>
            <w:tcBorders>
              <w:left w:val="single" w:sz="4" w:space="0" w:color="auto"/>
            </w:tcBorders>
            <w:shd w:val="clear" w:color="auto" w:fill="auto"/>
          </w:tcPr>
          <w:p w14:paraId="19CBD84A" w14:textId="77777777" w:rsidR="00F20C1A" w:rsidRDefault="00000000">
            <w:pPr>
              <w:pStyle w:val="Other10"/>
              <w:rPr>
                <w:sz w:val="15"/>
                <w:szCs w:val="15"/>
              </w:rPr>
            </w:pPr>
            <w:r>
              <w:rPr>
                <w:rStyle w:val="Other1"/>
                <w:sz w:val="15"/>
                <w:szCs w:val="15"/>
              </w:rPr>
              <w:t>SL20008</w:t>
            </w:r>
          </w:p>
        </w:tc>
        <w:tc>
          <w:tcPr>
            <w:tcW w:w="5616" w:type="dxa"/>
            <w:shd w:val="clear" w:color="auto" w:fill="auto"/>
          </w:tcPr>
          <w:p w14:paraId="3C354249" w14:textId="77777777" w:rsidR="00F20C1A" w:rsidRDefault="00000000">
            <w:pPr>
              <w:pStyle w:val="Other10"/>
              <w:rPr>
                <w:sz w:val="15"/>
                <w:szCs w:val="15"/>
              </w:rPr>
            </w:pPr>
            <w:r>
              <w:rPr>
                <w:rStyle w:val="Other1"/>
                <w:sz w:val="15"/>
                <w:szCs w:val="15"/>
              </w:rPr>
              <w:t xml:space="preserve">programátorské služby - zakázková práce dle objednávky, objem </w:t>
            </w:r>
            <w:proofErr w:type="gramStart"/>
            <w:r>
              <w:rPr>
                <w:rStyle w:val="Other1"/>
                <w:sz w:val="15"/>
                <w:szCs w:val="15"/>
              </w:rPr>
              <w:t>prací &gt;</w:t>
            </w:r>
            <w:proofErr w:type="gramEnd"/>
            <w:r>
              <w:rPr>
                <w:rStyle w:val="Other1"/>
                <w:sz w:val="15"/>
                <w:szCs w:val="15"/>
              </w:rPr>
              <w:t xml:space="preserve"> 10 hod</w:t>
            </w:r>
          </w:p>
        </w:tc>
        <w:tc>
          <w:tcPr>
            <w:tcW w:w="1109" w:type="dxa"/>
            <w:shd w:val="clear" w:color="auto" w:fill="auto"/>
          </w:tcPr>
          <w:p w14:paraId="623CB539"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4E012938" w14:textId="54679CA9" w:rsidR="00F20C1A" w:rsidRDefault="00F20C1A">
            <w:pPr>
              <w:pStyle w:val="Other10"/>
              <w:ind w:firstLine="180"/>
              <w:rPr>
                <w:sz w:val="15"/>
                <w:szCs w:val="15"/>
              </w:rPr>
            </w:pPr>
          </w:p>
        </w:tc>
      </w:tr>
      <w:tr w:rsidR="00F20C1A" w14:paraId="6587B145" w14:textId="77777777">
        <w:tblPrEx>
          <w:tblCellMar>
            <w:top w:w="0" w:type="dxa"/>
            <w:bottom w:w="0" w:type="dxa"/>
          </w:tblCellMar>
        </w:tblPrEx>
        <w:trPr>
          <w:trHeight w:hRule="exact" w:val="288"/>
          <w:jc w:val="center"/>
        </w:trPr>
        <w:tc>
          <w:tcPr>
            <w:tcW w:w="8655" w:type="dxa"/>
            <w:gridSpan w:val="4"/>
            <w:tcBorders>
              <w:top w:val="single" w:sz="4" w:space="0" w:color="auto"/>
              <w:left w:val="single" w:sz="4" w:space="0" w:color="auto"/>
              <w:right w:val="single" w:sz="4" w:space="0" w:color="auto"/>
            </w:tcBorders>
            <w:shd w:val="clear" w:color="auto" w:fill="auto"/>
            <w:vAlign w:val="bottom"/>
          </w:tcPr>
          <w:p w14:paraId="4861A870" w14:textId="77777777" w:rsidR="00F20C1A" w:rsidRDefault="00000000">
            <w:pPr>
              <w:pStyle w:val="Other10"/>
              <w:ind w:firstLine="1000"/>
            </w:pPr>
            <w:r>
              <w:rPr>
                <w:rStyle w:val="Other1"/>
                <w:i/>
                <w:iCs/>
              </w:rPr>
              <w:t>ostatní položky</w:t>
            </w:r>
          </w:p>
        </w:tc>
      </w:tr>
      <w:tr w:rsidR="00F20C1A" w14:paraId="1FE57D91" w14:textId="77777777">
        <w:tblPrEx>
          <w:tblCellMar>
            <w:top w:w="0" w:type="dxa"/>
            <w:bottom w:w="0" w:type="dxa"/>
          </w:tblCellMar>
        </w:tblPrEx>
        <w:trPr>
          <w:trHeight w:hRule="exact" w:val="317"/>
          <w:jc w:val="center"/>
        </w:trPr>
        <w:tc>
          <w:tcPr>
            <w:tcW w:w="922" w:type="dxa"/>
            <w:tcBorders>
              <w:top w:val="single" w:sz="4" w:space="0" w:color="auto"/>
              <w:left w:val="single" w:sz="4" w:space="0" w:color="auto"/>
            </w:tcBorders>
            <w:shd w:val="clear" w:color="auto" w:fill="auto"/>
            <w:vAlign w:val="bottom"/>
          </w:tcPr>
          <w:p w14:paraId="21A88314" w14:textId="77777777" w:rsidR="00F20C1A" w:rsidRDefault="00000000">
            <w:pPr>
              <w:pStyle w:val="Other10"/>
              <w:rPr>
                <w:sz w:val="15"/>
                <w:szCs w:val="15"/>
              </w:rPr>
            </w:pPr>
            <w:r>
              <w:rPr>
                <w:rStyle w:val="Other1"/>
                <w:sz w:val="15"/>
                <w:szCs w:val="15"/>
              </w:rPr>
              <w:t>SL20009</w:t>
            </w:r>
          </w:p>
        </w:tc>
        <w:tc>
          <w:tcPr>
            <w:tcW w:w="5616" w:type="dxa"/>
            <w:tcBorders>
              <w:top w:val="single" w:sz="4" w:space="0" w:color="auto"/>
            </w:tcBorders>
            <w:shd w:val="clear" w:color="auto" w:fill="auto"/>
            <w:vAlign w:val="bottom"/>
          </w:tcPr>
          <w:p w14:paraId="58B95607" w14:textId="77777777" w:rsidR="00F20C1A" w:rsidRDefault="00000000">
            <w:pPr>
              <w:pStyle w:val="Other10"/>
              <w:rPr>
                <w:sz w:val="15"/>
                <w:szCs w:val="15"/>
              </w:rPr>
            </w:pPr>
            <w:r>
              <w:rPr>
                <w:rStyle w:val="Other1"/>
                <w:sz w:val="15"/>
                <w:szCs w:val="15"/>
              </w:rPr>
              <w:t>doprava os. Vozidlo(cena/km)</w:t>
            </w:r>
          </w:p>
        </w:tc>
        <w:tc>
          <w:tcPr>
            <w:tcW w:w="1109" w:type="dxa"/>
            <w:tcBorders>
              <w:top w:val="single" w:sz="4" w:space="0" w:color="auto"/>
            </w:tcBorders>
            <w:shd w:val="clear" w:color="auto" w:fill="auto"/>
            <w:vAlign w:val="bottom"/>
          </w:tcPr>
          <w:p w14:paraId="59263A7C" w14:textId="77777777" w:rsidR="00F20C1A" w:rsidRDefault="00000000">
            <w:pPr>
              <w:pStyle w:val="Other10"/>
              <w:ind w:right="180"/>
              <w:jc w:val="right"/>
              <w:rPr>
                <w:sz w:val="15"/>
                <w:szCs w:val="15"/>
              </w:rPr>
            </w:pPr>
            <w:r>
              <w:rPr>
                <w:rStyle w:val="Other1"/>
                <w:sz w:val="15"/>
                <w:szCs w:val="15"/>
              </w:rPr>
              <w:t>km</w:t>
            </w:r>
          </w:p>
        </w:tc>
        <w:tc>
          <w:tcPr>
            <w:tcW w:w="1008" w:type="dxa"/>
            <w:tcBorders>
              <w:top w:val="single" w:sz="4" w:space="0" w:color="auto"/>
              <w:right w:val="single" w:sz="4" w:space="0" w:color="auto"/>
            </w:tcBorders>
            <w:shd w:val="clear" w:color="auto" w:fill="auto"/>
            <w:vAlign w:val="bottom"/>
          </w:tcPr>
          <w:p w14:paraId="2A9E8F20" w14:textId="25F1E081" w:rsidR="00F20C1A" w:rsidRDefault="00F20C1A">
            <w:pPr>
              <w:pStyle w:val="Other10"/>
              <w:jc w:val="center"/>
              <w:rPr>
                <w:sz w:val="15"/>
                <w:szCs w:val="15"/>
              </w:rPr>
            </w:pPr>
          </w:p>
        </w:tc>
      </w:tr>
      <w:tr w:rsidR="00F20C1A" w14:paraId="515BABC2" w14:textId="77777777">
        <w:tblPrEx>
          <w:tblCellMar>
            <w:top w:w="0" w:type="dxa"/>
            <w:bottom w:w="0" w:type="dxa"/>
          </w:tblCellMar>
        </w:tblPrEx>
        <w:trPr>
          <w:trHeight w:hRule="exact" w:val="230"/>
          <w:jc w:val="center"/>
        </w:trPr>
        <w:tc>
          <w:tcPr>
            <w:tcW w:w="922" w:type="dxa"/>
            <w:tcBorders>
              <w:left w:val="single" w:sz="4" w:space="0" w:color="auto"/>
            </w:tcBorders>
            <w:shd w:val="clear" w:color="auto" w:fill="auto"/>
          </w:tcPr>
          <w:p w14:paraId="420EED55" w14:textId="77777777" w:rsidR="00F20C1A" w:rsidRDefault="00000000">
            <w:pPr>
              <w:pStyle w:val="Other10"/>
              <w:rPr>
                <w:sz w:val="15"/>
                <w:szCs w:val="15"/>
              </w:rPr>
            </w:pPr>
            <w:r>
              <w:rPr>
                <w:rStyle w:val="Other1"/>
                <w:sz w:val="15"/>
                <w:szCs w:val="15"/>
              </w:rPr>
              <w:t>SL20010</w:t>
            </w:r>
          </w:p>
        </w:tc>
        <w:tc>
          <w:tcPr>
            <w:tcW w:w="5616" w:type="dxa"/>
            <w:shd w:val="clear" w:color="auto" w:fill="auto"/>
          </w:tcPr>
          <w:p w14:paraId="51B39E8F" w14:textId="77777777" w:rsidR="00F20C1A" w:rsidRDefault="00000000">
            <w:pPr>
              <w:pStyle w:val="Other10"/>
              <w:rPr>
                <w:sz w:val="15"/>
                <w:szCs w:val="15"/>
              </w:rPr>
            </w:pPr>
            <w:r>
              <w:rPr>
                <w:rStyle w:val="Other1"/>
                <w:sz w:val="15"/>
                <w:szCs w:val="15"/>
              </w:rPr>
              <w:t>ztráta času na cestě (cena/hod)</w:t>
            </w:r>
          </w:p>
        </w:tc>
        <w:tc>
          <w:tcPr>
            <w:tcW w:w="1109" w:type="dxa"/>
            <w:shd w:val="clear" w:color="auto" w:fill="auto"/>
          </w:tcPr>
          <w:p w14:paraId="72D6B521" w14:textId="77777777" w:rsidR="00F20C1A" w:rsidRDefault="00000000">
            <w:pPr>
              <w:pStyle w:val="Other10"/>
              <w:ind w:firstLine="660"/>
              <w:jc w:val="both"/>
              <w:rPr>
                <w:sz w:val="15"/>
                <w:szCs w:val="15"/>
              </w:rPr>
            </w:pPr>
            <w:r>
              <w:rPr>
                <w:rStyle w:val="Other1"/>
                <w:sz w:val="15"/>
                <w:szCs w:val="15"/>
              </w:rPr>
              <w:t>hod</w:t>
            </w:r>
          </w:p>
        </w:tc>
        <w:tc>
          <w:tcPr>
            <w:tcW w:w="1008" w:type="dxa"/>
            <w:tcBorders>
              <w:right w:val="single" w:sz="4" w:space="0" w:color="auto"/>
            </w:tcBorders>
            <w:shd w:val="clear" w:color="auto" w:fill="auto"/>
          </w:tcPr>
          <w:p w14:paraId="31EFA362" w14:textId="4B3E77EC" w:rsidR="00F20C1A" w:rsidRDefault="00F20C1A">
            <w:pPr>
              <w:pStyle w:val="Other10"/>
              <w:ind w:firstLine="240"/>
              <w:rPr>
                <w:sz w:val="15"/>
                <w:szCs w:val="15"/>
              </w:rPr>
            </w:pPr>
          </w:p>
        </w:tc>
      </w:tr>
      <w:tr w:rsidR="00F20C1A" w14:paraId="002DF785" w14:textId="77777777">
        <w:tblPrEx>
          <w:tblCellMar>
            <w:top w:w="0" w:type="dxa"/>
            <w:bottom w:w="0" w:type="dxa"/>
          </w:tblCellMar>
        </w:tblPrEx>
        <w:trPr>
          <w:trHeight w:hRule="exact" w:val="266"/>
          <w:jc w:val="center"/>
        </w:trPr>
        <w:tc>
          <w:tcPr>
            <w:tcW w:w="922" w:type="dxa"/>
            <w:tcBorders>
              <w:left w:val="single" w:sz="4" w:space="0" w:color="auto"/>
              <w:bottom w:val="single" w:sz="4" w:space="0" w:color="auto"/>
            </w:tcBorders>
            <w:shd w:val="clear" w:color="auto" w:fill="auto"/>
          </w:tcPr>
          <w:p w14:paraId="44D9246B" w14:textId="77777777" w:rsidR="00F20C1A" w:rsidRDefault="00000000">
            <w:pPr>
              <w:pStyle w:val="Other10"/>
              <w:jc w:val="center"/>
              <w:rPr>
                <w:sz w:val="15"/>
                <w:szCs w:val="15"/>
              </w:rPr>
            </w:pPr>
            <w:r>
              <w:rPr>
                <w:rStyle w:val="Other1"/>
                <w:sz w:val="15"/>
                <w:szCs w:val="15"/>
              </w:rPr>
              <w:t>SL20010X</w:t>
            </w:r>
          </w:p>
        </w:tc>
        <w:tc>
          <w:tcPr>
            <w:tcW w:w="5616" w:type="dxa"/>
            <w:tcBorders>
              <w:bottom w:val="single" w:sz="4" w:space="0" w:color="auto"/>
            </w:tcBorders>
            <w:shd w:val="clear" w:color="auto" w:fill="auto"/>
          </w:tcPr>
          <w:p w14:paraId="5956E8C6" w14:textId="77777777" w:rsidR="00F20C1A" w:rsidRDefault="00000000">
            <w:pPr>
              <w:pStyle w:val="Other10"/>
              <w:rPr>
                <w:sz w:val="15"/>
                <w:szCs w:val="15"/>
              </w:rPr>
            </w:pPr>
            <w:proofErr w:type="gramStart"/>
            <w:r>
              <w:rPr>
                <w:rStyle w:val="Other1"/>
                <w:sz w:val="15"/>
                <w:szCs w:val="15"/>
              </w:rPr>
              <w:t>doprava - tarif</w:t>
            </w:r>
            <w:proofErr w:type="gramEnd"/>
            <w:r>
              <w:rPr>
                <w:rStyle w:val="Other1"/>
                <w:sz w:val="15"/>
                <w:szCs w:val="15"/>
              </w:rPr>
              <w:t>, sazba na 1 km</w:t>
            </w:r>
          </w:p>
        </w:tc>
        <w:tc>
          <w:tcPr>
            <w:tcW w:w="1109" w:type="dxa"/>
            <w:tcBorders>
              <w:bottom w:val="single" w:sz="4" w:space="0" w:color="auto"/>
            </w:tcBorders>
            <w:shd w:val="clear" w:color="auto" w:fill="auto"/>
          </w:tcPr>
          <w:p w14:paraId="762CCDD7" w14:textId="77777777" w:rsidR="00F20C1A" w:rsidRDefault="00000000">
            <w:pPr>
              <w:pStyle w:val="Other10"/>
              <w:ind w:right="180"/>
              <w:jc w:val="right"/>
              <w:rPr>
                <w:sz w:val="15"/>
                <w:szCs w:val="15"/>
              </w:rPr>
            </w:pPr>
            <w:r>
              <w:rPr>
                <w:rStyle w:val="Other1"/>
                <w:sz w:val="15"/>
                <w:szCs w:val="15"/>
              </w:rPr>
              <w:t>km</w:t>
            </w:r>
          </w:p>
        </w:tc>
        <w:tc>
          <w:tcPr>
            <w:tcW w:w="1008" w:type="dxa"/>
            <w:tcBorders>
              <w:bottom w:val="single" w:sz="4" w:space="0" w:color="auto"/>
              <w:right w:val="single" w:sz="4" w:space="0" w:color="auto"/>
            </w:tcBorders>
            <w:shd w:val="clear" w:color="auto" w:fill="auto"/>
          </w:tcPr>
          <w:p w14:paraId="2FE1B01C" w14:textId="77777777" w:rsidR="00F20C1A" w:rsidRDefault="00000000">
            <w:pPr>
              <w:pStyle w:val="Other10"/>
              <w:jc w:val="center"/>
              <w:rPr>
                <w:sz w:val="15"/>
                <w:szCs w:val="15"/>
              </w:rPr>
            </w:pPr>
            <w:r>
              <w:rPr>
                <w:rStyle w:val="Other1"/>
                <w:sz w:val="15"/>
                <w:szCs w:val="15"/>
              </w:rPr>
              <w:t>cena</w:t>
            </w:r>
          </w:p>
        </w:tc>
      </w:tr>
    </w:tbl>
    <w:p w14:paraId="7E7D5885" w14:textId="77777777" w:rsidR="00F20C1A" w:rsidRDefault="00F20C1A">
      <w:pPr>
        <w:sectPr w:rsidR="00F20C1A">
          <w:footerReference w:type="default" r:id="rId9"/>
          <w:footerReference w:type="first" r:id="rId10"/>
          <w:pgSz w:w="11900" w:h="16840"/>
          <w:pgMar w:top="955" w:right="1257" w:bottom="2099" w:left="873" w:header="0" w:footer="3" w:gutter="0"/>
          <w:pgNumType w:start="1"/>
          <w:cols w:space="720"/>
          <w:noEndnote/>
          <w:titlePg/>
          <w:docGrid w:linePitch="360"/>
        </w:sectPr>
      </w:pPr>
    </w:p>
    <w:p w14:paraId="29B9D0CB" w14:textId="77777777" w:rsidR="00F20C1A" w:rsidRDefault="00000000">
      <w:pPr>
        <w:pStyle w:val="Heading110"/>
        <w:keepNext/>
        <w:keepLines/>
        <w:spacing w:after="120" w:line="240" w:lineRule="auto"/>
      </w:pPr>
      <w:bookmarkStart w:id="8" w:name="bookmark17"/>
      <w:r>
        <w:rPr>
          <w:rStyle w:val="Heading11"/>
          <w:b/>
          <w:bCs/>
          <w:color w:val="DE5A58"/>
        </w:rPr>
        <w:lastRenderedPageBreak/>
        <w:t xml:space="preserve">W </w:t>
      </w:r>
      <w:proofErr w:type="spellStart"/>
      <w:r>
        <w:rPr>
          <w:rStyle w:val="Heading11"/>
          <w:b/>
          <w:bCs/>
        </w:rPr>
        <w:t>iVRR</w:t>
      </w:r>
      <w:proofErr w:type="spellEnd"/>
      <w:r>
        <w:rPr>
          <w:rStyle w:val="Heading11"/>
          <w:b/>
          <w:bCs/>
        </w:rPr>
        <w:t xml:space="preserve"> ÍD </w:t>
      </w:r>
      <w:r>
        <w:rPr>
          <w:rStyle w:val="Heading11"/>
          <w:b/>
          <w:bCs/>
          <w:color w:val="DE5A58"/>
        </w:rPr>
        <w:t xml:space="preserve">W </w:t>
      </w:r>
      <w:r>
        <w:rPr>
          <w:rStyle w:val="Heading11"/>
          <w:b/>
          <w:bCs/>
        </w:rPr>
        <w:t xml:space="preserve">IVRR </w:t>
      </w:r>
      <w:proofErr w:type="spellStart"/>
      <w:r>
        <w:rPr>
          <w:rStyle w:val="Heading11"/>
          <w:b/>
          <w:bCs/>
        </w:rPr>
        <w:t>iD</w:t>
      </w:r>
      <w:proofErr w:type="spellEnd"/>
      <w:r>
        <w:rPr>
          <w:rStyle w:val="Heading11"/>
          <w:b/>
          <w:bCs/>
        </w:rPr>
        <w:t xml:space="preserve"> </w:t>
      </w:r>
      <w:r>
        <w:rPr>
          <w:rStyle w:val="Heading11"/>
          <w:b/>
          <w:bCs/>
          <w:color w:val="DE5A58"/>
        </w:rPr>
        <w:t xml:space="preserve">ÍŮ&gt; </w:t>
      </w:r>
      <w:proofErr w:type="spellStart"/>
      <w:r>
        <w:rPr>
          <w:rStyle w:val="Heading11"/>
          <w:b/>
          <w:bCs/>
        </w:rPr>
        <w:t>iVRR</w:t>
      </w:r>
      <w:proofErr w:type="spellEnd"/>
      <w:r>
        <w:rPr>
          <w:rStyle w:val="Heading11"/>
          <w:b/>
          <w:bCs/>
        </w:rPr>
        <w:t xml:space="preserve"> </w:t>
      </w:r>
      <w:proofErr w:type="spellStart"/>
      <w:r>
        <w:rPr>
          <w:rStyle w:val="Heading11"/>
          <w:b/>
          <w:bCs/>
        </w:rPr>
        <w:t>iD</w:t>
      </w:r>
      <w:proofErr w:type="spellEnd"/>
      <w:r>
        <w:rPr>
          <w:rStyle w:val="Heading11"/>
          <w:b/>
          <w:bCs/>
        </w:rPr>
        <w:t xml:space="preserve"> </w:t>
      </w:r>
      <w:proofErr w:type="spellStart"/>
      <w:r>
        <w:rPr>
          <w:rStyle w:val="Heading11"/>
          <w:b/>
          <w:bCs/>
          <w:color w:val="DE5A58"/>
        </w:rPr>
        <w:t>ifjl</w:t>
      </w:r>
      <w:proofErr w:type="spellEnd"/>
      <w:r>
        <w:rPr>
          <w:rStyle w:val="Heading11"/>
          <w:b/>
          <w:bCs/>
          <w:color w:val="DE5A58"/>
        </w:rPr>
        <w:t xml:space="preserve"> </w:t>
      </w:r>
      <w:proofErr w:type="spellStart"/>
      <w:r>
        <w:rPr>
          <w:rStyle w:val="Heading11"/>
          <w:b/>
          <w:bCs/>
        </w:rPr>
        <w:t>iVAR</w:t>
      </w:r>
      <w:proofErr w:type="spellEnd"/>
      <w:r>
        <w:rPr>
          <w:rStyle w:val="Heading11"/>
          <w:b/>
          <w:bCs/>
        </w:rPr>
        <w:t xml:space="preserve"> </w:t>
      </w:r>
      <w:proofErr w:type="spellStart"/>
      <w:r>
        <w:rPr>
          <w:rStyle w:val="Heading11"/>
          <w:b/>
          <w:bCs/>
        </w:rPr>
        <w:t>iD</w:t>
      </w:r>
      <w:proofErr w:type="spellEnd"/>
      <w:r>
        <w:rPr>
          <w:rStyle w:val="Heading11"/>
          <w:b/>
          <w:bCs/>
        </w:rPr>
        <w:t xml:space="preserve"> </w:t>
      </w:r>
      <w:proofErr w:type="gramStart"/>
      <w:r>
        <w:rPr>
          <w:rStyle w:val="Heading11"/>
          <w:b/>
          <w:bCs/>
          <w:color w:val="DE5A58"/>
        </w:rPr>
        <w:t>i{</w:t>
      </w:r>
      <w:proofErr w:type="gramEnd"/>
      <w:r>
        <w:rPr>
          <w:rStyle w:val="Heading11"/>
          <w:b/>
          <w:bCs/>
          <w:color w:val="DE5A58"/>
        </w:rPr>
        <w:t xml:space="preserve">|&gt; </w:t>
      </w:r>
      <w:r>
        <w:rPr>
          <w:rStyle w:val="Heading11"/>
          <w:b/>
          <w:bCs/>
        </w:rPr>
        <w:t xml:space="preserve">ÍVAR </w:t>
      </w:r>
      <w:proofErr w:type="spellStart"/>
      <w:r>
        <w:rPr>
          <w:rStyle w:val="Heading11"/>
          <w:b/>
          <w:bCs/>
        </w:rPr>
        <w:t>iD</w:t>
      </w:r>
      <w:bookmarkEnd w:id="8"/>
      <w:proofErr w:type="spellEnd"/>
    </w:p>
    <w:p w14:paraId="588BC1F4" w14:textId="77777777" w:rsidR="00F20C1A" w:rsidRDefault="00000000">
      <w:pPr>
        <w:pStyle w:val="Bodytext10"/>
        <w:spacing w:after="660" w:line="288" w:lineRule="auto"/>
        <w:ind w:left="1320" w:hanging="320"/>
        <w:jc w:val="both"/>
      </w:pPr>
      <w:r>
        <w:rPr>
          <w:rStyle w:val="Bodytext1"/>
        </w:rPr>
        <w:t xml:space="preserve">■ Ceny služeb uvedené v oddílu II a III mohou být pro rok 2024 a následující roky poskytovatelem navýšeny o inflační koeficient stanovený mírou inflace vyjádřené přírůstkem průměrného ročního indexu spotřebitelských cen (procentní změna průměrné cenové hladiny za 12 posledních měsíců proti průměru 12 předchozích měsíců), kterou vyhlašuje Česky statistický úřad. V době účinnosti smlouvy je míra inflace zveřejněná na </w:t>
      </w:r>
      <w:hyperlink r:id="rId11" w:history="1">
        <w:r>
          <w:rPr>
            <w:rStyle w:val="Bodytext1"/>
            <w:color w:val="4774AC"/>
            <w:u w:val="single"/>
            <w:lang w:val="en-US" w:eastAsia="en-US" w:bidi="en-US"/>
          </w:rPr>
          <w:t xml:space="preserve">https://www.czso.cz/csu/czso/inflace </w:t>
        </w:r>
        <w:r>
          <w:rPr>
            <w:rStyle w:val="Bodytext1"/>
            <w:color w:val="4774AC"/>
            <w:u w:val="single"/>
          </w:rPr>
          <w:t>spotřebitelské ceny</w:t>
        </w:r>
      </w:hyperlink>
    </w:p>
    <w:p w14:paraId="049C8F0D" w14:textId="77777777" w:rsidR="00F20C1A" w:rsidRDefault="00F20C1A">
      <w:pPr>
        <w:pStyle w:val="Heading210"/>
        <w:keepNext/>
        <w:keepLines/>
        <w:numPr>
          <w:ilvl w:val="0"/>
          <w:numId w:val="1"/>
        </w:numPr>
        <w:spacing w:after="0"/>
      </w:pPr>
      <w:bookmarkStart w:id="9" w:name="bookmark19"/>
      <w:bookmarkEnd w:id="9"/>
    </w:p>
    <w:p w14:paraId="05289E4C" w14:textId="77777777" w:rsidR="00F20C1A" w:rsidRDefault="00000000">
      <w:pPr>
        <w:pStyle w:val="Heading210"/>
        <w:keepNext/>
        <w:keepLines/>
        <w:spacing w:after="120"/>
      </w:pPr>
      <w:bookmarkStart w:id="10" w:name="bookmark21"/>
      <w:r>
        <w:rPr>
          <w:rStyle w:val="Heading21"/>
        </w:rPr>
        <w:t>Obecná ustanovení</w:t>
      </w:r>
      <w:bookmarkEnd w:id="10"/>
    </w:p>
    <w:p w14:paraId="024D8269" w14:textId="77777777" w:rsidR="00F20C1A" w:rsidRDefault="00000000">
      <w:pPr>
        <w:pStyle w:val="Bodytext10"/>
        <w:spacing w:after="0" w:line="240" w:lineRule="auto"/>
        <w:ind w:firstLine="320"/>
        <w:sectPr w:rsidR="00F20C1A">
          <w:footerReference w:type="default" r:id="rId12"/>
          <w:pgSz w:w="11900" w:h="16840"/>
          <w:pgMar w:top="955" w:right="1257" w:bottom="2099" w:left="873" w:header="527" w:footer="3" w:gutter="0"/>
          <w:cols w:space="720"/>
          <w:noEndnote/>
          <w:docGrid w:linePitch="360"/>
        </w:sectPr>
      </w:pPr>
      <w:r>
        <w:rPr>
          <w:rStyle w:val="Bodytext1"/>
        </w:rPr>
        <w:t>1. Ostatní ujednání smlouvy 2012-430 ze dne 20. 01.2011 a jejích dodatků zůstávají nedotčeny</w:t>
      </w:r>
    </w:p>
    <w:p w14:paraId="72909D7B" w14:textId="77777777" w:rsidR="00F20C1A" w:rsidRDefault="00F20C1A">
      <w:pPr>
        <w:spacing w:line="240" w:lineRule="exact"/>
        <w:rPr>
          <w:sz w:val="19"/>
          <w:szCs w:val="19"/>
        </w:rPr>
      </w:pPr>
    </w:p>
    <w:p w14:paraId="30F65F63" w14:textId="77777777" w:rsidR="00F20C1A" w:rsidRDefault="00F20C1A">
      <w:pPr>
        <w:spacing w:before="1" w:after="1" w:line="240" w:lineRule="exact"/>
        <w:rPr>
          <w:sz w:val="19"/>
          <w:szCs w:val="19"/>
        </w:rPr>
      </w:pPr>
    </w:p>
    <w:p w14:paraId="76B63280" w14:textId="77777777" w:rsidR="00F20C1A" w:rsidRDefault="00F20C1A">
      <w:pPr>
        <w:spacing w:line="1" w:lineRule="exact"/>
        <w:sectPr w:rsidR="00F20C1A">
          <w:type w:val="continuous"/>
          <w:pgSz w:w="11900" w:h="16840"/>
          <w:pgMar w:top="955" w:right="0" w:bottom="9018" w:left="0" w:header="0" w:footer="3" w:gutter="0"/>
          <w:cols w:space="720"/>
          <w:noEndnote/>
          <w:docGrid w:linePitch="360"/>
        </w:sectPr>
      </w:pPr>
    </w:p>
    <w:p w14:paraId="46BC5B06" w14:textId="77777777" w:rsidR="00F20C1A" w:rsidRDefault="00000000">
      <w:pPr>
        <w:pStyle w:val="Bodytext10"/>
        <w:tabs>
          <w:tab w:val="right" w:leader="dot" w:pos="1404"/>
          <w:tab w:val="left" w:pos="1611"/>
          <w:tab w:val="left" w:leader="dot" w:pos="3182"/>
        </w:tabs>
        <w:spacing w:after="0" w:line="240" w:lineRule="auto"/>
        <w:jc w:val="both"/>
      </w:pPr>
      <w:r>
        <w:rPr>
          <w:rStyle w:val="Bodytext1"/>
        </w:rPr>
        <w:t>V</w:t>
      </w:r>
      <w:r>
        <w:rPr>
          <w:rStyle w:val="Bodytext1"/>
        </w:rPr>
        <w:tab/>
        <w:t>,</w:t>
      </w:r>
      <w:r>
        <w:rPr>
          <w:rStyle w:val="Bodytext1"/>
        </w:rPr>
        <w:tab/>
        <w:t>dne</w:t>
      </w:r>
      <w:r>
        <w:rPr>
          <w:rStyle w:val="Bodytext1"/>
        </w:rPr>
        <w:tab/>
      </w:r>
    </w:p>
    <w:p w14:paraId="42FCDF34" w14:textId="77777777" w:rsidR="00F20C1A" w:rsidRDefault="00000000">
      <w:pPr>
        <w:pStyle w:val="Bodytext10"/>
        <w:tabs>
          <w:tab w:val="left" w:leader="dot" w:pos="3190"/>
        </w:tabs>
        <w:spacing w:after="0" w:line="240" w:lineRule="auto"/>
        <w:sectPr w:rsidR="00F20C1A">
          <w:type w:val="continuous"/>
          <w:pgSz w:w="11900" w:h="16840"/>
          <w:pgMar w:top="955" w:right="2027" w:bottom="9018" w:left="1751" w:header="0" w:footer="3" w:gutter="0"/>
          <w:cols w:num="2" w:space="1627"/>
          <w:noEndnote/>
          <w:docGrid w:linePitch="360"/>
        </w:sectPr>
      </w:pPr>
      <w:r>
        <w:rPr>
          <w:rStyle w:val="Bodytext1"/>
        </w:rPr>
        <w:t>V Poděbradech, dne</w:t>
      </w:r>
      <w:r>
        <w:rPr>
          <w:rStyle w:val="Bodytext1"/>
        </w:rPr>
        <w:tab/>
      </w:r>
    </w:p>
    <w:p w14:paraId="7A0BA88D" w14:textId="77777777" w:rsidR="00F20C1A" w:rsidRDefault="00F20C1A">
      <w:pPr>
        <w:spacing w:line="240" w:lineRule="exact"/>
        <w:rPr>
          <w:sz w:val="19"/>
          <w:szCs w:val="19"/>
        </w:rPr>
      </w:pPr>
    </w:p>
    <w:p w14:paraId="2C4E212F" w14:textId="77777777" w:rsidR="00F20C1A" w:rsidRDefault="00F20C1A">
      <w:pPr>
        <w:spacing w:before="29" w:after="29" w:line="240" w:lineRule="exact"/>
        <w:rPr>
          <w:sz w:val="19"/>
          <w:szCs w:val="19"/>
        </w:rPr>
      </w:pPr>
    </w:p>
    <w:p w14:paraId="4C5BDA92" w14:textId="77777777" w:rsidR="00F20C1A" w:rsidRDefault="00F20C1A">
      <w:pPr>
        <w:spacing w:line="1" w:lineRule="exact"/>
        <w:sectPr w:rsidR="00F20C1A">
          <w:type w:val="continuous"/>
          <w:pgSz w:w="11900" w:h="16840"/>
          <w:pgMar w:top="955" w:right="0" w:bottom="1579" w:left="0" w:header="0" w:footer="3" w:gutter="0"/>
          <w:cols w:space="720"/>
          <w:noEndnote/>
          <w:docGrid w:linePitch="360"/>
        </w:sectPr>
      </w:pPr>
    </w:p>
    <w:p w14:paraId="181BAC23" w14:textId="77777777" w:rsidR="00F20C1A" w:rsidRDefault="00000000">
      <w:pPr>
        <w:pStyle w:val="Bodytext10"/>
        <w:framePr w:w="1397" w:h="238" w:wrap="none" w:vAnchor="text" w:hAnchor="page" w:x="7958" w:y="1592"/>
        <w:spacing w:after="0" w:line="240" w:lineRule="auto"/>
      </w:pPr>
      <w:r>
        <w:rPr>
          <w:rStyle w:val="Bodytext1"/>
        </w:rPr>
        <w:lastRenderedPageBreak/>
        <w:t>Za Poskytovatele</w:t>
      </w:r>
    </w:p>
    <w:p w14:paraId="78A77CE0" w14:textId="4779D35A" w:rsidR="00F20C1A" w:rsidRDefault="00F20C1A">
      <w:pPr>
        <w:spacing w:line="360" w:lineRule="exact"/>
      </w:pPr>
    </w:p>
    <w:p w14:paraId="4C6E8620" w14:textId="77777777" w:rsidR="00F20C1A" w:rsidRDefault="00F20C1A">
      <w:pPr>
        <w:spacing w:line="360" w:lineRule="exact"/>
      </w:pPr>
    </w:p>
    <w:p w14:paraId="471C5111" w14:textId="77777777" w:rsidR="00F20C1A" w:rsidRDefault="00F20C1A">
      <w:pPr>
        <w:spacing w:line="360" w:lineRule="exact"/>
      </w:pPr>
    </w:p>
    <w:p w14:paraId="245ED20B" w14:textId="77777777" w:rsidR="00F20C1A" w:rsidRDefault="00F20C1A">
      <w:pPr>
        <w:spacing w:line="360" w:lineRule="exact"/>
      </w:pPr>
    </w:p>
    <w:p w14:paraId="64ACB3CE" w14:textId="77777777" w:rsidR="00F20C1A" w:rsidRDefault="00F20C1A">
      <w:pPr>
        <w:spacing w:after="388" w:line="1" w:lineRule="exact"/>
      </w:pPr>
    </w:p>
    <w:p w14:paraId="507ACE6F" w14:textId="77777777" w:rsidR="00F20C1A" w:rsidRDefault="00F20C1A">
      <w:pPr>
        <w:spacing w:line="1" w:lineRule="exact"/>
      </w:pPr>
    </w:p>
    <w:sectPr w:rsidR="00F20C1A">
      <w:pgSz w:w="11900" w:h="16840"/>
      <w:pgMar w:top="955" w:right="1250" w:bottom="1579" w:left="8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453C9" w14:textId="77777777" w:rsidR="00B601E8" w:rsidRDefault="00B601E8">
      <w:r>
        <w:separator/>
      </w:r>
    </w:p>
  </w:endnote>
  <w:endnote w:type="continuationSeparator" w:id="0">
    <w:p w14:paraId="50A5C620" w14:textId="77777777" w:rsidR="00B601E8" w:rsidRDefault="00B6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CA93" w14:textId="77777777" w:rsidR="00F20C1A" w:rsidRDefault="00000000">
    <w:pPr>
      <w:spacing w:line="1" w:lineRule="exact"/>
    </w:pPr>
    <w:r>
      <w:rPr>
        <w:noProof/>
      </w:rPr>
      <mc:AlternateContent>
        <mc:Choice Requires="wps">
          <w:drawing>
            <wp:anchor distT="0" distB="0" distL="0" distR="0" simplePos="0" relativeHeight="62914690" behindDoc="1" locked="0" layoutInCell="1" allowOverlap="1" wp14:anchorId="6A42F3E9" wp14:editId="259431B3">
              <wp:simplePos x="0" y="0"/>
              <wp:positionH relativeFrom="page">
                <wp:posOffset>2204720</wp:posOffset>
              </wp:positionH>
              <wp:positionV relativeFrom="page">
                <wp:posOffset>9599295</wp:posOffset>
              </wp:positionV>
              <wp:extent cx="4004945" cy="320040"/>
              <wp:effectExtent l="0" t="0" r="0" b="0"/>
              <wp:wrapNone/>
              <wp:docPr id="11" name="Shape 11"/>
              <wp:cNvGraphicFramePr/>
              <a:graphic xmlns:a="http://schemas.openxmlformats.org/drawingml/2006/main">
                <a:graphicData uri="http://schemas.microsoft.com/office/word/2010/wordprocessingShape">
                  <wps:wsp>
                    <wps:cNvSpPr txBox="1"/>
                    <wps:spPr>
                      <a:xfrm>
                        <a:off x="0" y="0"/>
                        <a:ext cx="4004945" cy="320040"/>
                      </a:xfrm>
                      <a:prstGeom prst="rect">
                        <a:avLst/>
                      </a:prstGeom>
                      <a:noFill/>
                    </wps:spPr>
                    <wps:txbx>
                      <w:txbxContent>
                        <w:p w14:paraId="0F3EED7D" w14:textId="77777777" w:rsidR="00F20C1A" w:rsidRDefault="00000000">
                          <w:pPr>
                            <w:pStyle w:val="Headerorfooter20"/>
                            <w:rPr>
                              <w:sz w:val="15"/>
                              <w:szCs w:val="15"/>
                            </w:rPr>
                          </w:pPr>
                          <w:r>
                            <w:rPr>
                              <w:rStyle w:val="Headerorfooter2"/>
                              <w:sz w:val="15"/>
                              <w:szCs w:val="15"/>
                            </w:rPr>
                            <w:t>IVAR ID Poděbrady, s.r.o., Bílkova 127,290 01 Poděbrady-Kluk, tel: 325 610, 181,325 610 505</w:t>
                          </w:r>
                        </w:p>
                        <w:p w14:paraId="7C2993F2" w14:textId="77777777" w:rsidR="00F20C1A" w:rsidRDefault="00000000">
                          <w:pPr>
                            <w:pStyle w:val="Headerorfooter20"/>
                            <w:rPr>
                              <w:sz w:val="15"/>
                              <w:szCs w:val="15"/>
                            </w:rPr>
                          </w:pPr>
                          <w:r>
                            <w:rPr>
                              <w:rStyle w:val="Headerorfooter2"/>
                              <w:color w:val="4774AC"/>
                              <w:sz w:val="15"/>
                              <w:szCs w:val="15"/>
                              <w:u w:val="single"/>
                              <w:lang w:val="en-US" w:eastAsia="en-US" w:bidi="en-US"/>
                            </w:rPr>
                            <w:t>obchodni@ivarpodebradv.cz www.ivarpodebradv.cz</w:t>
                          </w:r>
                        </w:p>
                        <w:p w14:paraId="621DAC50" w14:textId="77777777" w:rsidR="00F20C1A" w:rsidRDefault="00000000">
                          <w:pPr>
                            <w:pStyle w:val="Headerorfooter20"/>
                            <w:rPr>
                              <w:sz w:val="15"/>
                              <w:szCs w:val="15"/>
                            </w:rPr>
                          </w:pPr>
                          <w:r>
                            <w:rPr>
                              <w:rStyle w:val="Headerorfooter2"/>
                              <w:sz w:val="15"/>
                              <w:szCs w:val="15"/>
                            </w:rPr>
                            <w:t>1Č: 11821434 DIČ: CZ11821434 Firma je zapsána v OR u MS v Praze, v oddílu C, vložce č. 354929</w:t>
                          </w:r>
                        </w:p>
                      </w:txbxContent>
                    </wps:txbx>
                    <wps:bodyPr wrap="none" lIns="0" tIns="0" rIns="0" bIns="0">
                      <a:spAutoFit/>
                    </wps:bodyPr>
                  </wps:wsp>
                </a:graphicData>
              </a:graphic>
            </wp:anchor>
          </w:drawing>
        </mc:Choice>
        <mc:Fallback>
          <w:pict>
            <v:shapetype w14:anchorId="6A42F3E9" id="_x0000_t202" coordsize="21600,21600" o:spt="202" path="m,l,21600r21600,l21600,xe">
              <v:stroke joinstyle="miter"/>
              <v:path gradientshapeok="t" o:connecttype="rect"/>
            </v:shapetype>
            <v:shape id="Shape 11" o:spid="_x0000_s1030" type="#_x0000_t202" style="position:absolute;margin-left:173.6pt;margin-top:755.85pt;width:315.35pt;height:25.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" filled="f" stroked="f">
              <v:textbox style="mso-fit-shape-to-text:t" inset="0,0,0,0">
                <w:txbxContent>
                  <w:p w14:paraId="0F3EED7D" w14:textId="77777777" w:rsidR="00F20C1A" w:rsidRDefault="00000000">
                    <w:pPr>
                      <w:pStyle w:val="Headerorfooter20"/>
                      <w:rPr>
                        <w:sz w:val="15"/>
                        <w:szCs w:val="15"/>
                      </w:rPr>
                    </w:pPr>
                    <w:r>
                      <w:rPr>
                        <w:rStyle w:val="Headerorfooter2"/>
                        <w:sz w:val="15"/>
                        <w:szCs w:val="15"/>
                      </w:rPr>
                      <w:t>IVAR ID Poděbrady, s.r.o., Bílkova 127,290 01 Poděbrady-Kluk, tel: 325 610, 181,325 610 505</w:t>
                    </w:r>
                  </w:p>
                  <w:p w14:paraId="7C2993F2" w14:textId="77777777" w:rsidR="00F20C1A" w:rsidRDefault="00000000">
                    <w:pPr>
                      <w:pStyle w:val="Headerorfooter20"/>
                      <w:rPr>
                        <w:sz w:val="15"/>
                        <w:szCs w:val="15"/>
                      </w:rPr>
                    </w:pPr>
                    <w:r>
                      <w:rPr>
                        <w:rStyle w:val="Headerorfooter2"/>
                        <w:color w:val="4774AC"/>
                        <w:sz w:val="15"/>
                        <w:szCs w:val="15"/>
                        <w:u w:val="single"/>
                        <w:lang w:val="en-US" w:eastAsia="en-US" w:bidi="en-US"/>
                      </w:rPr>
                      <w:t>obchodni@ivarpodebradv.cz www.ivarpodebradv.cz</w:t>
                    </w:r>
                  </w:p>
                  <w:p w14:paraId="621DAC50" w14:textId="77777777" w:rsidR="00F20C1A" w:rsidRDefault="00000000">
                    <w:pPr>
                      <w:pStyle w:val="Headerorfooter20"/>
                      <w:rPr>
                        <w:sz w:val="15"/>
                        <w:szCs w:val="15"/>
                      </w:rPr>
                    </w:pPr>
                    <w:r>
                      <w:rPr>
                        <w:rStyle w:val="Headerorfooter2"/>
                        <w:sz w:val="15"/>
                        <w:szCs w:val="15"/>
                      </w:rPr>
                      <w:t>1Č: 11821434 DIČ: CZ11821434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414363C3" wp14:editId="51571178">
              <wp:simplePos x="0" y="0"/>
              <wp:positionH relativeFrom="page">
                <wp:posOffset>897255</wp:posOffset>
              </wp:positionH>
              <wp:positionV relativeFrom="page">
                <wp:posOffset>9622155</wp:posOffset>
              </wp:positionV>
              <wp:extent cx="1033145" cy="347345"/>
              <wp:effectExtent l="0" t="0" r="0" b="0"/>
              <wp:wrapNone/>
              <wp:docPr id="13" name="Shape 13"/>
              <wp:cNvGraphicFramePr/>
              <a:graphic xmlns:a="http://schemas.openxmlformats.org/drawingml/2006/main">
                <a:graphicData uri="http://schemas.microsoft.com/office/word/2010/wordprocessingShape">
                  <wps:wsp>
                    <wps:cNvSpPr txBox="1"/>
                    <wps:spPr>
                      <a:xfrm>
                        <a:off x="0" y="0"/>
                        <a:ext cx="1033145" cy="347345"/>
                      </a:xfrm>
                      <a:prstGeom prst="rect">
                        <a:avLst/>
                      </a:prstGeom>
                      <a:noFill/>
                    </wps:spPr>
                    <wps:txbx>
                      <w:txbxContent>
                        <w:p w14:paraId="6C408B8C" w14:textId="77777777" w:rsidR="00F20C1A" w:rsidRDefault="00000000">
                          <w:pPr>
                            <w:pStyle w:val="Headerorfooter20"/>
                            <w:rPr>
                              <w:sz w:val="40"/>
                              <w:szCs w:val="40"/>
                            </w:rPr>
                          </w:pPr>
                          <w:proofErr w:type="spellStart"/>
                          <w:r>
                            <w:rPr>
                              <w:rStyle w:val="Headerorfooter2"/>
                              <w:rFonts w:ascii="Arial" w:eastAsia="Arial" w:hAnsi="Arial" w:cs="Arial"/>
                              <w:b/>
                              <w:bCs/>
                              <w:color w:val="DE5A58"/>
                              <w:sz w:val="40"/>
                              <w:szCs w:val="40"/>
                            </w:rPr>
                            <w:t>ÍUl</w:t>
                          </w:r>
                          <w:proofErr w:type="spellEnd"/>
                          <w:r>
                            <w:rPr>
                              <w:rStyle w:val="Headerorfooter2"/>
                              <w:rFonts w:ascii="Arial" w:eastAsia="Arial" w:hAnsi="Arial" w:cs="Arial"/>
                              <w:b/>
                              <w:bCs/>
                              <w:color w:val="DE5A58"/>
                              <w:sz w:val="40"/>
                              <w:szCs w:val="40"/>
                            </w:rPr>
                            <w:t xml:space="preserve"> </w:t>
                          </w:r>
                          <w:proofErr w:type="spellStart"/>
                          <w:r>
                            <w:rPr>
                              <w:rStyle w:val="Headerorfooter2"/>
                              <w:rFonts w:ascii="Arial" w:eastAsia="Arial" w:hAnsi="Arial" w:cs="Arial"/>
                              <w:b/>
                              <w:bCs/>
                              <w:sz w:val="40"/>
                              <w:szCs w:val="40"/>
                            </w:rPr>
                            <w:t>iVRR</w:t>
                          </w:r>
                          <w:proofErr w:type="spellEnd"/>
                          <w:r>
                            <w:rPr>
                              <w:rStyle w:val="Headerorfooter2"/>
                              <w:rFonts w:ascii="Arial" w:eastAsia="Arial" w:hAnsi="Arial" w:cs="Arial"/>
                              <w:b/>
                              <w:bCs/>
                              <w:sz w:val="40"/>
                              <w:szCs w:val="40"/>
                            </w:rPr>
                            <w:t xml:space="preserve"> </w:t>
                          </w:r>
                          <w:proofErr w:type="spellStart"/>
                          <w:r>
                            <w:rPr>
                              <w:rStyle w:val="Headerorfooter2"/>
                              <w:rFonts w:ascii="Arial" w:eastAsia="Arial" w:hAnsi="Arial" w:cs="Arial"/>
                              <w:b/>
                              <w:bCs/>
                              <w:sz w:val="40"/>
                              <w:szCs w:val="40"/>
                            </w:rPr>
                            <w:t>iD</w:t>
                          </w:r>
                          <w:proofErr w:type="spellEnd"/>
                        </w:p>
                      </w:txbxContent>
                    </wps:txbx>
                    <wps:bodyPr wrap="none" lIns="0" tIns="0" rIns="0" bIns="0">
                      <a:spAutoFit/>
                    </wps:bodyPr>
                  </wps:wsp>
                </a:graphicData>
              </a:graphic>
            </wp:anchor>
          </w:drawing>
        </mc:Choice>
        <mc:Fallback>
          <w:pict>
            <v:shape w14:anchorId="414363C3" id="Shape 13" o:spid="_x0000_s1031" type="#_x0000_t202" style="position:absolute;margin-left:70.65pt;margin-top:757.65pt;width:81.35pt;height:27.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" filled="f" stroked="f">
              <v:textbox style="mso-fit-shape-to-text:t" inset="0,0,0,0">
                <w:txbxContent>
                  <w:p w14:paraId="6C408B8C" w14:textId="77777777" w:rsidR="00F20C1A" w:rsidRDefault="00000000">
                    <w:pPr>
                      <w:pStyle w:val="Headerorfooter20"/>
                      <w:rPr>
                        <w:sz w:val="40"/>
                        <w:szCs w:val="40"/>
                      </w:rPr>
                    </w:pPr>
                    <w:proofErr w:type="spellStart"/>
                    <w:r>
                      <w:rPr>
                        <w:rStyle w:val="Headerorfooter2"/>
                        <w:rFonts w:ascii="Arial" w:eastAsia="Arial" w:hAnsi="Arial" w:cs="Arial"/>
                        <w:b/>
                        <w:bCs/>
                        <w:color w:val="DE5A58"/>
                        <w:sz w:val="40"/>
                        <w:szCs w:val="40"/>
                      </w:rPr>
                      <w:t>ÍUl</w:t>
                    </w:r>
                    <w:proofErr w:type="spellEnd"/>
                    <w:r>
                      <w:rPr>
                        <w:rStyle w:val="Headerorfooter2"/>
                        <w:rFonts w:ascii="Arial" w:eastAsia="Arial" w:hAnsi="Arial" w:cs="Arial"/>
                        <w:b/>
                        <w:bCs/>
                        <w:color w:val="DE5A58"/>
                        <w:sz w:val="40"/>
                        <w:szCs w:val="40"/>
                      </w:rPr>
                      <w:t xml:space="preserve"> </w:t>
                    </w:r>
                    <w:proofErr w:type="spellStart"/>
                    <w:r>
                      <w:rPr>
                        <w:rStyle w:val="Headerorfooter2"/>
                        <w:rFonts w:ascii="Arial" w:eastAsia="Arial" w:hAnsi="Arial" w:cs="Arial"/>
                        <w:b/>
                        <w:bCs/>
                        <w:sz w:val="40"/>
                        <w:szCs w:val="40"/>
                      </w:rPr>
                      <w:t>iVRR</w:t>
                    </w:r>
                    <w:proofErr w:type="spellEnd"/>
                    <w:r>
                      <w:rPr>
                        <w:rStyle w:val="Headerorfooter2"/>
                        <w:rFonts w:ascii="Arial" w:eastAsia="Arial" w:hAnsi="Arial" w:cs="Arial"/>
                        <w:b/>
                        <w:bCs/>
                        <w:sz w:val="40"/>
                        <w:szCs w:val="40"/>
                      </w:rPr>
                      <w:t xml:space="preserve"> </w:t>
                    </w:r>
                    <w:proofErr w:type="spellStart"/>
                    <w:r>
                      <w:rPr>
                        <w:rStyle w:val="Headerorfooter2"/>
                        <w:rFonts w:ascii="Arial" w:eastAsia="Arial" w:hAnsi="Arial" w:cs="Arial"/>
                        <w:b/>
                        <w:bCs/>
                        <w:sz w:val="40"/>
                        <w:szCs w:val="40"/>
                      </w:rPr>
                      <w:t>iD</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F29E" w14:textId="77777777" w:rsidR="00F20C1A" w:rsidRDefault="00000000">
    <w:pPr>
      <w:spacing w:line="1" w:lineRule="exact"/>
    </w:pPr>
    <w:r>
      <w:rPr>
        <w:noProof/>
      </w:rPr>
      <mc:AlternateContent>
        <mc:Choice Requires="wps">
          <w:drawing>
            <wp:anchor distT="0" distB="0" distL="0" distR="0" simplePos="0" relativeHeight="62914694" behindDoc="1" locked="0" layoutInCell="1" allowOverlap="1" wp14:anchorId="14461C70" wp14:editId="60BDA11E">
              <wp:simplePos x="0" y="0"/>
              <wp:positionH relativeFrom="page">
                <wp:posOffset>2149475</wp:posOffset>
              </wp:positionH>
              <wp:positionV relativeFrom="page">
                <wp:posOffset>9658985</wp:posOffset>
              </wp:positionV>
              <wp:extent cx="4032250" cy="320040"/>
              <wp:effectExtent l="0" t="0" r="0" b="0"/>
              <wp:wrapNone/>
              <wp:docPr id="15" name="Shape 15"/>
              <wp:cNvGraphicFramePr/>
              <a:graphic xmlns:a="http://schemas.openxmlformats.org/drawingml/2006/main">
                <a:graphicData uri="http://schemas.microsoft.com/office/word/2010/wordprocessingShape">
                  <wps:wsp>
                    <wps:cNvSpPr txBox="1"/>
                    <wps:spPr>
                      <a:xfrm>
                        <a:off x="0" y="0"/>
                        <a:ext cx="4032250" cy="320040"/>
                      </a:xfrm>
                      <a:prstGeom prst="rect">
                        <a:avLst/>
                      </a:prstGeom>
                      <a:noFill/>
                    </wps:spPr>
                    <wps:txbx>
                      <w:txbxContent>
                        <w:p w14:paraId="5A7FDA5F" w14:textId="77777777" w:rsidR="00F20C1A" w:rsidRDefault="00000000">
                          <w:pPr>
                            <w:pStyle w:val="Headerorfooter20"/>
                            <w:rPr>
                              <w:sz w:val="15"/>
                              <w:szCs w:val="15"/>
                            </w:rPr>
                          </w:pPr>
                          <w:r>
                            <w:rPr>
                              <w:rStyle w:val="Headerorfooter2"/>
                              <w:sz w:val="15"/>
                              <w:szCs w:val="15"/>
                            </w:rPr>
                            <w:t xml:space="preserve">IVAR ID Poděbrady, </w:t>
                          </w:r>
                          <w:proofErr w:type="gramStart"/>
                          <w:r>
                            <w:rPr>
                              <w:rStyle w:val="Headerorfooter2"/>
                              <w:sz w:val="15"/>
                              <w:szCs w:val="15"/>
                            </w:rPr>
                            <w:t>s.r.o ,</w:t>
                          </w:r>
                          <w:proofErr w:type="gramEnd"/>
                          <w:r>
                            <w:rPr>
                              <w:rStyle w:val="Headerorfooter2"/>
                              <w:sz w:val="15"/>
                              <w:szCs w:val="15"/>
                            </w:rPr>
                            <w:t xml:space="preserve"> Bílkova 127,290 01 Poděbrady-Kluk, tel: 325 610, 181.325 610 505</w:t>
                          </w:r>
                        </w:p>
                        <w:p w14:paraId="75E94D85" w14:textId="77777777" w:rsidR="00F20C1A" w:rsidRDefault="00000000">
                          <w:pPr>
                            <w:pStyle w:val="Headerorfooter20"/>
                            <w:rPr>
                              <w:sz w:val="15"/>
                              <w:szCs w:val="15"/>
                            </w:rPr>
                          </w:pPr>
                          <w:r>
                            <w:rPr>
                              <w:rStyle w:val="Headerorfooter2"/>
                              <w:color w:val="4774AC"/>
                              <w:sz w:val="15"/>
                              <w:szCs w:val="15"/>
                              <w:u w:val="single"/>
                              <w:lang w:val="en-US" w:eastAsia="en-US" w:bidi="en-US"/>
                            </w:rPr>
                            <w:t>obchodni@ivarpodcbradv.cz www.ivarpodebrady.cz</w:t>
                          </w:r>
                        </w:p>
                        <w:p w14:paraId="124FE473" w14:textId="77777777" w:rsidR="00F20C1A" w:rsidRDefault="00000000">
                          <w:pPr>
                            <w:pStyle w:val="Headerorfooter20"/>
                            <w:rPr>
                              <w:sz w:val="15"/>
                              <w:szCs w:val="15"/>
                            </w:rPr>
                          </w:pPr>
                          <w:r>
                            <w:rPr>
                              <w:rStyle w:val="Headerorfooter2"/>
                              <w:sz w:val="15"/>
                              <w:szCs w:val="15"/>
                            </w:rPr>
                            <w:t>IČ: 11821434 DIČ: CZ11821434 Firma je zapsána v OR u MS v Praze, v oddílu C, vložce č. 354929</w:t>
                          </w:r>
                        </w:p>
                      </w:txbxContent>
                    </wps:txbx>
                    <wps:bodyPr wrap="none" lIns="0" tIns="0" rIns="0" bIns="0">
                      <a:spAutoFit/>
                    </wps:bodyPr>
                  </wps:wsp>
                </a:graphicData>
              </a:graphic>
            </wp:anchor>
          </w:drawing>
        </mc:Choice>
        <mc:Fallback>
          <w:pict>
            <v:shapetype w14:anchorId="14461C70" id="_x0000_t202" coordsize="21600,21600" o:spt="202" path="m,l,21600r21600,l21600,xe">
              <v:stroke joinstyle="miter"/>
              <v:path gradientshapeok="t" o:connecttype="rect"/>
            </v:shapetype>
            <v:shape id="Shape 15" o:spid="_x0000_s1032" type="#_x0000_t202" style="position:absolute;margin-left:169.25pt;margin-top:760.55pt;width:317.5pt;height:25.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ghgEAAAc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" filled="f" stroked="f">
              <v:textbox style="mso-fit-shape-to-text:t" inset="0,0,0,0">
                <w:txbxContent>
                  <w:p w14:paraId="5A7FDA5F" w14:textId="77777777" w:rsidR="00F20C1A" w:rsidRDefault="00000000">
                    <w:pPr>
                      <w:pStyle w:val="Headerorfooter20"/>
                      <w:rPr>
                        <w:sz w:val="15"/>
                        <w:szCs w:val="15"/>
                      </w:rPr>
                    </w:pPr>
                    <w:r>
                      <w:rPr>
                        <w:rStyle w:val="Headerorfooter2"/>
                        <w:sz w:val="15"/>
                        <w:szCs w:val="15"/>
                      </w:rPr>
                      <w:t xml:space="preserve">IVAR ID Poděbrady, </w:t>
                    </w:r>
                    <w:proofErr w:type="gramStart"/>
                    <w:r>
                      <w:rPr>
                        <w:rStyle w:val="Headerorfooter2"/>
                        <w:sz w:val="15"/>
                        <w:szCs w:val="15"/>
                      </w:rPr>
                      <w:t>s.r.o ,</w:t>
                    </w:r>
                    <w:proofErr w:type="gramEnd"/>
                    <w:r>
                      <w:rPr>
                        <w:rStyle w:val="Headerorfooter2"/>
                        <w:sz w:val="15"/>
                        <w:szCs w:val="15"/>
                      </w:rPr>
                      <w:t xml:space="preserve"> Bílkova 127,290 01 Poděbrady-Kluk, tel: 325 610, 181.325 610 505</w:t>
                    </w:r>
                  </w:p>
                  <w:p w14:paraId="75E94D85" w14:textId="77777777" w:rsidR="00F20C1A" w:rsidRDefault="00000000">
                    <w:pPr>
                      <w:pStyle w:val="Headerorfooter20"/>
                      <w:rPr>
                        <w:sz w:val="15"/>
                        <w:szCs w:val="15"/>
                      </w:rPr>
                    </w:pPr>
                    <w:r>
                      <w:rPr>
                        <w:rStyle w:val="Headerorfooter2"/>
                        <w:color w:val="4774AC"/>
                        <w:sz w:val="15"/>
                        <w:szCs w:val="15"/>
                        <w:u w:val="single"/>
                        <w:lang w:val="en-US" w:eastAsia="en-US" w:bidi="en-US"/>
                      </w:rPr>
                      <w:t>obchodni@ivarpodcbradv.cz www.ivarpodebrady.cz</w:t>
                    </w:r>
                  </w:p>
                  <w:p w14:paraId="124FE473" w14:textId="77777777" w:rsidR="00F20C1A" w:rsidRDefault="00000000">
                    <w:pPr>
                      <w:pStyle w:val="Headerorfooter20"/>
                      <w:rPr>
                        <w:sz w:val="15"/>
                        <w:szCs w:val="15"/>
                      </w:rPr>
                    </w:pPr>
                    <w:r>
                      <w:rPr>
                        <w:rStyle w:val="Headerorfooter2"/>
                        <w:sz w:val="15"/>
                        <w:szCs w:val="15"/>
                      </w:rPr>
                      <w:t>IČ: 11821434 DIČ: CZ11821434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65DAF116" wp14:editId="1B5FB621">
              <wp:simplePos x="0" y="0"/>
              <wp:positionH relativeFrom="page">
                <wp:posOffset>860425</wp:posOffset>
              </wp:positionH>
              <wp:positionV relativeFrom="page">
                <wp:posOffset>9676765</wp:posOffset>
              </wp:positionV>
              <wp:extent cx="1024255" cy="347345"/>
              <wp:effectExtent l="0" t="0" r="0" b="0"/>
              <wp:wrapNone/>
              <wp:docPr id="17" name="Shape 17"/>
              <wp:cNvGraphicFramePr/>
              <a:graphic xmlns:a="http://schemas.openxmlformats.org/drawingml/2006/main">
                <a:graphicData uri="http://schemas.microsoft.com/office/word/2010/wordprocessingShape">
                  <wps:wsp>
                    <wps:cNvSpPr txBox="1"/>
                    <wps:spPr>
                      <a:xfrm>
                        <a:off x="0" y="0"/>
                        <a:ext cx="1024255" cy="347345"/>
                      </a:xfrm>
                      <a:prstGeom prst="rect">
                        <a:avLst/>
                      </a:prstGeom>
                      <a:noFill/>
                    </wps:spPr>
                    <wps:txbx>
                      <w:txbxContent>
                        <w:p w14:paraId="60784F86" w14:textId="77777777" w:rsidR="00F20C1A" w:rsidRDefault="00000000">
                          <w:pPr>
                            <w:pStyle w:val="Headerorfooter20"/>
                            <w:rPr>
                              <w:sz w:val="40"/>
                              <w:szCs w:val="40"/>
                            </w:rPr>
                          </w:pPr>
                          <w:r>
                            <w:rPr>
                              <w:rStyle w:val="Headerorfooter2"/>
                              <w:rFonts w:ascii="Arial" w:eastAsia="Arial" w:hAnsi="Arial" w:cs="Arial"/>
                              <w:b/>
                              <w:bCs/>
                              <w:color w:val="DE5A58"/>
                              <w:sz w:val="40"/>
                              <w:szCs w:val="40"/>
                            </w:rPr>
                            <w:t xml:space="preserve">W </w:t>
                          </w:r>
                          <w:proofErr w:type="spellStart"/>
                          <w:r>
                            <w:rPr>
                              <w:rStyle w:val="Headerorfooter2"/>
                              <w:rFonts w:ascii="Arial" w:eastAsia="Arial" w:hAnsi="Arial" w:cs="Arial"/>
                              <w:b/>
                              <w:bCs/>
                              <w:sz w:val="40"/>
                              <w:szCs w:val="40"/>
                            </w:rPr>
                            <w:t>iVAR</w:t>
                          </w:r>
                          <w:proofErr w:type="spellEnd"/>
                          <w:r>
                            <w:rPr>
                              <w:rStyle w:val="Headerorfooter2"/>
                              <w:rFonts w:ascii="Arial" w:eastAsia="Arial" w:hAnsi="Arial" w:cs="Arial"/>
                              <w:b/>
                              <w:bCs/>
                              <w:sz w:val="40"/>
                              <w:szCs w:val="40"/>
                            </w:rPr>
                            <w:t xml:space="preserve"> </w:t>
                          </w:r>
                          <w:proofErr w:type="spellStart"/>
                          <w:r>
                            <w:rPr>
                              <w:rStyle w:val="Headerorfooter2"/>
                              <w:rFonts w:ascii="Arial" w:eastAsia="Arial" w:hAnsi="Arial" w:cs="Arial"/>
                              <w:b/>
                              <w:bCs/>
                              <w:sz w:val="40"/>
                              <w:szCs w:val="40"/>
                            </w:rPr>
                            <w:t>iD</w:t>
                          </w:r>
                          <w:proofErr w:type="spellEnd"/>
                        </w:p>
                      </w:txbxContent>
                    </wps:txbx>
                    <wps:bodyPr wrap="none" lIns="0" tIns="0" rIns="0" bIns="0">
                      <a:spAutoFit/>
                    </wps:bodyPr>
                  </wps:wsp>
                </a:graphicData>
              </a:graphic>
            </wp:anchor>
          </w:drawing>
        </mc:Choice>
        <mc:Fallback>
          <w:pict>
            <v:shape w14:anchorId="65DAF116" id="Shape 17" o:spid="_x0000_s1033" type="#_x0000_t202" style="position:absolute;margin-left:67.75pt;margin-top:761.95pt;width:80.65pt;height:27.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" filled="f" stroked="f">
              <v:textbox style="mso-fit-shape-to-text:t" inset="0,0,0,0">
                <w:txbxContent>
                  <w:p w14:paraId="60784F86" w14:textId="77777777" w:rsidR="00F20C1A" w:rsidRDefault="00000000">
                    <w:pPr>
                      <w:pStyle w:val="Headerorfooter20"/>
                      <w:rPr>
                        <w:sz w:val="40"/>
                        <w:szCs w:val="40"/>
                      </w:rPr>
                    </w:pPr>
                    <w:r>
                      <w:rPr>
                        <w:rStyle w:val="Headerorfooter2"/>
                        <w:rFonts w:ascii="Arial" w:eastAsia="Arial" w:hAnsi="Arial" w:cs="Arial"/>
                        <w:b/>
                        <w:bCs/>
                        <w:color w:val="DE5A58"/>
                        <w:sz w:val="40"/>
                        <w:szCs w:val="40"/>
                      </w:rPr>
                      <w:t xml:space="preserve">W </w:t>
                    </w:r>
                    <w:proofErr w:type="spellStart"/>
                    <w:r>
                      <w:rPr>
                        <w:rStyle w:val="Headerorfooter2"/>
                        <w:rFonts w:ascii="Arial" w:eastAsia="Arial" w:hAnsi="Arial" w:cs="Arial"/>
                        <w:b/>
                        <w:bCs/>
                        <w:sz w:val="40"/>
                        <w:szCs w:val="40"/>
                      </w:rPr>
                      <w:t>iVAR</w:t>
                    </w:r>
                    <w:proofErr w:type="spellEnd"/>
                    <w:r>
                      <w:rPr>
                        <w:rStyle w:val="Headerorfooter2"/>
                        <w:rFonts w:ascii="Arial" w:eastAsia="Arial" w:hAnsi="Arial" w:cs="Arial"/>
                        <w:b/>
                        <w:bCs/>
                        <w:sz w:val="40"/>
                        <w:szCs w:val="40"/>
                      </w:rPr>
                      <w:t xml:space="preserve"> </w:t>
                    </w:r>
                    <w:proofErr w:type="spellStart"/>
                    <w:r>
                      <w:rPr>
                        <w:rStyle w:val="Headerorfooter2"/>
                        <w:rFonts w:ascii="Arial" w:eastAsia="Arial" w:hAnsi="Arial" w:cs="Arial"/>
                        <w:b/>
                        <w:bCs/>
                        <w:sz w:val="40"/>
                        <w:szCs w:val="40"/>
                      </w:rPr>
                      <w:t>iD</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1DAAF" w14:textId="77777777" w:rsidR="00F20C1A" w:rsidRDefault="00000000">
    <w:pPr>
      <w:spacing w:line="1" w:lineRule="exact"/>
    </w:pPr>
    <w:r>
      <w:rPr>
        <w:noProof/>
      </w:rPr>
      <mc:AlternateContent>
        <mc:Choice Requires="wps">
          <w:drawing>
            <wp:anchor distT="0" distB="0" distL="0" distR="0" simplePos="0" relativeHeight="62914698" behindDoc="1" locked="0" layoutInCell="1" allowOverlap="1" wp14:anchorId="41DAE15C" wp14:editId="05046A4E">
              <wp:simplePos x="0" y="0"/>
              <wp:positionH relativeFrom="page">
                <wp:posOffset>2163445</wp:posOffset>
              </wp:positionH>
              <wp:positionV relativeFrom="page">
                <wp:posOffset>9626600</wp:posOffset>
              </wp:positionV>
              <wp:extent cx="4018915" cy="320040"/>
              <wp:effectExtent l="0" t="0" r="0" b="0"/>
              <wp:wrapNone/>
              <wp:docPr id="19" name="Shape 19"/>
              <wp:cNvGraphicFramePr/>
              <a:graphic xmlns:a="http://schemas.openxmlformats.org/drawingml/2006/main">
                <a:graphicData uri="http://schemas.microsoft.com/office/word/2010/wordprocessingShape">
                  <wps:wsp>
                    <wps:cNvSpPr txBox="1"/>
                    <wps:spPr>
                      <a:xfrm>
                        <a:off x="0" y="0"/>
                        <a:ext cx="4018915" cy="320040"/>
                      </a:xfrm>
                      <a:prstGeom prst="rect">
                        <a:avLst/>
                      </a:prstGeom>
                      <a:noFill/>
                    </wps:spPr>
                    <wps:txbx>
                      <w:txbxContent>
                        <w:p w14:paraId="5BACF78E" w14:textId="77777777" w:rsidR="00F20C1A" w:rsidRDefault="00000000">
                          <w:pPr>
                            <w:pStyle w:val="Headerorfooter20"/>
                            <w:rPr>
                              <w:sz w:val="15"/>
                              <w:szCs w:val="15"/>
                            </w:rPr>
                          </w:pPr>
                          <w:r>
                            <w:rPr>
                              <w:rStyle w:val="Headerorfooter2"/>
                              <w:sz w:val="15"/>
                              <w:szCs w:val="15"/>
                            </w:rPr>
                            <w:t xml:space="preserve">IVAR ID Poděbrady, </w:t>
                          </w:r>
                          <w:proofErr w:type="spellStart"/>
                          <w:r>
                            <w:rPr>
                              <w:rStyle w:val="Headerorfooter2"/>
                              <w:sz w:val="15"/>
                              <w:szCs w:val="15"/>
                            </w:rPr>
                            <w:t>s.r</w:t>
                          </w:r>
                          <w:proofErr w:type="spellEnd"/>
                          <w:r>
                            <w:rPr>
                              <w:rStyle w:val="Headerorfooter2"/>
                              <w:sz w:val="15"/>
                              <w:szCs w:val="15"/>
                            </w:rPr>
                            <w:t xml:space="preserve"> o., Bílkova 127, 290 01 Poděbrady-Kluk, tel: 325 610, 181,325 610 505</w:t>
                          </w:r>
                        </w:p>
                        <w:p w14:paraId="15A1EEB6" w14:textId="77777777" w:rsidR="00F20C1A" w:rsidRDefault="00000000">
                          <w:pPr>
                            <w:pStyle w:val="Headerorfooter20"/>
                            <w:rPr>
                              <w:sz w:val="15"/>
                              <w:szCs w:val="15"/>
                            </w:rPr>
                          </w:pPr>
                          <w:r>
                            <w:rPr>
                              <w:rStyle w:val="Headerorfooter2"/>
                              <w:color w:val="4774AC"/>
                              <w:sz w:val="15"/>
                              <w:szCs w:val="15"/>
                              <w:u w:val="single"/>
                            </w:rPr>
                            <w:t xml:space="preserve">obchodní č </w:t>
                          </w:r>
                          <w:proofErr w:type="spellStart"/>
                          <w:r>
                            <w:rPr>
                              <w:rStyle w:val="Headerorfooter2"/>
                              <w:color w:val="4774AC"/>
                              <w:sz w:val="15"/>
                              <w:szCs w:val="15"/>
                              <w:u w:val="single"/>
                            </w:rPr>
                            <w:t>iva</w:t>
                          </w:r>
                          <w:proofErr w:type="spellEnd"/>
                          <w:r>
                            <w:rPr>
                              <w:rStyle w:val="Headerorfooter2"/>
                              <w:color w:val="4774AC"/>
                              <w:sz w:val="15"/>
                              <w:szCs w:val="15"/>
                              <w:u w:val="single"/>
                              <w:lang w:val="en-US" w:eastAsia="en-US" w:bidi="en-US"/>
                            </w:rPr>
                            <w:t>rpodebrady.cz www.ivarpodebradv.cz</w:t>
                          </w:r>
                        </w:p>
                        <w:p w14:paraId="004F8AB9" w14:textId="77777777" w:rsidR="00F20C1A" w:rsidRDefault="00000000">
                          <w:pPr>
                            <w:pStyle w:val="Headerorfooter20"/>
                            <w:rPr>
                              <w:sz w:val="15"/>
                              <w:szCs w:val="15"/>
                            </w:rPr>
                          </w:pPr>
                          <w:r>
                            <w:rPr>
                              <w:rStyle w:val="Headerorfooter2"/>
                              <w:sz w:val="15"/>
                              <w:szCs w:val="15"/>
                            </w:rPr>
                            <w:t>IČ: 11821434 DIČ: C7.11821434 Firma je zapsána v OR u MS v Praze, v oddílu C, vložce č. 354929</w:t>
                          </w:r>
                        </w:p>
                      </w:txbxContent>
                    </wps:txbx>
                    <wps:bodyPr wrap="none" lIns="0" tIns="0" rIns="0" bIns="0">
                      <a:spAutoFit/>
                    </wps:bodyPr>
                  </wps:wsp>
                </a:graphicData>
              </a:graphic>
            </wp:anchor>
          </w:drawing>
        </mc:Choice>
        <mc:Fallback>
          <w:pict>
            <v:shapetype w14:anchorId="41DAE15C" id="_x0000_t202" coordsize="21600,21600" o:spt="202" path="m,l,21600r21600,l21600,xe">
              <v:stroke joinstyle="miter"/>
              <v:path gradientshapeok="t" o:connecttype="rect"/>
            </v:shapetype>
            <v:shape id="Shape 19" o:spid="_x0000_s1034" type="#_x0000_t202" style="position:absolute;margin-left:170.35pt;margin-top:758pt;width:316.45pt;height:25.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" filled="f" stroked="f">
              <v:textbox style="mso-fit-shape-to-text:t" inset="0,0,0,0">
                <w:txbxContent>
                  <w:p w14:paraId="5BACF78E" w14:textId="77777777" w:rsidR="00F20C1A" w:rsidRDefault="00000000">
                    <w:pPr>
                      <w:pStyle w:val="Headerorfooter20"/>
                      <w:rPr>
                        <w:sz w:val="15"/>
                        <w:szCs w:val="15"/>
                      </w:rPr>
                    </w:pPr>
                    <w:r>
                      <w:rPr>
                        <w:rStyle w:val="Headerorfooter2"/>
                        <w:sz w:val="15"/>
                        <w:szCs w:val="15"/>
                      </w:rPr>
                      <w:t xml:space="preserve">IVAR ID Poděbrady, </w:t>
                    </w:r>
                    <w:proofErr w:type="spellStart"/>
                    <w:r>
                      <w:rPr>
                        <w:rStyle w:val="Headerorfooter2"/>
                        <w:sz w:val="15"/>
                        <w:szCs w:val="15"/>
                      </w:rPr>
                      <w:t>s.r</w:t>
                    </w:r>
                    <w:proofErr w:type="spellEnd"/>
                    <w:r>
                      <w:rPr>
                        <w:rStyle w:val="Headerorfooter2"/>
                        <w:sz w:val="15"/>
                        <w:szCs w:val="15"/>
                      </w:rPr>
                      <w:t xml:space="preserve"> o., Bílkova 127, 290 01 Poděbrady-Kluk, tel: 325 610, 181,325 610 505</w:t>
                    </w:r>
                  </w:p>
                  <w:p w14:paraId="15A1EEB6" w14:textId="77777777" w:rsidR="00F20C1A" w:rsidRDefault="00000000">
                    <w:pPr>
                      <w:pStyle w:val="Headerorfooter20"/>
                      <w:rPr>
                        <w:sz w:val="15"/>
                        <w:szCs w:val="15"/>
                      </w:rPr>
                    </w:pPr>
                    <w:r>
                      <w:rPr>
                        <w:rStyle w:val="Headerorfooter2"/>
                        <w:color w:val="4774AC"/>
                        <w:sz w:val="15"/>
                        <w:szCs w:val="15"/>
                        <w:u w:val="single"/>
                      </w:rPr>
                      <w:t xml:space="preserve">obchodní č </w:t>
                    </w:r>
                    <w:proofErr w:type="spellStart"/>
                    <w:r>
                      <w:rPr>
                        <w:rStyle w:val="Headerorfooter2"/>
                        <w:color w:val="4774AC"/>
                        <w:sz w:val="15"/>
                        <w:szCs w:val="15"/>
                        <w:u w:val="single"/>
                      </w:rPr>
                      <w:t>iva</w:t>
                    </w:r>
                    <w:proofErr w:type="spellEnd"/>
                    <w:r>
                      <w:rPr>
                        <w:rStyle w:val="Headerorfooter2"/>
                        <w:color w:val="4774AC"/>
                        <w:sz w:val="15"/>
                        <w:szCs w:val="15"/>
                        <w:u w:val="single"/>
                        <w:lang w:val="en-US" w:eastAsia="en-US" w:bidi="en-US"/>
                      </w:rPr>
                      <w:t>rpodebrady.cz www.ivarpodebradv.cz</w:t>
                    </w:r>
                  </w:p>
                  <w:p w14:paraId="004F8AB9" w14:textId="77777777" w:rsidR="00F20C1A" w:rsidRDefault="00000000">
                    <w:pPr>
                      <w:pStyle w:val="Headerorfooter20"/>
                      <w:rPr>
                        <w:sz w:val="15"/>
                        <w:szCs w:val="15"/>
                      </w:rPr>
                    </w:pPr>
                    <w:r>
                      <w:rPr>
                        <w:rStyle w:val="Headerorfooter2"/>
                        <w:sz w:val="15"/>
                        <w:szCs w:val="15"/>
                      </w:rPr>
                      <w:t>IČ: 11821434 DIČ: C7.11821434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156EEAAF" wp14:editId="5B2E05D4">
              <wp:simplePos x="0" y="0"/>
              <wp:positionH relativeFrom="page">
                <wp:posOffset>860425</wp:posOffset>
              </wp:positionH>
              <wp:positionV relativeFrom="page">
                <wp:posOffset>9640570</wp:posOffset>
              </wp:positionV>
              <wp:extent cx="1033145" cy="347345"/>
              <wp:effectExtent l="0" t="0" r="0" b="0"/>
              <wp:wrapNone/>
              <wp:docPr id="21" name="Shape 21"/>
              <wp:cNvGraphicFramePr/>
              <a:graphic xmlns:a="http://schemas.openxmlformats.org/drawingml/2006/main">
                <a:graphicData uri="http://schemas.microsoft.com/office/word/2010/wordprocessingShape">
                  <wps:wsp>
                    <wps:cNvSpPr txBox="1"/>
                    <wps:spPr>
                      <a:xfrm>
                        <a:off x="0" y="0"/>
                        <a:ext cx="1033145" cy="347345"/>
                      </a:xfrm>
                      <a:prstGeom prst="rect">
                        <a:avLst/>
                      </a:prstGeom>
                      <a:noFill/>
                    </wps:spPr>
                    <wps:txbx>
                      <w:txbxContent>
                        <w:p w14:paraId="63901FA3" w14:textId="77777777" w:rsidR="00F20C1A" w:rsidRDefault="00000000">
                          <w:pPr>
                            <w:pStyle w:val="Headerorfooter20"/>
                            <w:rPr>
                              <w:sz w:val="40"/>
                              <w:szCs w:val="40"/>
                            </w:rPr>
                          </w:pPr>
                          <w:proofErr w:type="spellStart"/>
                          <w:r>
                            <w:rPr>
                              <w:rStyle w:val="Headerorfooter2"/>
                              <w:rFonts w:ascii="Arial" w:eastAsia="Arial" w:hAnsi="Arial" w:cs="Arial"/>
                              <w:b/>
                              <w:bCs/>
                              <w:color w:val="DE5A58"/>
                              <w:sz w:val="40"/>
                              <w:szCs w:val="40"/>
                            </w:rPr>
                            <w:t>W</w:t>
                          </w:r>
                          <w:r>
                            <w:rPr>
                              <w:rStyle w:val="Headerorfooter2"/>
                              <w:rFonts w:ascii="Arial" w:eastAsia="Arial" w:hAnsi="Arial" w:cs="Arial"/>
                              <w:b/>
                              <w:bCs/>
                              <w:sz w:val="40"/>
                              <w:szCs w:val="40"/>
                            </w:rPr>
                            <w:t>iVAR</w:t>
                          </w:r>
                          <w:proofErr w:type="spellEnd"/>
                          <w:r>
                            <w:rPr>
                              <w:rStyle w:val="Headerorfooter2"/>
                              <w:rFonts w:ascii="Arial" w:eastAsia="Arial" w:hAnsi="Arial" w:cs="Arial"/>
                              <w:b/>
                              <w:bCs/>
                              <w:sz w:val="40"/>
                              <w:szCs w:val="40"/>
                            </w:rPr>
                            <w:t xml:space="preserve"> ID</w:t>
                          </w:r>
                        </w:p>
                      </w:txbxContent>
                    </wps:txbx>
                    <wps:bodyPr wrap="none" lIns="0" tIns="0" rIns="0" bIns="0">
                      <a:spAutoFit/>
                    </wps:bodyPr>
                  </wps:wsp>
                </a:graphicData>
              </a:graphic>
            </wp:anchor>
          </w:drawing>
        </mc:Choice>
        <mc:Fallback>
          <w:pict>
            <v:shape w14:anchorId="156EEAAF" id="Shape 21" o:spid="_x0000_s1035" type="#_x0000_t202" style="position:absolute;margin-left:67.75pt;margin-top:759.1pt;width:81.35pt;height:27.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" filled="f" stroked="f">
              <v:textbox style="mso-fit-shape-to-text:t" inset="0,0,0,0">
                <w:txbxContent>
                  <w:p w14:paraId="63901FA3" w14:textId="77777777" w:rsidR="00F20C1A" w:rsidRDefault="00000000">
                    <w:pPr>
                      <w:pStyle w:val="Headerorfooter20"/>
                      <w:rPr>
                        <w:sz w:val="40"/>
                        <w:szCs w:val="40"/>
                      </w:rPr>
                    </w:pPr>
                    <w:proofErr w:type="spellStart"/>
                    <w:r>
                      <w:rPr>
                        <w:rStyle w:val="Headerorfooter2"/>
                        <w:rFonts w:ascii="Arial" w:eastAsia="Arial" w:hAnsi="Arial" w:cs="Arial"/>
                        <w:b/>
                        <w:bCs/>
                        <w:color w:val="DE5A58"/>
                        <w:sz w:val="40"/>
                        <w:szCs w:val="40"/>
                      </w:rPr>
                      <w:t>W</w:t>
                    </w:r>
                    <w:r>
                      <w:rPr>
                        <w:rStyle w:val="Headerorfooter2"/>
                        <w:rFonts w:ascii="Arial" w:eastAsia="Arial" w:hAnsi="Arial" w:cs="Arial"/>
                        <w:b/>
                        <w:bCs/>
                        <w:sz w:val="40"/>
                        <w:szCs w:val="40"/>
                      </w:rPr>
                      <w:t>iVAR</w:t>
                    </w:r>
                    <w:proofErr w:type="spellEnd"/>
                    <w:r>
                      <w:rPr>
                        <w:rStyle w:val="Headerorfooter2"/>
                        <w:rFonts w:ascii="Arial" w:eastAsia="Arial" w:hAnsi="Arial" w:cs="Arial"/>
                        <w:b/>
                        <w:bCs/>
                        <w:sz w:val="40"/>
                        <w:szCs w:val="40"/>
                      </w:rPr>
                      <w:t xml:space="preserve"> ID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984BB" w14:textId="77777777" w:rsidR="00B601E8" w:rsidRDefault="00B601E8"/>
  </w:footnote>
  <w:footnote w:type="continuationSeparator" w:id="0">
    <w:p w14:paraId="18C28A5A" w14:textId="77777777" w:rsidR="00B601E8" w:rsidRDefault="00B60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67F5C"/>
    <w:multiLevelType w:val="multilevel"/>
    <w:tmpl w:val="7A2C8D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BF1B0C"/>
    <w:multiLevelType w:val="multilevel"/>
    <w:tmpl w:val="B4DCC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769629">
    <w:abstractNumId w:val="0"/>
  </w:num>
  <w:num w:numId="2" w16cid:durableId="184951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1A"/>
    <w:rsid w:val="00626713"/>
    <w:rsid w:val="00B601E8"/>
    <w:rsid w:val="00F20C1A"/>
    <w:rsid w:val="00FF7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C39"/>
  <w15:docId w15:val="{3CBC262E-D26D-43EB-BFC9-40A4A895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40"/>
      <w:szCs w:val="4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b w:val="0"/>
      <w:bCs w:val="0"/>
      <w:i w:val="0"/>
      <w:iCs w:val="0"/>
      <w:smallCaps w:val="0"/>
      <w:strike w:val="0"/>
      <w:sz w:val="34"/>
      <w:szCs w:val="34"/>
      <w:u w:val="none"/>
    </w:rPr>
  </w:style>
  <w:style w:type="character" w:customStyle="1" w:styleId="Heading21">
    <w:name w:val="Heading #2|1_"/>
    <w:basedOn w:val="Standardnpsmoodstavce"/>
    <w:link w:val="Heading210"/>
    <w:rPr>
      <w:b w:val="0"/>
      <w:bCs w:val="0"/>
      <w:i w:val="0"/>
      <w:iCs w:val="0"/>
      <w:smallCaps w:val="0"/>
      <w:strike w:val="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2"/>
      <w:szCs w:val="12"/>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8"/>
      <w:szCs w:val="8"/>
      <w:u w:val="none"/>
    </w:rPr>
  </w:style>
  <w:style w:type="paragraph" w:customStyle="1" w:styleId="Bodytext20">
    <w:name w:val="Body text|2"/>
    <w:basedOn w:val="Normln"/>
    <w:link w:val="Bodytext2"/>
    <w:pPr>
      <w:spacing w:line="233" w:lineRule="auto"/>
      <w:ind w:firstLine="260"/>
    </w:pPr>
    <w:rPr>
      <w:sz w:val="20"/>
      <w:szCs w:val="20"/>
    </w:rPr>
  </w:style>
  <w:style w:type="paragraph" w:customStyle="1" w:styleId="Picturecaption10">
    <w:name w:val="Picture caption|1"/>
    <w:basedOn w:val="Normln"/>
    <w:link w:val="Picturecaption1"/>
    <w:pPr>
      <w:spacing w:after="60"/>
    </w:pPr>
    <w:rPr>
      <w:rFonts w:ascii="Arial" w:eastAsia="Arial" w:hAnsi="Arial" w:cs="Arial"/>
      <w:sz w:val="14"/>
      <w:szCs w:val="14"/>
    </w:rPr>
  </w:style>
  <w:style w:type="paragraph" w:customStyle="1" w:styleId="Heading110">
    <w:name w:val="Heading #1|1"/>
    <w:basedOn w:val="Normln"/>
    <w:link w:val="Heading11"/>
    <w:pPr>
      <w:spacing w:after="100" w:line="252" w:lineRule="auto"/>
      <w:ind w:firstLine="320"/>
      <w:outlineLvl w:val="0"/>
    </w:pPr>
    <w:rPr>
      <w:rFonts w:ascii="Arial" w:eastAsia="Arial" w:hAnsi="Arial" w:cs="Arial"/>
      <w:b/>
      <w:bCs/>
      <w:sz w:val="40"/>
      <w:szCs w:val="40"/>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spacing w:after="50"/>
      <w:ind w:firstLine="310"/>
    </w:pPr>
    <w:rPr>
      <w:sz w:val="34"/>
      <w:szCs w:val="34"/>
    </w:rPr>
  </w:style>
  <w:style w:type="paragraph" w:customStyle="1" w:styleId="Heading210">
    <w:name w:val="Heading #2|1"/>
    <w:basedOn w:val="Normln"/>
    <w:link w:val="Heading21"/>
    <w:pPr>
      <w:spacing w:after="40"/>
      <w:jc w:val="center"/>
      <w:outlineLvl w:val="1"/>
    </w:pPr>
  </w:style>
  <w:style w:type="paragraph" w:customStyle="1" w:styleId="Bodytext10">
    <w:name w:val="Body text|1"/>
    <w:basedOn w:val="Normln"/>
    <w:link w:val="Bodytext1"/>
    <w:pPr>
      <w:spacing w:after="190" w:line="276" w:lineRule="auto"/>
    </w:pPr>
    <w:rPr>
      <w:rFonts w:ascii="Arial" w:eastAsia="Arial" w:hAnsi="Arial" w:cs="Arial"/>
      <w:sz w:val="17"/>
      <w:szCs w:val="17"/>
    </w:rPr>
  </w:style>
  <w:style w:type="paragraph" w:customStyle="1" w:styleId="Tablecaption10">
    <w:name w:val="Table caption|1"/>
    <w:basedOn w:val="Normln"/>
    <w:link w:val="Tablecaption1"/>
    <w:pPr>
      <w:spacing w:after="60"/>
      <w:ind w:firstLine="160"/>
    </w:pPr>
    <w:rPr>
      <w:rFonts w:ascii="Arial" w:eastAsia="Arial" w:hAnsi="Arial" w:cs="Arial"/>
      <w:sz w:val="17"/>
      <w:szCs w:val="17"/>
    </w:rPr>
  </w:style>
  <w:style w:type="paragraph" w:customStyle="1" w:styleId="Other10">
    <w:name w:val="Other|1"/>
    <w:basedOn w:val="Normln"/>
    <w:link w:val="Other1"/>
    <w:rPr>
      <w:rFonts w:ascii="Arial" w:eastAsia="Arial" w:hAnsi="Arial" w:cs="Arial"/>
      <w:sz w:val="19"/>
      <w:szCs w:val="19"/>
    </w:rPr>
  </w:style>
  <w:style w:type="paragraph" w:customStyle="1" w:styleId="Bodytext50">
    <w:name w:val="Body text|5"/>
    <w:basedOn w:val="Normln"/>
    <w:link w:val="Bodytext5"/>
    <w:pPr>
      <w:spacing w:line="276" w:lineRule="auto"/>
    </w:pPr>
    <w:rPr>
      <w:rFonts w:ascii="Arial" w:eastAsia="Arial" w:hAnsi="Arial" w:cs="Arial"/>
      <w:sz w:val="12"/>
      <w:szCs w:val="12"/>
    </w:rPr>
  </w:style>
  <w:style w:type="paragraph" w:customStyle="1" w:styleId="Bodytext30">
    <w:name w:val="Body text|3"/>
    <w:basedOn w:val="Normln"/>
    <w:link w:val="Bodytext3"/>
    <w:pPr>
      <w:spacing w:line="310" w:lineRule="auto"/>
    </w:pPr>
    <w:rPr>
      <w:rFonts w:ascii="Arial" w:eastAsia="Arial" w:hAnsi="Arial" w:cs="Arial"/>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bchodni@ivarpodebrad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zso.cz/csu/czso/inflace_spot%c5%99ebitelsk%c3%a9_cen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3708</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2024-11-22T13:13:00Z</dcterms:created>
  <dcterms:modified xsi:type="dcterms:W3CDTF">2024-11-22T13:13:00Z</dcterms:modified>
</cp:coreProperties>
</file>