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sp. zn. Pr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D533EFE" w:rsidR="00614219" w:rsidRPr="00614219" w:rsidRDefault="00A671DA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r>
        <w:rPr>
          <w:b/>
          <w:bCs/>
          <w:sz w:val="22"/>
          <w:szCs w:val="22"/>
        </w:rPr>
        <w:t xml:space="preserve">KVIFF </w:t>
      </w:r>
      <w:proofErr w:type="spellStart"/>
      <w:r>
        <w:rPr>
          <w:b/>
          <w:bCs/>
          <w:sz w:val="22"/>
          <w:szCs w:val="22"/>
        </w:rPr>
        <w:t>Events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s.r.o.</w:t>
      </w:r>
      <w:r w:rsidR="00200CBB">
        <w:rPr>
          <w:b/>
          <w:bCs/>
          <w:sz w:val="22"/>
          <w:szCs w:val="22"/>
        </w:rPr>
        <w:t>.</w:t>
      </w:r>
      <w:proofErr w:type="gramEnd"/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142E69F6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803A4B">
        <w:rPr>
          <w:sz w:val="22"/>
          <w:szCs w:val="22"/>
        </w:rPr>
        <w:t>Panská 1,</w:t>
      </w:r>
      <w:r>
        <w:rPr>
          <w:sz w:val="22"/>
          <w:szCs w:val="22"/>
        </w:rPr>
        <w:t xml:space="preserve"> </w:t>
      </w:r>
      <w:r w:rsidR="00803A4B">
        <w:rPr>
          <w:sz w:val="22"/>
          <w:szCs w:val="22"/>
        </w:rPr>
        <w:t>110 00 Praha 1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>Městského soudu v Praze</w:t>
      </w:r>
      <w:r>
        <w:rPr>
          <w:sz w:val="22"/>
          <w:szCs w:val="22"/>
        </w:rPr>
        <w:t xml:space="preserve">                    </w:t>
      </w:r>
      <w:r w:rsidR="00803A4B">
        <w:rPr>
          <w:sz w:val="22"/>
          <w:szCs w:val="22"/>
        </w:rPr>
        <w:t xml:space="preserve">oddíl </w:t>
      </w:r>
      <w:r w:rsidR="00166B23">
        <w:rPr>
          <w:sz w:val="22"/>
          <w:szCs w:val="22"/>
        </w:rPr>
        <w:t>C 352866</w:t>
      </w:r>
      <w:r w:rsidRPr="00200CBB">
        <w:rPr>
          <w:sz w:val="22"/>
          <w:szCs w:val="22"/>
        </w:rPr>
        <w:t xml:space="preserve">, IČO: </w:t>
      </w:r>
      <w:r w:rsidR="00A671DA">
        <w:rPr>
          <w:sz w:val="22"/>
          <w:szCs w:val="22"/>
        </w:rPr>
        <w:t>11685611</w:t>
      </w:r>
      <w:r w:rsidRPr="00200CBB">
        <w:rPr>
          <w:sz w:val="22"/>
          <w:szCs w:val="22"/>
        </w:rPr>
        <w:t>, DIČ: CZ</w:t>
      </w:r>
      <w:r w:rsidR="00A671DA">
        <w:rPr>
          <w:sz w:val="22"/>
          <w:szCs w:val="22"/>
        </w:rPr>
        <w:t>11685611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40C4935B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r w:rsidR="00940126" w:rsidRPr="00B97F9D">
        <w:rPr>
          <w:sz w:val="22"/>
          <w:szCs w:val="22"/>
        </w:rPr>
        <w:t>parc.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r w:rsidR="0026798A">
        <w:rPr>
          <w:sz w:val="22"/>
          <w:szCs w:val="22"/>
        </w:rPr>
        <w:t>kulturní události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>Karlovy Vary - Dvory,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Nájemce prohlašuje, že byl před podpisem této Smlouvy Pronajímatelem řádně obeznámen s  návštěvním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   </w:t>
      </w:r>
      <w:r w:rsidRPr="00D018D3">
        <w:rPr>
          <w:sz w:val="22"/>
          <w:szCs w:val="22"/>
        </w:rPr>
        <w:t xml:space="preserve">„Císařské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   „Muzejní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   „Revitalizace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5B8B7D81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868FC" w14:textId="51E68EDD" w:rsidR="00863BE8" w:rsidRDefault="00863BE8" w:rsidP="00E81D45">
      <w:pPr>
        <w:pStyle w:val="Nadpis2"/>
        <w:ind w:left="567" w:firstLine="284"/>
        <w:rPr>
          <w:sz w:val="22"/>
          <w:szCs w:val="22"/>
        </w:rPr>
      </w:pPr>
      <w:r>
        <w:rPr>
          <w:sz w:val="22"/>
          <w:szCs w:val="22"/>
        </w:rPr>
        <w:t>sál Atrium 478 m2 + nezbytné přilehlé prostory</w:t>
      </w:r>
    </w:p>
    <w:p w14:paraId="29941F48" w14:textId="771C3F4A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kulturního programu</w:t>
      </w:r>
      <w:r w:rsidR="00E26873">
        <w:rPr>
          <w:b w:val="0"/>
          <w:bCs w:val="0"/>
          <w:sz w:val="22"/>
          <w:szCs w:val="22"/>
          <w:lang w:eastAsia="en-US"/>
        </w:rPr>
        <w:t xml:space="preserve"> (</w:t>
      </w:r>
      <w:r w:rsidR="007B7CF6">
        <w:rPr>
          <w:b w:val="0"/>
          <w:bCs w:val="0"/>
          <w:sz w:val="22"/>
          <w:szCs w:val="22"/>
          <w:lang w:eastAsia="en-US"/>
        </w:rPr>
        <w:t>filmová projekce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6C5E7C2A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8A20FC">
        <w:rPr>
          <w:rFonts w:cs="Times New Roman"/>
          <w:b w:val="0"/>
          <w:bCs w:val="0"/>
          <w:sz w:val="22"/>
          <w:szCs w:val="22"/>
        </w:rPr>
        <w:t>23</w:t>
      </w:r>
      <w:r w:rsidR="00787776">
        <w:rPr>
          <w:rFonts w:cs="Times New Roman"/>
          <w:b w:val="0"/>
          <w:bCs w:val="0"/>
          <w:sz w:val="22"/>
          <w:szCs w:val="22"/>
        </w:rPr>
        <w:t>.11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.2024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8A20FC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9F20B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8A20FC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:00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4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) 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5ECF0763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10379">
        <w:rPr>
          <w:rFonts w:cs="Times New Roman"/>
          <w:sz w:val="22"/>
          <w:szCs w:val="22"/>
        </w:rPr>
        <w:t>50 000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0401BD46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>/vytápění/asistence technického pracovníka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8A20FC" w:rsidRPr="008A20FC">
        <w:rPr>
          <w:rFonts w:cs="Times New Roman"/>
          <w:bCs w:val="0"/>
          <w:caps w:val="0"/>
          <w:sz w:val="22"/>
          <w:szCs w:val="22"/>
        </w:rPr>
        <w:t>30 810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4065878C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3211BF" w:rsidRPr="00C939D4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72949ED8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Colosseum,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2CCDD590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dnů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D5BB1">
        <w:rPr>
          <w:sz w:val="22"/>
          <w:szCs w:val="22"/>
        </w:rPr>
        <w:t>115-4325130207/0100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 w:after="240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746E533C" w:rsidR="005616CB" w:rsidRPr="0081474D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spacing w:after="240"/>
        <w:ind w:left="426" w:right="115" w:hanging="426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>ronajímatel povinen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zaplatit</w:t>
      </w:r>
      <w:r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Pr="0081474D">
        <w:rPr>
          <w:sz w:val="22"/>
          <w:szCs w:val="22"/>
        </w:rPr>
        <w:t>ájemci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finanční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touto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situací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vzniknou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taktéž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vynaložené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nájemci v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Pr="0081474D">
        <w:rPr>
          <w:sz w:val="22"/>
          <w:szCs w:val="22"/>
        </w:rPr>
        <w:t xml:space="preserve">, službami vznikly, taktéž uhradit nájemci náklady včetně doložených pracovních hodin, které </w:t>
      </w:r>
      <w:r w:rsidR="00D911EB">
        <w:rPr>
          <w:sz w:val="22"/>
          <w:szCs w:val="22"/>
        </w:rPr>
        <w:t>N</w:t>
      </w:r>
      <w:r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5B5A2BE2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8A20FC">
        <w:rPr>
          <w:rFonts w:cs="Times New Roman"/>
          <w:b w:val="0"/>
          <w:caps w:val="0"/>
          <w:sz w:val="22"/>
          <w:szCs w:val="22"/>
        </w:rPr>
        <w:t>23</w:t>
      </w:r>
      <w:r w:rsidR="00E1097D">
        <w:rPr>
          <w:rFonts w:cs="Times New Roman"/>
          <w:b w:val="0"/>
          <w:caps w:val="0"/>
          <w:sz w:val="22"/>
          <w:szCs w:val="22"/>
        </w:rPr>
        <w:t>.11</w:t>
      </w:r>
      <w:r w:rsidR="00DE0E8C">
        <w:rPr>
          <w:rFonts w:cs="Times New Roman"/>
          <w:b w:val="0"/>
          <w:caps w:val="0"/>
          <w:sz w:val="22"/>
          <w:szCs w:val="22"/>
        </w:rPr>
        <w:t>.2024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8A20FC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440368F7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příhlédnutím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63189F84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65DDF688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>, 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563BD636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350B3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Nájemce )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67A649D4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75DCD92E" w14:textId="088D8DA9" w:rsidR="00743C42" w:rsidRPr="00ED4DA7" w:rsidRDefault="00857C76" w:rsidP="00743C42">
      <w:pPr>
        <w:pStyle w:val="Clanek11"/>
        <w:keepNext/>
        <w:numPr>
          <w:ilvl w:val="1"/>
          <w:numId w:val="23"/>
        </w:numPr>
        <w:spacing w:line="276" w:lineRule="auto"/>
        <w:ind w:left="567" w:hanging="567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1124C6">
        <w:rPr>
          <w:rFonts w:cs="Times New Roman"/>
          <w:szCs w:val="22"/>
          <w:lang w:val="cs-CZ"/>
        </w:rPr>
        <w:t>xxx</w:t>
      </w:r>
      <w:proofErr w:type="spellEnd"/>
      <w:r w:rsidR="00D12F00" w:rsidRPr="00D6769F">
        <w:rPr>
          <w:szCs w:val="22"/>
          <w:lang w:val="cs-CZ"/>
        </w:rPr>
        <w:br/>
      </w: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1124C6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p w14:paraId="62F680E1" w14:textId="77777777" w:rsid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mlouva je vyhotovena a podepsána v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63068D20" w:rsidR="00C43EA4" w:rsidRDefault="00BA1C3B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642BB">
              <w:rPr>
                <w:b/>
                <w:bCs/>
                <w:sz w:val="22"/>
                <w:szCs w:val="22"/>
              </w:rPr>
              <w:t>Věra Simeth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108DA0E9" w:rsidR="007C1D3F" w:rsidRDefault="00EF581C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KVIFF </w:t>
            </w:r>
            <w:proofErr w:type="spellStart"/>
            <w:r>
              <w:rPr>
                <w:b/>
                <w:bCs/>
                <w:sz w:val="22"/>
                <w:szCs w:val="22"/>
              </w:rPr>
              <w:t>Events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4AEDDB93" w:rsidR="006A0BF3" w:rsidRPr="00C623B9" w:rsidRDefault="00EF581C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David Štastný</w:t>
            </w:r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3BA323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7F1026DA" w:rsidR="005739CC" w:rsidRPr="006A2ABC" w:rsidRDefault="00AC3096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C623B9">
              <w:rPr>
                <w:b/>
                <w:bCs/>
                <w:sz w:val="22"/>
                <w:szCs w:val="22"/>
              </w:rPr>
              <w:t>.11</w:t>
            </w:r>
            <w:r w:rsidR="002C4856" w:rsidRPr="006A2ABC">
              <w:rPr>
                <w:b/>
                <w:bCs/>
                <w:sz w:val="22"/>
                <w:szCs w:val="22"/>
              </w:rPr>
              <w:t>.2024</w:t>
            </w:r>
          </w:p>
        </w:tc>
      </w:tr>
      <w:tr w:rsidR="003E5112" w14:paraId="4521A59D" w14:textId="77777777" w:rsidTr="00656CF8">
        <w:tc>
          <w:tcPr>
            <w:tcW w:w="2263" w:type="dxa"/>
          </w:tcPr>
          <w:p w14:paraId="17E220EF" w14:textId="7D217277" w:rsidR="003E5112" w:rsidRDefault="00F254F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</w:t>
            </w:r>
            <w:r w:rsidR="0043255F">
              <w:rPr>
                <w:color w:val="000000"/>
                <w:sz w:val="22"/>
                <w:szCs w:val="22"/>
              </w:rPr>
              <w:t>-21:00</w:t>
            </w:r>
          </w:p>
        </w:tc>
        <w:tc>
          <w:tcPr>
            <w:tcW w:w="7131" w:type="dxa"/>
          </w:tcPr>
          <w:p w14:paraId="59163CA7" w14:textId="33AF6C16" w:rsidR="003E5112" w:rsidRDefault="0043255F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Probíhá promítání, </w:t>
            </w:r>
            <w:r w:rsidR="00277AA8">
              <w:rPr>
                <w:color w:val="000000"/>
                <w:sz w:val="22"/>
                <w:szCs w:val="22"/>
              </w:rPr>
              <w:t xml:space="preserve">Pronajímatel </w:t>
            </w:r>
            <w:r w:rsidR="000E1737">
              <w:rPr>
                <w:color w:val="000000"/>
                <w:sz w:val="22"/>
                <w:szCs w:val="22"/>
              </w:rPr>
              <w:t xml:space="preserve">mezi film. Projekcemi </w:t>
            </w:r>
            <w:r w:rsidR="00277AA8">
              <w:rPr>
                <w:color w:val="000000"/>
                <w:sz w:val="22"/>
                <w:szCs w:val="22"/>
              </w:rPr>
              <w:t>zajišťuje službu – šatnář, pokladní</w:t>
            </w:r>
            <w:r w:rsidR="00907E1A">
              <w:rPr>
                <w:color w:val="000000"/>
                <w:sz w:val="22"/>
                <w:szCs w:val="22"/>
              </w:rPr>
              <w:t>, úklid</w:t>
            </w:r>
            <w:r w:rsidR="000E1737">
              <w:rPr>
                <w:color w:val="000000"/>
                <w:sz w:val="22"/>
                <w:szCs w:val="22"/>
              </w:rPr>
              <w:t xml:space="preserve">. </w:t>
            </w:r>
            <w:r w:rsidR="00BE0D58">
              <w:rPr>
                <w:color w:val="000000"/>
                <w:sz w:val="22"/>
                <w:szCs w:val="22"/>
              </w:rPr>
              <w:t>Během akce asistuje požární hlídka</w:t>
            </w:r>
            <w:r w:rsidR="00907E1A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6645E" w14:paraId="144CB9D3" w14:textId="77777777" w:rsidTr="00247DFA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2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19D69E48" w14:textId="77777777" w:rsidTr="00247DFA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47DFA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47DFA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E6990" w14:textId="77777777" w:rsidR="00CC3F69" w:rsidRDefault="00CC3F69">
      <w:r>
        <w:separator/>
      </w:r>
    </w:p>
  </w:endnote>
  <w:endnote w:type="continuationSeparator" w:id="0">
    <w:p w14:paraId="5E217964" w14:textId="77777777" w:rsidR="00CC3F69" w:rsidRDefault="00CC3F69">
      <w:r>
        <w:continuationSeparator/>
      </w:r>
    </w:p>
  </w:endnote>
  <w:endnote w:type="continuationNotice" w:id="1">
    <w:p w14:paraId="7D03D19B" w14:textId="77777777" w:rsidR="00CC3F69" w:rsidRDefault="00CC3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3A7D5" w14:textId="77777777" w:rsidR="00CC3F69" w:rsidRDefault="00CC3F69">
      <w:r>
        <w:separator/>
      </w:r>
    </w:p>
  </w:footnote>
  <w:footnote w:type="continuationSeparator" w:id="0">
    <w:p w14:paraId="6527A1AC" w14:textId="77777777" w:rsidR="00CC3F69" w:rsidRDefault="00CC3F69">
      <w:r>
        <w:continuationSeparator/>
      </w:r>
    </w:p>
  </w:footnote>
  <w:footnote w:type="continuationNotice" w:id="1">
    <w:p w14:paraId="057935AD" w14:textId="77777777" w:rsidR="00CC3F69" w:rsidRDefault="00CC3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4C6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2D3B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BF5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5EA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4DF"/>
    <w:rsid w:val="00AC3096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3F69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04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2707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4</cp:revision>
  <cp:lastPrinted>2024-03-27T16:32:00Z</cp:lastPrinted>
  <dcterms:created xsi:type="dcterms:W3CDTF">2024-11-22T12:14:00Z</dcterms:created>
  <dcterms:modified xsi:type="dcterms:W3CDTF">2024-11-22T12:45:00Z</dcterms:modified>
</cp:coreProperties>
</file>