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C5" w:rsidRDefault="00C236C5">
      <w:pPr>
        <w:pStyle w:val="Zkladntext"/>
        <w:rPr>
          <w:rFonts w:ascii="Times New Roman"/>
          <w:sz w:val="20"/>
        </w:rPr>
      </w:pPr>
    </w:p>
    <w:p w:rsidR="00C236C5" w:rsidRDefault="00C236C5">
      <w:pPr>
        <w:pStyle w:val="Zkladntext"/>
        <w:spacing w:before="3"/>
        <w:rPr>
          <w:rFonts w:ascii="Times New Roman"/>
        </w:rPr>
      </w:pPr>
    </w:p>
    <w:p w:rsidR="00C236C5" w:rsidRDefault="00A822C2">
      <w:pPr>
        <w:pStyle w:val="Zkladntext"/>
        <w:ind w:left="62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85102" cy="517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102" cy="51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6C5" w:rsidRDefault="00A822C2">
      <w:pPr>
        <w:spacing w:before="1"/>
        <w:ind w:right="1007"/>
        <w:jc w:val="right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805311</wp:posOffset>
            </wp:positionH>
            <wp:positionV relativeFrom="paragraph">
              <wp:posOffset>-827659</wp:posOffset>
            </wp:positionV>
            <wp:extent cx="2656499" cy="9188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499" cy="918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NPU1002419555</w:t>
      </w: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spacing w:before="11"/>
        <w:rPr>
          <w:sz w:val="18"/>
        </w:rPr>
      </w:pPr>
    </w:p>
    <w:p w:rsidR="00C236C5" w:rsidRDefault="00A822C2">
      <w:pPr>
        <w:pStyle w:val="Zkladntext"/>
        <w:ind w:left="6351" w:right="1380"/>
      </w:pPr>
      <w:r>
        <w:t>Ing. Vít Mlázovský Jánský vršek 310/4</w:t>
      </w:r>
    </w:p>
    <w:p w:rsidR="00C236C5" w:rsidRDefault="00A822C2">
      <w:pPr>
        <w:pStyle w:val="Zkladntext"/>
        <w:ind w:left="6351"/>
      </w:pPr>
      <w:r>
        <w:t>118 00 PRAHA 1, MALÁ STRANA</w:t>
      </w:r>
    </w:p>
    <w:p w:rsidR="00C236C5" w:rsidRDefault="00A822C2">
      <w:pPr>
        <w:tabs>
          <w:tab w:val="left" w:pos="6350"/>
        </w:tabs>
        <w:ind w:left="396"/>
      </w:pPr>
      <w:r>
        <w:rPr>
          <w:rFonts w:ascii="Calibri Light" w:hAnsi="Calibri Light"/>
          <w:sz w:val="20"/>
        </w:rPr>
        <w:t>Váš dopis čj. /</w:t>
      </w:r>
      <w:r>
        <w:rPr>
          <w:rFonts w:ascii="Calibri Light" w:hAnsi="Calibri Light"/>
          <w:spacing w:val="-7"/>
          <w:sz w:val="20"/>
        </w:rPr>
        <w:t xml:space="preserve"> </w:t>
      </w:r>
      <w:r>
        <w:rPr>
          <w:rFonts w:ascii="Calibri Light" w:hAnsi="Calibri Light"/>
          <w:sz w:val="20"/>
        </w:rPr>
        <w:t>ze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dne:</w:t>
      </w:r>
      <w:r>
        <w:rPr>
          <w:rFonts w:ascii="Calibri Light" w:hAnsi="Calibri Light"/>
          <w:sz w:val="20"/>
        </w:rPr>
        <w:tab/>
      </w:r>
      <w:r>
        <w:t>chfyg2h</w:t>
      </w:r>
    </w:p>
    <w:p w:rsidR="00C236C5" w:rsidRDefault="00A822C2">
      <w:pPr>
        <w:tabs>
          <w:tab w:val="left" w:pos="2239"/>
        </w:tabs>
        <w:ind w:left="396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Naše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čj.:</w:t>
      </w:r>
      <w:r>
        <w:rPr>
          <w:rFonts w:ascii="Calibri Light" w:hAnsi="Calibri Light"/>
          <w:sz w:val="20"/>
        </w:rPr>
        <w:tab/>
        <w:t>NPU-420/91116/2024</w:t>
      </w:r>
    </w:p>
    <w:p w:rsidR="00C236C5" w:rsidRDefault="00A822C2">
      <w:pPr>
        <w:tabs>
          <w:tab w:val="left" w:pos="2239"/>
        </w:tabs>
        <w:spacing w:before="20"/>
        <w:ind w:left="396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Vyřizuje:</w:t>
      </w:r>
      <w:r>
        <w:rPr>
          <w:rFonts w:ascii="Calibri Light" w:hAnsi="Calibri Light"/>
          <w:sz w:val="20"/>
        </w:rPr>
        <w:tab/>
        <w:t>Gažák</w:t>
      </w:r>
    </w:p>
    <w:p w:rsidR="00C236C5" w:rsidRDefault="00A822C2">
      <w:pPr>
        <w:tabs>
          <w:tab w:val="right" w:pos="2694"/>
        </w:tabs>
        <w:ind w:left="396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Spisový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znak:</w:t>
      </w:r>
      <w:r>
        <w:rPr>
          <w:rFonts w:ascii="Calibri Light" w:hAnsi="Calibri Light"/>
          <w:sz w:val="20"/>
        </w:rPr>
        <w:tab/>
        <w:t>120.1</w:t>
      </w:r>
    </w:p>
    <w:p w:rsidR="00C236C5" w:rsidRDefault="00C236C5">
      <w:pPr>
        <w:pStyle w:val="Zkladntext"/>
        <w:rPr>
          <w:rFonts w:ascii="Calibri Light"/>
          <w:sz w:val="20"/>
        </w:rPr>
      </w:pPr>
    </w:p>
    <w:p w:rsidR="00C236C5" w:rsidRDefault="00A822C2">
      <w:pPr>
        <w:ind w:left="396"/>
        <w:rPr>
          <w:rFonts w:ascii="Calibri Light"/>
          <w:sz w:val="20"/>
        </w:rPr>
      </w:pPr>
      <w:r>
        <w:rPr>
          <w:rFonts w:ascii="Calibri Light"/>
          <w:sz w:val="20"/>
        </w:rPr>
        <w:t>Praha 9.10.2024</w:t>
      </w:r>
    </w:p>
    <w:p w:rsidR="00C236C5" w:rsidRDefault="00C236C5">
      <w:pPr>
        <w:pStyle w:val="Zkladntext"/>
        <w:rPr>
          <w:rFonts w:ascii="Calibri Light"/>
          <w:sz w:val="20"/>
        </w:rPr>
      </w:pPr>
    </w:p>
    <w:p w:rsidR="00C236C5" w:rsidRDefault="00C236C5">
      <w:pPr>
        <w:pStyle w:val="Zkladntext"/>
        <w:rPr>
          <w:rFonts w:ascii="Calibri Light"/>
          <w:sz w:val="20"/>
        </w:rPr>
      </w:pPr>
    </w:p>
    <w:p w:rsidR="00C236C5" w:rsidRDefault="00C236C5">
      <w:pPr>
        <w:pStyle w:val="Zkladntext"/>
        <w:rPr>
          <w:rFonts w:ascii="Calibri Light"/>
          <w:sz w:val="20"/>
        </w:rPr>
      </w:pPr>
    </w:p>
    <w:p w:rsidR="00C236C5" w:rsidRDefault="00C236C5">
      <w:pPr>
        <w:pStyle w:val="Zkladntext"/>
        <w:spacing w:before="8"/>
        <w:rPr>
          <w:rFonts w:ascii="Calibri Light"/>
          <w:sz w:val="15"/>
        </w:rPr>
      </w:pPr>
    </w:p>
    <w:p w:rsidR="00C236C5" w:rsidRDefault="00A822C2">
      <w:pPr>
        <w:pStyle w:val="Nadpis1"/>
        <w:ind w:left="396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4440</wp:posOffset>
            </wp:positionV>
            <wp:extent cx="28575" cy="400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Klášter Sázava - PD Zpřístupnění jeskyně sv. Prokopa - Oznámení zadavatele (výběr varianty studie)</w:t>
      </w:r>
    </w:p>
    <w:p w:rsidR="00C236C5" w:rsidRDefault="00C236C5">
      <w:pPr>
        <w:pStyle w:val="Zkladntext"/>
        <w:rPr>
          <w:b/>
        </w:rPr>
      </w:pPr>
    </w:p>
    <w:p w:rsidR="00C236C5" w:rsidRDefault="00C236C5">
      <w:pPr>
        <w:pStyle w:val="Zkladntext"/>
        <w:rPr>
          <w:b/>
        </w:rPr>
      </w:pPr>
    </w:p>
    <w:p w:rsidR="00C236C5" w:rsidRDefault="00A822C2">
      <w:pPr>
        <w:pStyle w:val="Zkladntext"/>
        <w:spacing w:before="196"/>
        <w:ind w:left="396"/>
      </w:pPr>
      <w:r>
        <w:t>Vážený pane inženýre,</w:t>
      </w:r>
    </w:p>
    <w:p w:rsidR="00C236C5" w:rsidRDefault="00C236C5">
      <w:pPr>
        <w:pStyle w:val="Zkladntext"/>
      </w:pPr>
    </w:p>
    <w:p w:rsidR="00C236C5" w:rsidRDefault="00A822C2">
      <w:pPr>
        <w:pStyle w:val="Zkladntext"/>
        <w:ind w:left="680"/>
        <w:jc w:val="both"/>
      </w:pPr>
      <w:r>
        <w:t>dle ustanovení čl. 2.1.2. a 3.1.3. smlouvy č. 2010H1240001, čj. NPU-420/19870/2024 ze dne 21.</w:t>
      </w:r>
    </w:p>
    <w:p w:rsidR="00C236C5" w:rsidRDefault="00A822C2">
      <w:pPr>
        <w:pStyle w:val="Odstavecseseznamem"/>
        <w:numPr>
          <w:ilvl w:val="0"/>
          <w:numId w:val="1"/>
        </w:numPr>
        <w:tabs>
          <w:tab w:val="left" w:pos="659"/>
        </w:tabs>
        <w:ind w:left="396" w:firstLine="0"/>
        <w:jc w:val="both"/>
      </w:pPr>
      <w:r>
        <w:t>2024 Vás tímto informujeme o rozhodnut</w:t>
      </w:r>
      <w:r>
        <w:t>í objednatele ve věci výběru jedné z předložených variant zpřístupnění středověkého domu a jeskyně sv. Prokopa v areálu Sázavského kláštera. Na základě Vámi předložených variant ze dne 20. 8. 2024 se objednatel rozhodl pro vybrání varianty</w:t>
      </w:r>
      <w:r>
        <w:rPr>
          <w:spacing w:val="-32"/>
        </w:rPr>
        <w:t xml:space="preserve"> </w:t>
      </w:r>
      <w:r>
        <w:t>C.</w:t>
      </w:r>
    </w:p>
    <w:p w:rsidR="00C236C5" w:rsidRDefault="00C236C5">
      <w:pPr>
        <w:pStyle w:val="Zkladntext"/>
      </w:pPr>
    </w:p>
    <w:p w:rsidR="00C236C5" w:rsidRDefault="00A822C2">
      <w:pPr>
        <w:pStyle w:val="Zkladntext"/>
        <w:ind w:left="680"/>
        <w:jc w:val="both"/>
      </w:pPr>
      <w:r>
        <w:t>K vybrané variantě objednatel uvádí následující:</w:t>
      </w:r>
    </w:p>
    <w:p w:rsidR="00C236C5" w:rsidRDefault="00C236C5">
      <w:pPr>
        <w:pStyle w:val="Zkladntext"/>
      </w:pPr>
    </w:p>
    <w:p w:rsidR="00C236C5" w:rsidRDefault="00A822C2">
      <w:pPr>
        <w:pStyle w:val="Odstavecseseznamem"/>
        <w:numPr>
          <w:ilvl w:val="1"/>
          <w:numId w:val="1"/>
        </w:numPr>
        <w:tabs>
          <w:tab w:val="left" w:pos="1116"/>
          <w:tab w:val="left" w:pos="1117"/>
        </w:tabs>
        <w:ind w:left="1116"/>
      </w:pPr>
      <w:r>
        <w:t>do dalšího stupně projektové dokumentace zhotovitel rozpracuje interiérové řešení předložené varianty</w:t>
      </w:r>
      <w:r>
        <w:rPr>
          <w:spacing w:val="-3"/>
        </w:rPr>
        <w:t xml:space="preserve"> </w:t>
      </w:r>
      <w:r>
        <w:t>C,</w:t>
      </w:r>
    </w:p>
    <w:p w:rsidR="00C236C5" w:rsidRDefault="00C236C5">
      <w:pPr>
        <w:pStyle w:val="Zkladntext"/>
      </w:pPr>
    </w:p>
    <w:p w:rsidR="00C236C5" w:rsidRDefault="00A822C2">
      <w:pPr>
        <w:pStyle w:val="Odstavecseseznamem"/>
        <w:numPr>
          <w:ilvl w:val="1"/>
          <w:numId w:val="1"/>
        </w:numPr>
        <w:tabs>
          <w:tab w:val="left" w:pos="1116"/>
          <w:tab w:val="left" w:pos="1117"/>
        </w:tabs>
        <w:ind w:left="1116" w:right="115"/>
      </w:pPr>
      <w:r>
        <w:t>vnější přístup bude rozpracován dle varianty D, konkrétně vnější přístupové schodiště podél zdi kost</w:t>
      </w:r>
      <w:r>
        <w:t>ela s navazujícím přímým schodištěm v</w:t>
      </w:r>
      <w:r>
        <w:rPr>
          <w:spacing w:val="-6"/>
        </w:rPr>
        <w:t xml:space="preserve"> </w:t>
      </w:r>
      <w:r>
        <w:t>interiéru;</w:t>
      </w:r>
    </w:p>
    <w:p w:rsidR="00C236C5" w:rsidRDefault="00C236C5">
      <w:pPr>
        <w:pStyle w:val="Zkladntext"/>
      </w:pPr>
    </w:p>
    <w:p w:rsidR="00C236C5" w:rsidRDefault="00A822C2">
      <w:pPr>
        <w:pStyle w:val="Odstavecseseznamem"/>
        <w:numPr>
          <w:ilvl w:val="1"/>
          <w:numId w:val="1"/>
        </w:numPr>
        <w:tabs>
          <w:tab w:val="left" w:pos="1117"/>
        </w:tabs>
        <w:ind w:left="1116" w:right="0" w:hanging="361"/>
        <w:jc w:val="both"/>
      </w:pPr>
      <w:r>
        <w:t>vedení</w:t>
      </w:r>
      <w:r>
        <w:rPr>
          <w:spacing w:val="30"/>
        </w:rPr>
        <w:t xml:space="preserve"> </w:t>
      </w:r>
      <w:r>
        <w:t>NPÚ</w:t>
      </w:r>
      <w:r>
        <w:rPr>
          <w:spacing w:val="31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případě</w:t>
      </w:r>
      <w:r>
        <w:rPr>
          <w:spacing w:val="31"/>
        </w:rPr>
        <w:t xml:space="preserve"> </w:t>
      </w:r>
      <w:r>
        <w:t>nástupního</w:t>
      </w:r>
      <w:r>
        <w:rPr>
          <w:spacing w:val="30"/>
        </w:rPr>
        <w:t xml:space="preserve"> </w:t>
      </w:r>
      <w:r>
        <w:t>schodiště</w:t>
      </w:r>
      <w:r>
        <w:rPr>
          <w:spacing w:val="31"/>
        </w:rPr>
        <w:t xml:space="preserve"> </w:t>
      </w:r>
      <w:r>
        <w:t>doporučuje</w:t>
      </w:r>
      <w:r>
        <w:rPr>
          <w:spacing w:val="31"/>
        </w:rPr>
        <w:t xml:space="preserve"> </w:t>
      </w:r>
      <w:r>
        <w:t>zvážit</w:t>
      </w:r>
      <w:r>
        <w:rPr>
          <w:spacing w:val="31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vstupního</w:t>
      </w:r>
      <w:r>
        <w:rPr>
          <w:spacing w:val="31"/>
        </w:rPr>
        <w:t xml:space="preserve"> </w:t>
      </w:r>
      <w:r>
        <w:t>ramene</w:t>
      </w:r>
    </w:p>
    <w:p w:rsidR="00C236C5" w:rsidRDefault="00A822C2">
      <w:pPr>
        <w:pStyle w:val="Zkladntext"/>
        <w:ind w:left="1116"/>
      </w:pPr>
      <w:r>
        <w:t>schodiště v interiéru jiný konstrukční materiál;</w:t>
      </w:r>
    </w:p>
    <w:p w:rsidR="00C236C5" w:rsidRDefault="00C236C5">
      <w:pPr>
        <w:pStyle w:val="Zkladntext"/>
      </w:pPr>
    </w:p>
    <w:p w:rsidR="00C236C5" w:rsidRDefault="00A822C2">
      <w:pPr>
        <w:pStyle w:val="Odstavecseseznamem"/>
        <w:numPr>
          <w:ilvl w:val="1"/>
          <w:numId w:val="1"/>
        </w:numPr>
        <w:tabs>
          <w:tab w:val="left" w:pos="1116"/>
          <w:tab w:val="left" w:pos="1117"/>
        </w:tabs>
        <w:ind w:left="1116"/>
      </w:pPr>
      <w:r>
        <w:t>obdobně vedení NPÚ doporučuje zvážit jiný konstrukční způsob zastropení pod podmínkou možnosti stálého zajištění optimálního mikroklimatu uvnitř</w:t>
      </w:r>
      <w:r>
        <w:rPr>
          <w:spacing w:val="-7"/>
        </w:rPr>
        <w:t xml:space="preserve"> </w:t>
      </w:r>
      <w:r>
        <w:t>stavby.</w:t>
      </w:r>
    </w:p>
    <w:p w:rsidR="00C236C5" w:rsidRDefault="00C236C5">
      <w:pPr>
        <w:pStyle w:val="Zkladntext"/>
      </w:pPr>
    </w:p>
    <w:p w:rsidR="00C236C5" w:rsidRDefault="00A822C2">
      <w:pPr>
        <w:pStyle w:val="Zkladntext"/>
        <w:ind w:left="396" w:right="116" w:firstLine="284"/>
        <w:jc w:val="both"/>
      </w:pPr>
      <w:r>
        <w:t>NPÚ si je vědom, že předložené varianty již byly s naší organizací odpovědně projednány, dovolujeme si</w:t>
      </w:r>
      <w:r>
        <w:t xml:space="preserve"> však požádat o zvážení a prověření výše uvedeného, především posledních dvou doporučení. V případě, že se nepodaří nalézt řešení, které by odpovídalo těmto dvěma doporučení, bude NPÚ ÚPS v Ústí nad Labem respektovat návrh v podobě varianty C.</w:t>
      </w:r>
    </w:p>
    <w:p w:rsidR="00C236C5" w:rsidRDefault="00C236C5">
      <w:pPr>
        <w:jc w:val="both"/>
        <w:sectPr w:rsidR="00C236C5">
          <w:footerReference w:type="default" r:id="rId10"/>
          <w:type w:val="continuous"/>
          <w:pgSz w:w="11910" w:h="16840"/>
          <w:pgMar w:top="900" w:right="1380" w:bottom="1200" w:left="1100" w:header="708" w:footer="1005" w:gutter="0"/>
          <w:pgNumType w:start="1"/>
          <w:cols w:space="708"/>
        </w:sectPr>
      </w:pPr>
    </w:p>
    <w:p w:rsidR="00C236C5" w:rsidRDefault="00A822C2">
      <w:pPr>
        <w:pStyle w:val="Zkladntext"/>
        <w:spacing w:before="101"/>
        <w:ind w:left="397" w:right="114" w:firstLine="284"/>
        <w:jc w:val="both"/>
      </w:pPr>
      <w:r>
        <w:lastRenderedPageBreak/>
        <w:t>Při respektování výše uvedených připomínek v dalším projektovém stupni je možné předložené varianty C a D považovat za odevzdané a dílčí plnění dle č. 2.1.2. výše uvedené smlouvy je takto možné považovat za splněné.</w:t>
      </w:r>
    </w:p>
    <w:p w:rsidR="00C236C5" w:rsidRDefault="00C236C5">
      <w:pPr>
        <w:pStyle w:val="Zkladntext"/>
      </w:pPr>
    </w:p>
    <w:p w:rsidR="00C236C5" w:rsidRDefault="00C236C5">
      <w:pPr>
        <w:pStyle w:val="Zkladntext"/>
      </w:pPr>
    </w:p>
    <w:p w:rsidR="00C236C5" w:rsidRDefault="00C236C5">
      <w:pPr>
        <w:pStyle w:val="Zkladntext"/>
      </w:pPr>
    </w:p>
    <w:p w:rsidR="00C236C5" w:rsidRDefault="00A822C2">
      <w:pPr>
        <w:pStyle w:val="Zkladntext"/>
        <w:ind w:left="1105"/>
      </w:pPr>
      <w:r>
        <w:t>S pozdravem</w:t>
      </w:r>
    </w:p>
    <w:p w:rsidR="00C236C5" w:rsidRDefault="00C236C5">
      <w:pPr>
        <w:pStyle w:val="Zkladntext"/>
        <w:spacing w:before="6"/>
        <w:rPr>
          <w:sz w:val="17"/>
        </w:rPr>
      </w:pPr>
    </w:p>
    <w:p w:rsidR="00C236C5" w:rsidRDefault="00C236C5">
      <w:pPr>
        <w:pStyle w:val="Zkladntext"/>
        <w:spacing w:before="11"/>
        <w:rPr>
          <w:rFonts w:ascii="Arial Unicode MS"/>
          <w:sz w:val="21"/>
        </w:rPr>
      </w:pPr>
      <w:bookmarkStart w:id="0" w:name="_GoBack"/>
      <w:bookmarkEnd w:id="0"/>
    </w:p>
    <w:p w:rsidR="00C236C5" w:rsidRDefault="00A822C2">
      <w:pPr>
        <w:pStyle w:val="Zkladntext"/>
        <w:spacing w:before="55"/>
        <w:ind w:left="5334" w:right="2540"/>
        <w:jc w:val="center"/>
      </w:pPr>
      <w:r>
        <w:t>PhDr. Petr Hrubý</w:t>
      </w:r>
    </w:p>
    <w:p w:rsidR="00C236C5" w:rsidRDefault="00A822C2">
      <w:pPr>
        <w:pStyle w:val="Zkladntext"/>
        <w:ind w:left="5300" w:right="2540"/>
        <w:jc w:val="center"/>
      </w:pPr>
      <w:r>
        <w:t>ředitel</w:t>
      </w: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20"/>
        </w:rPr>
      </w:pPr>
    </w:p>
    <w:p w:rsidR="00C236C5" w:rsidRDefault="00C236C5">
      <w:pPr>
        <w:pStyle w:val="Zkladntext"/>
        <w:rPr>
          <w:sz w:val="18"/>
        </w:rPr>
      </w:pPr>
    </w:p>
    <w:p w:rsidR="00C236C5" w:rsidRDefault="00A822C2">
      <w:pPr>
        <w:pStyle w:val="Nadpis1"/>
        <w:ind w:right="7020"/>
        <w:jc w:val="right"/>
      </w:pPr>
      <w:r>
        <w:t>Přílohy (počet svazků)</w:t>
      </w:r>
    </w:p>
    <w:p w:rsidR="00C236C5" w:rsidRDefault="00A822C2">
      <w:pPr>
        <w:pStyle w:val="Zkladntext"/>
        <w:tabs>
          <w:tab w:val="left" w:pos="359"/>
        </w:tabs>
        <w:ind w:right="7076"/>
        <w:jc w:val="right"/>
      </w:pPr>
      <w:r>
        <w:t>-</w:t>
      </w:r>
      <w:r>
        <w:tab/>
        <w:t>bez</w:t>
      </w:r>
      <w:r>
        <w:rPr>
          <w:spacing w:val="-4"/>
        </w:rPr>
        <w:t xml:space="preserve"> </w:t>
      </w:r>
      <w:r>
        <w:t>příloh</w:t>
      </w:r>
    </w:p>
    <w:sectPr w:rsidR="00C236C5">
      <w:pgSz w:w="11910" w:h="16840"/>
      <w:pgMar w:top="1600" w:right="1380" w:bottom="1260" w:left="110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C2" w:rsidRDefault="00A822C2">
      <w:r>
        <w:separator/>
      </w:r>
    </w:p>
  </w:endnote>
  <w:endnote w:type="continuationSeparator" w:id="0">
    <w:p w:rsidR="00A822C2" w:rsidRDefault="00A8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6C5" w:rsidRDefault="007F21F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13856" behindDoc="1" locked="0" layoutInCell="1" allowOverlap="1">
              <wp:simplePos x="0" y="0"/>
              <wp:positionH relativeFrom="page">
                <wp:posOffset>765175</wp:posOffset>
              </wp:positionH>
              <wp:positionV relativeFrom="page">
                <wp:posOffset>9928225</wp:posOffset>
              </wp:positionV>
              <wp:extent cx="0" cy="24765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9291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9BDBD" id="Line 3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781.75pt" to="60.25pt,8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" strokecolor="#d92910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4880" behindDoc="1" locked="0" layoutInCell="1" allowOverlap="1">
              <wp:simplePos x="0" y="0"/>
              <wp:positionH relativeFrom="page">
                <wp:posOffset>937895</wp:posOffset>
              </wp:positionH>
              <wp:positionV relativeFrom="page">
                <wp:posOffset>9935845</wp:posOffset>
              </wp:positionV>
              <wp:extent cx="4733925" cy="251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6C5" w:rsidRDefault="00A822C2">
                          <w:pPr>
                            <w:spacing w:line="183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Národní památkový ústav, územní památková správa v Ústí nad Labem | Podmokelská 1/15, 400 07 Ústí nad Labem</w:t>
                          </w:r>
                        </w:p>
                        <w:p w:rsidR="00C236C5" w:rsidRDefault="00A822C2">
                          <w:pPr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 xml:space="preserve">T +420 472 704 800 | E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</w:rPr>
                              <w:t xml:space="preserve">epodatelna@npu.cz </w:t>
                            </w:r>
                          </w:hyperlink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 DS 2cy8h6t | IČO 75032333 | DIČ 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85pt;margin-top:782.35pt;width:372.75pt;height:19.8pt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" filled="f" stroked="f">
              <v:textbox inset="0,0,0,0">
                <w:txbxContent>
                  <w:p w:rsidR="00C236C5" w:rsidRDefault="00A822C2">
                    <w:pPr>
                      <w:spacing w:line="183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Národní památkový ústav, územní památková správa v Ústí nad Labem | Podmokelská 1/15, 400 07 Ústí nad Labem</w:t>
                    </w:r>
                  </w:p>
                  <w:p w:rsidR="00C236C5" w:rsidRDefault="00A822C2">
                    <w:pPr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 xml:space="preserve">T +420 472 704 800 | E 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</w:rPr>
                        <w:t xml:space="preserve">epodatelna@npu.cz </w:t>
                      </w:r>
                    </w:hyperlink>
                    <w:r>
                      <w:rPr>
                        <w:rFonts w:ascii="Calibri Light" w:hAnsi="Calibri Light"/>
                        <w:sz w:val="16"/>
                      </w:rPr>
                      <w:t>| DS 2cy8h6t | IČO 75032333 | DIČ 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5904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9999980</wp:posOffset>
              </wp:positionV>
              <wp:extent cx="22606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6C5" w:rsidRDefault="00A822C2">
                          <w:pPr>
                            <w:spacing w:before="43"/>
                            <w:ind w:left="6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2.25pt;margin-top:787.4pt;width:17.8pt;height:15.2pt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" filled="f" stroked="f">
              <v:textbox inset="0,0,0,0">
                <w:txbxContent>
                  <w:p w:rsidR="00C236C5" w:rsidRDefault="00A822C2">
                    <w:pPr>
                      <w:spacing w:before="43"/>
                      <w:ind w:left="60"/>
                      <w:rPr>
                        <w:rFonts w:ascii="Calibri Ligh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C2" w:rsidRDefault="00A822C2">
      <w:r>
        <w:separator/>
      </w:r>
    </w:p>
  </w:footnote>
  <w:footnote w:type="continuationSeparator" w:id="0">
    <w:p w:rsidR="00A822C2" w:rsidRDefault="00A8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E7661"/>
    <w:multiLevelType w:val="hybridMultilevel"/>
    <w:tmpl w:val="5C92CC8A"/>
    <w:lvl w:ilvl="0" w:tplc="7930B5FA">
      <w:start w:val="3"/>
      <w:numFmt w:val="decimal"/>
      <w:lvlText w:val="%1."/>
      <w:lvlJc w:val="left"/>
      <w:pPr>
        <w:ind w:left="397" w:hanging="262"/>
        <w:jc w:val="left"/>
      </w:pPr>
      <w:rPr>
        <w:rFonts w:ascii="Calibri" w:eastAsia="Calibri" w:hAnsi="Calibri" w:cs="Calibri" w:hint="default"/>
        <w:spacing w:val="-17"/>
        <w:w w:val="100"/>
        <w:sz w:val="22"/>
        <w:szCs w:val="22"/>
        <w:lang w:val="cs-CZ" w:eastAsia="cs-CZ" w:bidi="cs-CZ"/>
      </w:rPr>
    </w:lvl>
    <w:lvl w:ilvl="1" w:tplc="D6BCAB4C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cs-CZ" w:eastAsia="cs-CZ" w:bidi="cs-CZ"/>
      </w:rPr>
    </w:lvl>
    <w:lvl w:ilvl="2" w:tplc="FE86E302">
      <w:numFmt w:val="bullet"/>
      <w:lvlText w:val="•"/>
      <w:lvlJc w:val="left"/>
      <w:pPr>
        <w:ind w:left="1460" w:hanging="360"/>
      </w:pPr>
      <w:rPr>
        <w:rFonts w:hint="default"/>
        <w:lang w:val="cs-CZ" w:eastAsia="cs-CZ" w:bidi="cs-CZ"/>
      </w:rPr>
    </w:lvl>
    <w:lvl w:ilvl="3" w:tplc="5B2C25CE">
      <w:numFmt w:val="bullet"/>
      <w:lvlText w:val="•"/>
      <w:lvlJc w:val="left"/>
      <w:pPr>
        <w:ind w:left="2455" w:hanging="360"/>
      </w:pPr>
      <w:rPr>
        <w:rFonts w:hint="default"/>
        <w:lang w:val="cs-CZ" w:eastAsia="cs-CZ" w:bidi="cs-CZ"/>
      </w:rPr>
    </w:lvl>
    <w:lvl w:ilvl="4" w:tplc="B218C9C2">
      <w:numFmt w:val="bullet"/>
      <w:lvlText w:val="•"/>
      <w:lvlJc w:val="left"/>
      <w:pPr>
        <w:ind w:left="3451" w:hanging="360"/>
      </w:pPr>
      <w:rPr>
        <w:rFonts w:hint="default"/>
        <w:lang w:val="cs-CZ" w:eastAsia="cs-CZ" w:bidi="cs-CZ"/>
      </w:rPr>
    </w:lvl>
    <w:lvl w:ilvl="5" w:tplc="A15009BE">
      <w:numFmt w:val="bullet"/>
      <w:lvlText w:val="•"/>
      <w:lvlJc w:val="left"/>
      <w:pPr>
        <w:ind w:left="4447" w:hanging="360"/>
      </w:pPr>
      <w:rPr>
        <w:rFonts w:hint="default"/>
        <w:lang w:val="cs-CZ" w:eastAsia="cs-CZ" w:bidi="cs-CZ"/>
      </w:rPr>
    </w:lvl>
    <w:lvl w:ilvl="6" w:tplc="2E0A95C0">
      <w:numFmt w:val="bullet"/>
      <w:lvlText w:val="•"/>
      <w:lvlJc w:val="left"/>
      <w:pPr>
        <w:ind w:left="5443" w:hanging="360"/>
      </w:pPr>
      <w:rPr>
        <w:rFonts w:hint="default"/>
        <w:lang w:val="cs-CZ" w:eastAsia="cs-CZ" w:bidi="cs-CZ"/>
      </w:rPr>
    </w:lvl>
    <w:lvl w:ilvl="7" w:tplc="68C0FD96">
      <w:numFmt w:val="bullet"/>
      <w:lvlText w:val="•"/>
      <w:lvlJc w:val="left"/>
      <w:pPr>
        <w:ind w:left="6439" w:hanging="360"/>
      </w:pPr>
      <w:rPr>
        <w:rFonts w:hint="default"/>
        <w:lang w:val="cs-CZ" w:eastAsia="cs-CZ" w:bidi="cs-CZ"/>
      </w:rPr>
    </w:lvl>
    <w:lvl w:ilvl="8" w:tplc="F16434FC">
      <w:numFmt w:val="bullet"/>
      <w:lvlText w:val="•"/>
      <w:lvlJc w:val="left"/>
      <w:pPr>
        <w:ind w:left="7435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C5"/>
    <w:rsid w:val="007F21F8"/>
    <w:rsid w:val="00A822C2"/>
    <w:rsid w:val="00C2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F94FD3-E00A-47EA-92CC-E0CC57D1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right="6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16" w:right="114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npu.cz" TargetMode="External"/><Relationship Id="rId1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Šulcková Andrea</cp:lastModifiedBy>
  <cp:revision>2</cp:revision>
  <dcterms:created xsi:type="dcterms:W3CDTF">2024-11-14T08:12:00Z</dcterms:created>
  <dcterms:modified xsi:type="dcterms:W3CDTF">2024-11-14T08:12:00Z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2024-11-14T00:00:00Z</vt:filetime>
  </property>
</Properties>
</file>