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09F" w:rsidRDefault="00407A93">
      <w:pPr>
        <w:pStyle w:val="Zkladntext"/>
        <w:ind w:left="2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168845" cy="57835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845" cy="57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09F" w:rsidRDefault="00D9209F">
      <w:pPr>
        <w:pStyle w:val="Zkladntext"/>
        <w:rPr>
          <w:rFonts w:ascii="Times New Roman"/>
          <w:sz w:val="20"/>
        </w:rPr>
      </w:pPr>
    </w:p>
    <w:p w:rsidR="00D9209F" w:rsidRDefault="00D9209F">
      <w:pPr>
        <w:pStyle w:val="Zkladntext"/>
        <w:rPr>
          <w:rFonts w:ascii="Times New Roman"/>
          <w:sz w:val="20"/>
        </w:rPr>
      </w:pPr>
    </w:p>
    <w:p w:rsidR="00D9209F" w:rsidRDefault="00D9209F">
      <w:pPr>
        <w:pStyle w:val="Zkladntext"/>
        <w:spacing w:before="6"/>
        <w:rPr>
          <w:rFonts w:ascii="Times New Roman"/>
          <w:sz w:val="18"/>
        </w:rPr>
      </w:pPr>
    </w:p>
    <w:p w:rsidR="00D9209F" w:rsidRDefault="00407A93">
      <w:pPr>
        <w:pStyle w:val="Nadpis1"/>
        <w:spacing w:before="56"/>
        <w:ind w:left="327" w:right="484"/>
        <w:jc w:val="center"/>
      </w:pPr>
      <w:r>
        <w:t>Dodatek č. 1 ke Kupní smlouvě č. 2027H1240034/2024 ze dne 16. 10. 2024 SZ Kynžvart – pořízení</w:t>
      </w:r>
    </w:p>
    <w:p w:rsidR="00D9209F" w:rsidRDefault="00407A93">
      <w:pPr>
        <w:ind w:left="327" w:right="484"/>
        <w:jc w:val="center"/>
        <w:rPr>
          <w:b/>
        </w:rPr>
      </w:pPr>
      <w:r>
        <w:rPr>
          <w:b/>
        </w:rPr>
        <w:t>knihovních regálů do depozitářů</w:t>
      </w:r>
    </w:p>
    <w:p w:rsidR="00D9209F" w:rsidRDefault="00D9209F">
      <w:pPr>
        <w:pStyle w:val="Zkladntext"/>
        <w:spacing w:before="12"/>
        <w:rPr>
          <w:b/>
          <w:sz w:val="21"/>
        </w:rPr>
      </w:pPr>
    </w:p>
    <w:p w:rsidR="00D9209F" w:rsidRDefault="00407A93">
      <w:pPr>
        <w:pStyle w:val="Zkladntext"/>
        <w:ind w:left="204" w:right="484"/>
        <w:jc w:val="center"/>
      </w:pPr>
      <w:r>
        <w:t>uzavřený níže uvedeného dne, měsíce a roku podle ustanovení § 1901 zákona č. 89/2012Sb.,</w:t>
      </w:r>
    </w:p>
    <w:p w:rsidR="00D9209F" w:rsidRDefault="00407A93">
      <w:pPr>
        <w:pStyle w:val="Zkladntext"/>
        <w:spacing w:after="9"/>
        <w:ind w:left="208" w:right="484"/>
        <w:jc w:val="center"/>
      </w:pPr>
      <w:r>
        <w:t>občanského zákoníku, v platném a účinném znění</w:t>
      </w:r>
    </w:p>
    <w:p w:rsidR="00D9209F" w:rsidRDefault="00385AC7">
      <w:pPr>
        <w:pStyle w:val="Zkladntext"/>
        <w:spacing w:line="20" w:lineRule="exact"/>
        <w:ind w:left="2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696585" cy="6350"/>
                <wp:effectExtent l="6985" t="10795" r="11430" b="190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6585" cy="6350"/>
                          <a:chOff x="0" y="0"/>
                          <a:chExt cx="8971" cy="10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97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8F687C" id="Group 2" o:spid="_x0000_s1026" style="width:448.55pt;height:.5pt;mso-position-horizontal-relative:char;mso-position-vertical-relative:line" coordsize="89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">
                <v:line id="Line 3" o:spid="_x0000_s1027" style="position:absolute;visibility:visible;mso-wrap-style:square" from="0,5" to="897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" strokeweight=".5pt"/>
                <w10:anchorlock/>
              </v:group>
            </w:pict>
          </mc:Fallback>
        </mc:AlternateContent>
      </w:r>
    </w:p>
    <w:p w:rsidR="00D9209F" w:rsidRDefault="00D9209F">
      <w:pPr>
        <w:pStyle w:val="Zkladntext"/>
        <w:spacing w:before="10"/>
        <w:rPr>
          <w:sz w:val="12"/>
        </w:rPr>
      </w:pPr>
    </w:p>
    <w:p w:rsidR="00D9209F" w:rsidRDefault="00407A93">
      <w:pPr>
        <w:spacing w:before="56"/>
        <w:ind w:left="383"/>
      </w:pPr>
      <w:r>
        <w:rPr>
          <w:b/>
        </w:rPr>
        <w:t xml:space="preserve">Národní památkový ústav, </w:t>
      </w:r>
      <w:r>
        <w:t>státní příspěvková organizace</w:t>
      </w:r>
    </w:p>
    <w:p w:rsidR="00D9209F" w:rsidRDefault="00407A93">
      <w:pPr>
        <w:pStyle w:val="Zkladntext"/>
        <w:ind w:left="383"/>
      </w:pPr>
      <w:r>
        <w:t>IČO: 75032333, DIČ: CZ75032333,</w:t>
      </w:r>
    </w:p>
    <w:p w:rsidR="00D9209F" w:rsidRDefault="00407A93">
      <w:pPr>
        <w:pStyle w:val="Zkladntext"/>
        <w:ind w:left="383" w:right="2951"/>
      </w:pPr>
      <w:r>
        <w:t>se sídlem: Valdštejnské nám. 162/3, PSČ 118 01 Praha 1 –</w:t>
      </w:r>
      <w:r>
        <w:t xml:space="preserve"> Malá Strana, bankovní spojení: ČNB </w:t>
      </w:r>
      <w:r w:rsidR="00385AC7">
        <w:t>xxxxxx</w:t>
      </w:r>
    </w:p>
    <w:p w:rsidR="00D9209F" w:rsidRDefault="00407A93">
      <w:pPr>
        <w:pStyle w:val="Zkladntext"/>
        <w:ind w:left="383"/>
      </w:pPr>
      <w:r>
        <w:t xml:space="preserve">zastoupený Ing. Ondřejem Cinkem, kastelánem zámku Kynžvart, tel.: </w:t>
      </w:r>
      <w:r w:rsidR="00385AC7">
        <w:t>xxxxxx</w:t>
      </w:r>
    </w:p>
    <w:p w:rsidR="00D9209F" w:rsidRDefault="00D9209F">
      <w:pPr>
        <w:pStyle w:val="Zkladntext"/>
        <w:spacing w:before="12"/>
        <w:rPr>
          <w:sz w:val="21"/>
        </w:rPr>
      </w:pPr>
    </w:p>
    <w:p w:rsidR="00D9209F" w:rsidRDefault="00407A93">
      <w:pPr>
        <w:ind w:left="383"/>
        <w:rPr>
          <w:b/>
          <w:i/>
        </w:rPr>
      </w:pPr>
      <w:r>
        <w:rPr>
          <w:b/>
          <w:i/>
        </w:rPr>
        <w:t>Doručovací adresa:</w:t>
      </w:r>
    </w:p>
    <w:p w:rsidR="00D9209F" w:rsidRDefault="00407A93">
      <w:pPr>
        <w:pStyle w:val="Zkladntext"/>
        <w:ind w:left="383" w:right="4827"/>
      </w:pPr>
      <w:r>
        <w:t>Národní památkový ústav, správa zámku Kynžvart adresa: Lázně Kynžvart, PSČ 354 91</w:t>
      </w:r>
    </w:p>
    <w:p w:rsidR="00385AC7" w:rsidRDefault="00407A93">
      <w:pPr>
        <w:pStyle w:val="Zkladntext"/>
        <w:ind w:left="383" w:right="5214"/>
      </w:pPr>
      <w:r>
        <w:t xml:space="preserve">tel.: </w:t>
      </w:r>
      <w:r w:rsidR="00385AC7">
        <w:t>xxxxxx</w:t>
      </w:r>
    </w:p>
    <w:p w:rsidR="00D9209F" w:rsidRDefault="00407A93">
      <w:pPr>
        <w:pStyle w:val="Zkladntext"/>
        <w:ind w:left="383" w:right="5214"/>
        <w:rPr>
          <w:b/>
        </w:rPr>
      </w:pPr>
      <w:r>
        <w:t xml:space="preserve">(dále jen </w:t>
      </w:r>
      <w:r>
        <w:rPr>
          <w:b/>
        </w:rPr>
        <w:t>„Kupující“)</w:t>
      </w:r>
    </w:p>
    <w:p w:rsidR="00D9209F" w:rsidRDefault="00D9209F">
      <w:pPr>
        <w:pStyle w:val="Zkladntext"/>
        <w:rPr>
          <w:b/>
        </w:rPr>
      </w:pPr>
    </w:p>
    <w:p w:rsidR="00D9209F" w:rsidRDefault="00407A93">
      <w:pPr>
        <w:pStyle w:val="Zkladntext"/>
        <w:ind w:left="383"/>
      </w:pPr>
      <w:r>
        <w:t>a</w:t>
      </w:r>
    </w:p>
    <w:p w:rsidR="00D9209F" w:rsidRDefault="00D9209F">
      <w:pPr>
        <w:pStyle w:val="Zkladntext"/>
      </w:pPr>
    </w:p>
    <w:p w:rsidR="00D9209F" w:rsidRDefault="00407A93">
      <w:pPr>
        <w:pStyle w:val="Nadpis1"/>
        <w:ind w:left="383"/>
      </w:pPr>
      <w:r>
        <w:t>DIRP, s.r.o.</w:t>
      </w:r>
    </w:p>
    <w:p w:rsidR="00D9209F" w:rsidRDefault="00407A93">
      <w:pPr>
        <w:ind w:left="383"/>
        <w:rPr>
          <w:b/>
        </w:rPr>
      </w:pPr>
      <w:r>
        <w:rPr>
          <w:b/>
        </w:rPr>
        <w:t>zapsaný v obchodní rejstříku vedeném u KS v Brně, v oddíle C, vložka 13945</w:t>
      </w:r>
    </w:p>
    <w:p w:rsidR="00D9209F" w:rsidRDefault="00407A93">
      <w:pPr>
        <w:pStyle w:val="Zkladntext"/>
        <w:ind w:left="383"/>
      </w:pPr>
      <w:r>
        <w:t>IČO: 49974955, DIČ: CZ49974955</w:t>
      </w:r>
    </w:p>
    <w:p w:rsidR="00D9209F" w:rsidRDefault="00407A93">
      <w:pPr>
        <w:pStyle w:val="Zkladntext"/>
        <w:ind w:left="383" w:right="5706"/>
      </w:pPr>
      <w:r>
        <w:t>se sídlem: Cejl 40/107, 602 00 Brno zastoupen: Jiřím Havlíkem – jednatelem</w:t>
      </w:r>
    </w:p>
    <w:p w:rsidR="00385AC7" w:rsidRDefault="00407A93">
      <w:pPr>
        <w:pStyle w:val="Zkladntext"/>
        <w:ind w:left="383" w:right="3828"/>
      </w:pPr>
      <w:r>
        <w:t xml:space="preserve">bankovní spojení: Raiffeisenbank CZ, č. ú.: </w:t>
      </w:r>
      <w:r w:rsidR="00385AC7">
        <w:t>xxxxxx</w:t>
      </w:r>
    </w:p>
    <w:p w:rsidR="00D9209F" w:rsidRDefault="00407A93">
      <w:pPr>
        <w:pStyle w:val="Zkladntext"/>
        <w:ind w:left="383" w:right="3828"/>
      </w:pPr>
      <w:bookmarkStart w:id="0" w:name="_GoBack"/>
      <w:bookmarkEnd w:id="0"/>
      <w:r>
        <w:t>(dále jen „</w:t>
      </w:r>
      <w:r>
        <w:rPr>
          <w:b/>
        </w:rPr>
        <w:t>Prodávající</w:t>
      </w:r>
      <w:r>
        <w:t>“)</w:t>
      </w:r>
    </w:p>
    <w:p w:rsidR="00D9209F" w:rsidRDefault="00D9209F">
      <w:pPr>
        <w:pStyle w:val="Zkladntext"/>
      </w:pPr>
    </w:p>
    <w:p w:rsidR="00D9209F" w:rsidRDefault="00407A93">
      <w:pPr>
        <w:pStyle w:val="Nadpis1"/>
        <w:ind w:left="327" w:right="464"/>
        <w:jc w:val="center"/>
      </w:pPr>
      <w:r>
        <w:t>PREAMBULE</w:t>
      </w:r>
    </w:p>
    <w:p w:rsidR="00D9209F" w:rsidRDefault="00D9209F">
      <w:pPr>
        <w:pStyle w:val="Zkladntext"/>
        <w:rPr>
          <w:b/>
        </w:rPr>
      </w:pPr>
    </w:p>
    <w:p w:rsidR="00D9209F" w:rsidRDefault="00407A93">
      <w:pPr>
        <w:pStyle w:val="Zkladntext"/>
        <w:ind w:left="667" w:right="116"/>
        <w:jc w:val="both"/>
      </w:pPr>
      <w:r>
        <w:t>Objednatel v rámci veřejné zakázky „SZ Kynžvart – pořízení knihovních regálů do depo</w:t>
      </w:r>
      <w:r>
        <w:t>zitářů“ vysoutěžil dodavatele knihovních regálů. Celková vysoutěžená cena regálů byla soutěží získána nižší, než byl předpoklad. Počet poptávaných regálů odpovídal předpokládané hodnotě a alokovaným prostředkům v rozpočtu. Skutečná potřeba regálu je vyšší,</w:t>
      </w:r>
      <w:r>
        <w:t xml:space="preserve"> proto bude úspora využita na nákup dalších kusů úložného</w:t>
      </w:r>
      <w:r>
        <w:rPr>
          <w:spacing w:val="-3"/>
        </w:rPr>
        <w:t xml:space="preserve"> </w:t>
      </w:r>
      <w:r>
        <w:t>mobiliáře.</w:t>
      </w:r>
    </w:p>
    <w:p w:rsidR="00D9209F" w:rsidRDefault="00D9209F">
      <w:pPr>
        <w:pStyle w:val="Zkladntext"/>
      </w:pPr>
    </w:p>
    <w:p w:rsidR="00D9209F" w:rsidRDefault="00D9209F">
      <w:pPr>
        <w:pStyle w:val="Zkladntext"/>
      </w:pPr>
    </w:p>
    <w:p w:rsidR="00D9209F" w:rsidRDefault="00407A93">
      <w:pPr>
        <w:pStyle w:val="Nadpis1"/>
        <w:numPr>
          <w:ilvl w:val="0"/>
          <w:numId w:val="3"/>
        </w:numPr>
        <w:tabs>
          <w:tab w:val="left" w:pos="4124"/>
          <w:tab w:val="left" w:pos="4126"/>
        </w:tabs>
        <w:jc w:val="left"/>
      </w:pPr>
      <w:r>
        <w:t>Předmět Dodatku č.</w:t>
      </w:r>
      <w:r>
        <w:rPr>
          <w:spacing w:val="-5"/>
        </w:rPr>
        <w:t xml:space="preserve"> </w:t>
      </w:r>
      <w:r>
        <w:t>1</w:t>
      </w:r>
    </w:p>
    <w:p w:rsidR="00D9209F" w:rsidRDefault="00D9209F">
      <w:pPr>
        <w:pStyle w:val="Zkladntext"/>
        <w:rPr>
          <w:b/>
        </w:rPr>
      </w:pPr>
    </w:p>
    <w:p w:rsidR="00D9209F" w:rsidRDefault="00407A93">
      <w:pPr>
        <w:ind w:left="236" w:right="184"/>
        <w:rPr>
          <w:b/>
        </w:rPr>
      </w:pPr>
      <w:r>
        <w:t xml:space="preserve">V souladu s ustanovením </w:t>
      </w:r>
      <w:r>
        <w:rPr>
          <w:b/>
        </w:rPr>
        <w:t>čl. I. „Předmět smlouvy“ odst. 1. se doplňuje rozsah předmětu plnění navíc o:</w:t>
      </w:r>
    </w:p>
    <w:p w:rsidR="00D9209F" w:rsidRDefault="00407A93">
      <w:pPr>
        <w:pStyle w:val="Zkladntext"/>
        <w:tabs>
          <w:tab w:val="left" w:pos="1522"/>
        </w:tabs>
        <w:spacing w:before="101"/>
        <w:ind w:left="1163"/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>
        <w:t>dodávku regálů včetně montáže stejných parametrů a charakteristik o jiném</w:t>
      </w:r>
      <w:r>
        <w:rPr>
          <w:spacing w:val="-20"/>
        </w:rPr>
        <w:t xml:space="preserve"> </w:t>
      </w:r>
      <w:r>
        <w:t>(kratším)</w:t>
      </w:r>
    </w:p>
    <w:p w:rsidR="00D9209F" w:rsidRDefault="00407A93">
      <w:pPr>
        <w:pStyle w:val="Zkladntext"/>
        <w:tabs>
          <w:tab w:val="left" w:leader="dot" w:pos="7081"/>
        </w:tabs>
        <w:ind w:left="1523"/>
      </w:pPr>
      <w:r>
        <w:t>rozměru (v x š x h): 2400 x 840 x cca 250 mm</w:t>
      </w:r>
      <w:r>
        <w:rPr>
          <w:spacing w:val="-1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počtu</w:t>
      </w:r>
      <w:r>
        <w:tab/>
        <w:t>14 ks</w:t>
      </w:r>
    </w:p>
    <w:p w:rsidR="00D9209F" w:rsidRDefault="00D9209F">
      <w:pPr>
        <w:sectPr w:rsidR="00D9209F">
          <w:footerReference w:type="default" r:id="rId8"/>
          <w:type w:val="continuous"/>
          <w:pgSz w:w="11910" w:h="16840"/>
          <w:pgMar w:top="1600" w:right="980" w:bottom="1200" w:left="1260" w:header="708" w:footer="1005" w:gutter="0"/>
          <w:pgNumType w:start="1"/>
          <w:cols w:space="708"/>
        </w:sectPr>
      </w:pPr>
    </w:p>
    <w:p w:rsidR="00D9209F" w:rsidRDefault="00407A93">
      <w:pPr>
        <w:pStyle w:val="Nadpis1"/>
        <w:spacing w:before="40"/>
        <w:ind w:right="184"/>
      </w:pPr>
      <w:r>
        <w:rPr>
          <w:b w:val="0"/>
        </w:rPr>
        <w:lastRenderedPageBreak/>
        <w:t xml:space="preserve">V souladu s ustanovením </w:t>
      </w:r>
      <w:r>
        <w:t>čl. II. „Kupní cena a platební podmínky“ odst. 1. se zvyšuje cena o výše uvedený rozsah předmětu:</w:t>
      </w:r>
    </w:p>
    <w:p w:rsidR="00D9209F" w:rsidRDefault="00D9209F">
      <w:pPr>
        <w:pStyle w:val="Zkladntext"/>
        <w:rPr>
          <w:b/>
        </w:rPr>
      </w:pPr>
    </w:p>
    <w:p w:rsidR="00D9209F" w:rsidRDefault="00407A93">
      <w:pPr>
        <w:pStyle w:val="Odstavecseseznamem"/>
        <w:numPr>
          <w:ilvl w:val="0"/>
          <w:numId w:val="1"/>
        </w:numPr>
        <w:tabs>
          <w:tab w:val="left" w:pos="1522"/>
          <w:tab w:val="left" w:pos="1523"/>
        </w:tabs>
        <w:ind w:right="258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cena za 1 ks regálu o rozměrech </w:t>
      </w:r>
      <w:r>
        <w:t xml:space="preserve">2400 x 840 x cca 250 mm činí 4.338,- Kč bez DPH, s DPH 21% činní </w:t>
      </w:r>
      <w:r>
        <w:rPr>
          <w:rFonts w:ascii="Tahoma" w:hAnsi="Tahoma"/>
          <w:sz w:val="18"/>
        </w:rPr>
        <w:t>5.249,-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z w:val="18"/>
        </w:rPr>
        <w:t>Kč</w:t>
      </w:r>
    </w:p>
    <w:p w:rsidR="00D9209F" w:rsidRDefault="00407A93">
      <w:pPr>
        <w:pStyle w:val="Odstavecseseznamem"/>
        <w:numPr>
          <w:ilvl w:val="0"/>
          <w:numId w:val="1"/>
        </w:numPr>
        <w:tabs>
          <w:tab w:val="left" w:pos="1522"/>
          <w:tab w:val="left" w:pos="1523"/>
        </w:tabs>
        <w:ind w:right="258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cena za 14 ks regálu o rozměrech </w:t>
      </w:r>
      <w:r>
        <w:t xml:space="preserve">2400 x 840 x cca 250 mm činí 60.732,- Kč bez DPH, s DPH 21% činní </w:t>
      </w:r>
      <w:r>
        <w:rPr>
          <w:rFonts w:ascii="Tahoma" w:hAnsi="Tahoma"/>
          <w:sz w:val="18"/>
        </w:rPr>
        <w:t>73.486,-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z w:val="18"/>
        </w:rPr>
        <w:t>Kč</w:t>
      </w:r>
    </w:p>
    <w:p w:rsidR="00D9209F" w:rsidRDefault="00D9209F">
      <w:pPr>
        <w:pStyle w:val="Zkladntext"/>
        <w:rPr>
          <w:rFonts w:ascii="Tahoma"/>
          <w:sz w:val="18"/>
        </w:rPr>
      </w:pPr>
    </w:p>
    <w:p w:rsidR="00D9209F" w:rsidRDefault="00407A93">
      <w:pPr>
        <w:pStyle w:val="Nadpis1"/>
      </w:pPr>
      <w:r>
        <w:t>Po navýšení činní celková hodnota veřejné zakázky:</w:t>
      </w:r>
    </w:p>
    <w:p w:rsidR="00D9209F" w:rsidRDefault="00407A93">
      <w:pPr>
        <w:tabs>
          <w:tab w:val="left" w:leader="dot" w:pos="2751"/>
        </w:tabs>
        <w:ind w:left="100"/>
        <w:rPr>
          <w:b/>
        </w:rPr>
      </w:pPr>
      <w:r>
        <w:rPr>
          <w:b/>
        </w:rPr>
        <w:t>bez</w:t>
      </w:r>
      <w:r>
        <w:rPr>
          <w:b/>
          <w:spacing w:val="-1"/>
        </w:rPr>
        <w:t xml:space="preserve"> </w:t>
      </w:r>
      <w:r>
        <w:rPr>
          <w:b/>
        </w:rPr>
        <w:t>DPH</w:t>
      </w:r>
      <w:r>
        <w:rPr>
          <w:b/>
        </w:rPr>
        <w:tab/>
        <w:t>286.632,- Kč</w:t>
      </w:r>
    </w:p>
    <w:p w:rsidR="00D9209F" w:rsidRDefault="00407A93">
      <w:pPr>
        <w:tabs>
          <w:tab w:val="left" w:leader="dot" w:pos="2906"/>
        </w:tabs>
        <w:ind w:left="100"/>
        <w:rPr>
          <w:b/>
        </w:rPr>
      </w:pPr>
      <w:r>
        <w:rPr>
          <w:b/>
        </w:rPr>
        <w:t>DPH</w:t>
      </w:r>
      <w:r>
        <w:rPr>
          <w:b/>
          <w:spacing w:val="-1"/>
        </w:rPr>
        <w:t xml:space="preserve"> </w:t>
      </w:r>
      <w:r>
        <w:rPr>
          <w:b/>
        </w:rPr>
        <w:t>21%</w:t>
      </w:r>
      <w:r>
        <w:rPr>
          <w:b/>
        </w:rPr>
        <w:tab/>
        <w:t>60.193,-</w:t>
      </w:r>
      <w:r>
        <w:rPr>
          <w:b/>
          <w:spacing w:val="-1"/>
        </w:rPr>
        <w:t xml:space="preserve"> </w:t>
      </w:r>
      <w:r>
        <w:rPr>
          <w:b/>
        </w:rPr>
        <w:t>Kč</w:t>
      </w:r>
    </w:p>
    <w:p w:rsidR="00D9209F" w:rsidRDefault="00407A93">
      <w:pPr>
        <w:tabs>
          <w:tab w:val="left" w:leader="dot" w:pos="2783"/>
        </w:tabs>
        <w:ind w:left="100"/>
        <w:rPr>
          <w:b/>
        </w:rPr>
      </w:pPr>
      <w:r>
        <w:rPr>
          <w:b/>
        </w:rPr>
        <w:t>včetně</w:t>
      </w:r>
      <w:r>
        <w:rPr>
          <w:b/>
          <w:spacing w:val="-2"/>
        </w:rPr>
        <w:t xml:space="preserve"> </w:t>
      </w:r>
      <w:r>
        <w:rPr>
          <w:b/>
        </w:rPr>
        <w:t>DPH</w:t>
      </w:r>
      <w:r>
        <w:rPr>
          <w:b/>
          <w:spacing w:val="-2"/>
        </w:rPr>
        <w:t xml:space="preserve"> </w:t>
      </w:r>
      <w:r>
        <w:rPr>
          <w:b/>
        </w:rPr>
        <w:t>21%</w:t>
      </w:r>
      <w:r>
        <w:rPr>
          <w:b/>
        </w:rPr>
        <w:tab/>
        <w:t>346.825,-</w:t>
      </w:r>
      <w:r>
        <w:rPr>
          <w:b/>
          <w:spacing w:val="-1"/>
        </w:rPr>
        <w:t xml:space="preserve"> </w:t>
      </w:r>
      <w:r>
        <w:rPr>
          <w:b/>
        </w:rPr>
        <w:t>Kč</w:t>
      </w:r>
    </w:p>
    <w:p w:rsidR="00D9209F" w:rsidRDefault="00D9209F">
      <w:pPr>
        <w:pStyle w:val="Zkladntext"/>
        <w:rPr>
          <w:b/>
        </w:rPr>
      </w:pPr>
    </w:p>
    <w:p w:rsidR="00D9209F" w:rsidRDefault="00D9209F">
      <w:pPr>
        <w:pStyle w:val="Zkladntext"/>
        <w:rPr>
          <w:b/>
        </w:rPr>
      </w:pPr>
    </w:p>
    <w:p w:rsidR="00D9209F" w:rsidRDefault="00D9209F">
      <w:pPr>
        <w:pStyle w:val="Zkladntext"/>
        <w:rPr>
          <w:b/>
        </w:rPr>
      </w:pPr>
    </w:p>
    <w:p w:rsidR="00D9209F" w:rsidRDefault="00407A93">
      <w:pPr>
        <w:pStyle w:val="Odstavecseseznamem"/>
        <w:numPr>
          <w:ilvl w:val="0"/>
          <w:numId w:val="3"/>
        </w:numPr>
        <w:tabs>
          <w:tab w:val="left" w:pos="3347"/>
        </w:tabs>
        <w:ind w:left="3346" w:hanging="362"/>
        <w:jc w:val="left"/>
        <w:rPr>
          <w:b/>
        </w:rPr>
      </w:pPr>
      <w:r>
        <w:rPr>
          <w:b/>
        </w:rPr>
        <w:t>Závěrečná ustanovení Dodatku č.</w:t>
      </w:r>
      <w:r>
        <w:rPr>
          <w:b/>
          <w:spacing w:val="-7"/>
        </w:rPr>
        <w:t xml:space="preserve"> </w:t>
      </w:r>
      <w:r>
        <w:rPr>
          <w:b/>
        </w:rPr>
        <w:t>1</w:t>
      </w:r>
    </w:p>
    <w:p w:rsidR="00D9209F" w:rsidRDefault="00D9209F">
      <w:pPr>
        <w:pStyle w:val="Zkladntext"/>
        <w:rPr>
          <w:b/>
        </w:rPr>
      </w:pPr>
    </w:p>
    <w:p w:rsidR="00D9209F" w:rsidRDefault="00407A93">
      <w:pPr>
        <w:pStyle w:val="Odstavecseseznamem"/>
        <w:numPr>
          <w:ilvl w:val="1"/>
          <w:numId w:val="2"/>
        </w:numPr>
        <w:tabs>
          <w:tab w:val="left" w:pos="804"/>
        </w:tabs>
        <w:ind w:left="802" w:right="257" w:hanging="568"/>
        <w:jc w:val="both"/>
      </w:pPr>
      <w:r>
        <w:t>Ostatní části Smlouvy o dílo „SZ Kynžvart – pořízení knihovních regálů do depozitářů“ zůstávají nezměněny.</w:t>
      </w:r>
    </w:p>
    <w:p w:rsidR="00D9209F" w:rsidRDefault="00407A93">
      <w:pPr>
        <w:pStyle w:val="Odstavecseseznamem"/>
        <w:numPr>
          <w:ilvl w:val="1"/>
          <w:numId w:val="2"/>
        </w:numPr>
        <w:tabs>
          <w:tab w:val="left" w:pos="804"/>
        </w:tabs>
        <w:ind w:left="804" w:right="370" w:hanging="567"/>
        <w:jc w:val="both"/>
      </w:pPr>
      <w:r>
        <w:t>Tento</w:t>
      </w:r>
      <w:r>
        <w:rPr>
          <w:spacing w:val="-15"/>
        </w:rPr>
        <w:t xml:space="preserve"> </w:t>
      </w:r>
      <w:r>
        <w:t>Dodatek</w:t>
      </w:r>
      <w:r>
        <w:rPr>
          <w:spacing w:val="-14"/>
        </w:rPr>
        <w:t xml:space="preserve"> </w:t>
      </w:r>
      <w:r>
        <w:t>nabývá</w:t>
      </w:r>
      <w:r>
        <w:rPr>
          <w:spacing w:val="-15"/>
        </w:rPr>
        <w:t xml:space="preserve"> </w:t>
      </w:r>
      <w:r>
        <w:t>platnosti</w:t>
      </w:r>
      <w:r>
        <w:rPr>
          <w:spacing w:val="-14"/>
        </w:rPr>
        <w:t xml:space="preserve"> </w:t>
      </w:r>
      <w:r>
        <w:t>dnem</w:t>
      </w:r>
      <w:r>
        <w:rPr>
          <w:spacing w:val="-14"/>
        </w:rPr>
        <w:t xml:space="preserve"> </w:t>
      </w:r>
      <w:r>
        <w:t>jeho</w:t>
      </w:r>
      <w:r>
        <w:rPr>
          <w:spacing w:val="-14"/>
        </w:rPr>
        <w:t xml:space="preserve"> </w:t>
      </w:r>
      <w:r>
        <w:t>podpisu</w:t>
      </w:r>
      <w:r>
        <w:rPr>
          <w:spacing w:val="-13"/>
        </w:rPr>
        <w:t xml:space="preserve"> </w:t>
      </w:r>
      <w:r>
        <w:t>oprávněnými</w:t>
      </w:r>
      <w:r>
        <w:rPr>
          <w:spacing w:val="-14"/>
        </w:rPr>
        <w:t xml:space="preserve"> </w:t>
      </w:r>
      <w:r>
        <w:t>zástupci</w:t>
      </w:r>
      <w:r>
        <w:rPr>
          <w:spacing w:val="-14"/>
        </w:rPr>
        <w:t xml:space="preserve"> </w:t>
      </w:r>
      <w:r>
        <w:t>obou</w:t>
      </w:r>
      <w:r>
        <w:rPr>
          <w:spacing w:val="-15"/>
        </w:rPr>
        <w:t xml:space="preserve"> </w:t>
      </w:r>
      <w:r>
        <w:t>smluvních</w:t>
      </w:r>
      <w:r>
        <w:rPr>
          <w:spacing w:val="-13"/>
        </w:rPr>
        <w:t xml:space="preserve"> </w:t>
      </w:r>
      <w:r>
        <w:t>stran a účinnosti dnem jeho u</w:t>
      </w:r>
      <w:r>
        <w:t>veřejnění v registru smluv ve smyslu § 5 zákona č. 340/2015 Sb., o zvláštních podmínkách účinnosti některých smluv, uveřejňování těchto smluv a o registru smluv (zákon o registru smluv). Tento Dodatek v registru smluv zveřejní</w:t>
      </w:r>
      <w:r>
        <w:rPr>
          <w:spacing w:val="-29"/>
        </w:rPr>
        <w:t xml:space="preserve"> </w:t>
      </w:r>
      <w:r>
        <w:t>kupující.</w:t>
      </w:r>
    </w:p>
    <w:p w:rsidR="00D9209F" w:rsidRDefault="00D9209F">
      <w:pPr>
        <w:pStyle w:val="Zkladntext"/>
      </w:pPr>
    </w:p>
    <w:p w:rsidR="00D9209F" w:rsidRDefault="00D9209F">
      <w:pPr>
        <w:pStyle w:val="Zkladntext"/>
      </w:pPr>
    </w:p>
    <w:p w:rsidR="00D9209F" w:rsidRDefault="00D9209F">
      <w:pPr>
        <w:pStyle w:val="Zkladntext"/>
      </w:pPr>
    </w:p>
    <w:p w:rsidR="00D9209F" w:rsidRDefault="00D9209F">
      <w:pPr>
        <w:pStyle w:val="Zkladntext"/>
        <w:rPr>
          <w:sz w:val="20"/>
        </w:rPr>
      </w:pPr>
    </w:p>
    <w:p w:rsidR="00D9209F" w:rsidRDefault="00407A93">
      <w:pPr>
        <w:pStyle w:val="Zkladntext"/>
        <w:tabs>
          <w:tab w:val="left" w:pos="5140"/>
        </w:tabs>
        <w:ind w:left="100"/>
      </w:pPr>
      <w:r>
        <w:t>Na zámku</w:t>
      </w:r>
      <w:r>
        <w:rPr>
          <w:spacing w:val="-2"/>
        </w:rPr>
        <w:t xml:space="preserve"> </w:t>
      </w:r>
      <w:r>
        <w:t>Kynžvart,</w:t>
      </w:r>
      <w:r>
        <w:rPr>
          <w:spacing w:val="-1"/>
        </w:rPr>
        <w:t xml:space="preserve"> </w:t>
      </w:r>
      <w:r>
        <w:t>dne</w:t>
      </w:r>
      <w:r>
        <w:tab/>
        <w:t>V Brně, dne</w:t>
      </w:r>
    </w:p>
    <w:p w:rsidR="00D9209F" w:rsidRDefault="00D9209F">
      <w:pPr>
        <w:pStyle w:val="Zkladntext"/>
        <w:rPr>
          <w:sz w:val="20"/>
        </w:rPr>
      </w:pPr>
    </w:p>
    <w:p w:rsidR="00D9209F" w:rsidRDefault="00D9209F">
      <w:pPr>
        <w:pStyle w:val="Zkladntext"/>
        <w:rPr>
          <w:sz w:val="20"/>
        </w:rPr>
      </w:pPr>
    </w:p>
    <w:p w:rsidR="00D9209F" w:rsidRDefault="00D9209F">
      <w:pPr>
        <w:pStyle w:val="Zkladntext"/>
        <w:rPr>
          <w:sz w:val="20"/>
        </w:rPr>
      </w:pPr>
    </w:p>
    <w:p w:rsidR="00D9209F" w:rsidRDefault="00D9209F">
      <w:pPr>
        <w:pStyle w:val="Zkladntext"/>
        <w:rPr>
          <w:sz w:val="20"/>
        </w:rPr>
      </w:pPr>
    </w:p>
    <w:p w:rsidR="00D9209F" w:rsidRDefault="00D9209F">
      <w:pPr>
        <w:pStyle w:val="Zkladntext"/>
        <w:rPr>
          <w:sz w:val="20"/>
        </w:rPr>
      </w:pPr>
    </w:p>
    <w:p w:rsidR="00D9209F" w:rsidRDefault="00D9209F">
      <w:pPr>
        <w:rPr>
          <w:sz w:val="20"/>
        </w:rPr>
        <w:sectPr w:rsidR="00D9209F">
          <w:pgSz w:w="11910" w:h="16840"/>
          <w:pgMar w:top="1560" w:right="980" w:bottom="1200" w:left="1260" w:header="0" w:footer="1005" w:gutter="0"/>
          <w:cols w:space="708"/>
        </w:sectPr>
      </w:pPr>
    </w:p>
    <w:p w:rsidR="00D9209F" w:rsidRDefault="00D9209F">
      <w:pPr>
        <w:pStyle w:val="Zkladntext"/>
        <w:spacing w:before="6"/>
        <w:rPr>
          <w:sz w:val="17"/>
        </w:rPr>
      </w:pPr>
    </w:p>
    <w:p w:rsidR="00D9209F" w:rsidRDefault="00407A93">
      <w:pPr>
        <w:pStyle w:val="Zkladntext"/>
        <w:spacing w:before="1"/>
        <w:ind w:left="820"/>
      </w:pPr>
      <w:r>
        <w:t>……………………………………………</w:t>
      </w:r>
    </w:p>
    <w:p w:rsidR="00D9209F" w:rsidRDefault="00407A93">
      <w:pPr>
        <w:pStyle w:val="Zkladntext"/>
        <w:spacing w:before="95"/>
        <w:ind w:left="1639"/>
      </w:pPr>
      <w:r>
        <w:t>kupující</w:t>
      </w:r>
    </w:p>
    <w:p w:rsidR="00D9209F" w:rsidRDefault="00407A93">
      <w:pPr>
        <w:pStyle w:val="Zkladntext"/>
        <w:spacing w:before="6"/>
        <w:rPr>
          <w:sz w:val="17"/>
        </w:rPr>
      </w:pPr>
      <w:r>
        <w:br w:type="column"/>
      </w:r>
    </w:p>
    <w:p w:rsidR="00D9209F" w:rsidRDefault="00407A93">
      <w:pPr>
        <w:pStyle w:val="Zkladntext"/>
        <w:spacing w:before="1" w:line="324" w:lineRule="auto"/>
        <w:ind w:left="1566" w:right="1199" w:hanging="747"/>
      </w:pPr>
      <w:r>
        <w:t>…………………………………………………… prodávající</w:t>
      </w:r>
    </w:p>
    <w:sectPr w:rsidR="00D9209F">
      <w:type w:val="continuous"/>
      <w:pgSz w:w="11910" w:h="16840"/>
      <w:pgMar w:top="1600" w:right="980" w:bottom="1200" w:left="1260" w:header="708" w:footer="708" w:gutter="0"/>
      <w:cols w:num="2" w:space="708" w:equalWidth="0">
        <w:col w:w="3443" w:space="1151"/>
        <w:col w:w="507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A93" w:rsidRDefault="00407A93">
      <w:r>
        <w:separator/>
      </w:r>
    </w:p>
  </w:endnote>
  <w:endnote w:type="continuationSeparator" w:id="0">
    <w:p w:rsidR="00407A93" w:rsidRDefault="00407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09F" w:rsidRDefault="00385AC7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36384" behindDoc="1" locked="0" layoutInCell="1" allowOverlap="1">
              <wp:simplePos x="0" y="0"/>
              <wp:positionH relativeFrom="page">
                <wp:posOffset>765175</wp:posOffset>
              </wp:positionH>
              <wp:positionV relativeFrom="page">
                <wp:posOffset>9928225</wp:posOffset>
              </wp:positionV>
              <wp:extent cx="0" cy="24765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4765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D9291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7D6DA" id="Line 2" o:spid="_x0000_s1026" style="position:absolute;z-index:-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25pt,781.75pt" to="60.25pt,8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" strokecolor="#d92910" strokeweight="2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37408" behindDoc="1" locked="0" layoutInCell="1" allowOverlap="1">
              <wp:simplePos x="0" y="0"/>
              <wp:positionH relativeFrom="page">
                <wp:posOffset>6375400</wp:posOffset>
              </wp:positionH>
              <wp:positionV relativeFrom="page">
                <wp:posOffset>10043160</wp:posOffset>
              </wp:positionV>
              <wp:extent cx="22606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209F" w:rsidRDefault="00407A93">
                          <w:pPr>
                            <w:spacing w:line="224" w:lineRule="exact"/>
                            <w:ind w:left="60"/>
                            <w:rPr>
                              <w:rFonts w:ascii="Calibri Ligh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 Ligh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 Light"/>
                              <w:sz w:val="20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2pt;margin-top:790.8pt;width:17.8pt;height:12pt;z-index:-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" filled="f" stroked="f">
              <v:textbox inset="0,0,0,0">
                <w:txbxContent>
                  <w:p w:rsidR="00D9209F" w:rsidRDefault="00407A93">
                    <w:pPr>
                      <w:spacing w:line="224" w:lineRule="exact"/>
                      <w:ind w:left="60"/>
                      <w:rPr>
                        <w:rFonts w:ascii="Calibri Ligh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 Ligh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 Light"/>
                        <w:sz w:val="20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A93" w:rsidRDefault="00407A93">
      <w:r>
        <w:separator/>
      </w:r>
    </w:p>
  </w:footnote>
  <w:footnote w:type="continuationSeparator" w:id="0">
    <w:p w:rsidR="00407A93" w:rsidRDefault="00407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008F5"/>
    <w:multiLevelType w:val="hybridMultilevel"/>
    <w:tmpl w:val="BEA8D314"/>
    <w:lvl w:ilvl="0" w:tplc="3EBCFF9A">
      <w:numFmt w:val="bullet"/>
      <w:lvlText w:val="-"/>
      <w:lvlJc w:val="left"/>
      <w:pPr>
        <w:ind w:left="1523" w:hanging="3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en-US"/>
      </w:rPr>
    </w:lvl>
    <w:lvl w:ilvl="1" w:tplc="535EBE6C">
      <w:numFmt w:val="bullet"/>
      <w:lvlText w:val="•"/>
      <w:lvlJc w:val="left"/>
      <w:pPr>
        <w:ind w:left="2335" w:hanging="360"/>
      </w:pPr>
      <w:rPr>
        <w:rFonts w:hint="default"/>
        <w:lang w:val="en-US" w:eastAsia="en-US" w:bidi="en-US"/>
      </w:rPr>
    </w:lvl>
    <w:lvl w:ilvl="2" w:tplc="E31E7060">
      <w:numFmt w:val="bullet"/>
      <w:lvlText w:val="•"/>
      <w:lvlJc w:val="left"/>
      <w:pPr>
        <w:ind w:left="3150" w:hanging="360"/>
      </w:pPr>
      <w:rPr>
        <w:rFonts w:hint="default"/>
        <w:lang w:val="en-US" w:eastAsia="en-US" w:bidi="en-US"/>
      </w:rPr>
    </w:lvl>
    <w:lvl w:ilvl="3" w:tplc="A810E248">
      <w:numFmt w:val="bullet"/>
      <w:lvlText w:val="•"/>
      <w:lvlJc w:val="left"/>
      <w:pPr>
        <w:ind w:left="3965" w:hanging="360"/>
      </w:pPr>
      <w:rPr>
        <w:rFonts w:hint="default"/>
        <w:lang w:val="en-US" w:eastAsia="en-US" w:bidi="en-US"/>
      </w:rPr>
    </w:lvl>
    <w:lvl w:ilvl="4" w:tplc="A9C69E62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en-US"/>
      </w:rPr>
    </w:lvl>
    <w:lvl w:ilvl="5" w:tplc="C78606D8">
      <w:numFmt w:val="bullet"/>
      <w:lvlText w:val="•"/>
      <w:lvlJc w:val="left"/>
      <w:pPr>
        <w:ind w:left="5595" w:hanging="360"/>
      </w:pPr>
      <w:rPr>
        <w:rFonts w:hint="default"/>
        <w:lang w:val="en-US" w:eastAsia="en-US" w:bidi="en-US"/>
      </w:rPr>
    </w:lvl>
    <w:lvl w:ilvl="6" w:tplc="E0D8473C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en-US"/>
      </w:rPr>
    </w:lvl>
    <w:lvl w:ilvl="7" w:tplc="43AA44FA">
      <w:numFmt w:val="bullet"/>
      <w:lvlText w:val="•"/>
      <w:lvlJc w:val="left"/>
      <w:pPr>
        <w:ind w:left="7225" w:hanging="360"/>
      </w:pPr>
      <w:rPr>
        <w:rFonts w:hint="default"/>
        <w:lang w:val="en-US" w:eastAsia="en-US" w:bidi="en-US"/>
      </w:rPr>
    </w:lvl>
    <w:lvl w:ilvl="8" w:tplc="ADFE74F0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89C141F"/>
    <w:multiLevelType w:val="hybridMultilevel"/>
    <w:tmpl w:val="34C830C4"/>
    <w:lvl w:ilvl="0" w:tplc="3DDCA700">
      <w:start w:val="1"/>
      <w:numFmt w:val="decimal"/>
      <w:lvlText w:val="%1."/>
      <w:lvlJc w:val="left"/>
      <w:pPr>
        <w:ind w:left="4125" w:hanging="710"/>
        <w:jc w:val="right"/>
      </w:pPr>
      <w:rPr>
        <w:rFonts w:ascii="Calibri" w:eastAsia="Calibri" w:hAnsi="Calibri" w:cs="Calibri" w:hint="default"/>
        <w:b/>
        <w:bCs/>
        <w:spacing w:val="-3"/>
        <w:w w:val="100"/>
        <w:sz w:val="22"/>
        <w:szCs w:val="22"/>
        <w:lang w:val="en-US" w:eastAsia="en-US" w:bidi="en-US"/>
      </w:rPr>
    </w:lvl>
    <w:lvl w:ilvl="1" w:tplc="3DD2FEBE">
      <w:numFmt w:val="bullet"/>
      <w:lvlText w:val="•"/>
      <w:lvlJc w:val="left"/>
      <w:pPr>
        <w:ind w:left="4675" w:hanging="710"/>
      </w:pPr>
      <w:rPr>
        <w:rFonts w:hint="default"/>
        <w:lang w:val="en-US" w:eastAsia="en-US" w:bidi="en-US"/>
      </w:rPr>
    </w:lvl>
    <w:lvl w:ilvl="2" w:tplc="54440848">
      <w:numFmt w:val="bullet"/>
      <w:lvlText w:val="•"/>
      <w:lvlJc w:val="left"/>
      <w:pPr>
        <w:ind w:left="5230" w:hanging="710"/>
      </w:pPr>
      <w:rPr>
        <w:rFonts w:hint="default"/>
        <w:lang w:val="en-US" w:eastAsia="en-US" w:bidi="en-US"/>
      </w:rPr>
    </w:lvl>
    <w:lvl w:ilvl="3" w:tplc="F40C265E">
      <w:numFmt w:val="bullet"/>
      <w:lvlText w:val="•"/>
      <w:lvlJc w:val="left"/>
      <w:pPr>
        <w:ind w:left="5785" w:hanging="710"/>
      </w:pPr>
      <w:rPr>
        <w:rFonts w:hint="default"/>
        <w:lang w:val="en-US" w:eastAsia="en-US" w:bidi="en-US"/>
      </w:rPr>
    </w:lvl>
    <w:lvl w:ilvl="4" w:tplc="33D831FA">
      <w:numFmt w:val="bullet"/>
      <w:lvlText w:val="•"/>
      <w:lvlJc w:val="left"/>
      <w:pPr>
        <w:ind w:left="6340" w:hanging="710"/>
      </w:pPr>
      <w:rPr>
        <w:rFonts w:hint="default"/>
        <w:lang w:val="en-US" w:eastAsia="en-US" w:bidi="en-US"/>
      </w:rPr>
    </w:lvl>
    <w:lvl w:ilvl="5" w:tplc="A022B924">
      <w:numFmt w:val="bullet"/>
      <w:lvlText w:val="•"/>
      <w:lvlJc w:val="left"/>
      <w:pPr>
        <w:ind w:left="6895" w:hanging="710"/>
      </w:pPr>
      <w:rPr>
        <w:rFonts w:hint="default"/>
        <w:lang w:val="en-US" w:eastAsia="en-US" w:bidi="en-US"/>
      </w:rPr>
    </w:lvl>
    <w:lvl w:ilvl="6" w:tplc="4A200880">
      <w:numFmt w:val="bullet"/>
      <w:lvlText w:val="•"/>
      <w:lvlJc w:val="left"/>
      <w:pPr>
        <w:ind w:left="7450" w:hanging="710"/>
      </w:pPr>
      <w:rPr>
        <w:rFonts w:hint="default"/>
        <w:lang w:val="en-US" w:eastAsia="en-US" w:bidi="en-US"/>
      </w:rPr>
    </w:lvl>
    <w:lvl w:ilvl="7" w:tplc="975E9DD8">
      <w:numFmt w:val="bullet"/>
      <w:lvlText w:val="•"/>
      <w:lvlJc w:val="left"/>
      <w:pPr>
        <w:ind w:left="8005" w:hanging="710"/>
      </w:pPr>
      <w:rPr>
        <w:rFonts w:hint="default"/>
        <w:lang w:val="en-US" w:eastAsia="en-US" w:bidi="en-US"/>
      </w:rPr>
    </w:lvl>
    <w:lvl w:ilvl="8" w:tplc="F74E1CF8">
      <w:numFmt w:val="bullet"/>
      <w:lvlText w:val="•"/>
      <w:lvlJc w:val="left"/>
      <w:pPr>
        <w:ind w:left="8560" w:hanging="710"/>
      </w:pPr>
      <w:rPr>
        <w:rFonts w:hint="default"/>
        <w:lang w:val="en-US" w:eastAsia="en-US" w:bidi="en-US"/>
      </w:rPr>
    </w:lvl>
  </w:abstractNum>
  <w:abstractNum w:abstractNumId="2" w15:restartNumberingAfterBreak="0">
    <w:nsid w:val="3B9A45AA"/>
    <w:multiLevelType w:val="multilevel"/>
    <w:tmpl w:val="B80898C8"/>
    <w:lvl w:ilvl="0">
      <w:start w:val="2"/>
      <w:numFmt w:val="decimal"/>
      <w:lvlText w:val="%1"/>
      <w:lvlJc w:val="left"/>
      <w:pPr>
        <w:ind w:left="803" w:hanging="569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03" w:hanging="569"/>
        <w:jc w:val="left"/>
      </w:pPr>
      <w:rPr>
        <w:rFonts w:ascii="Calibri" w:eastAsia="Calibri" w:hAnsi="Calibri" w:cs="Calibri" w:hint="default"/>
        <w:spacing w:val="-10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574" w:hanging="56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61" w:hanging="56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48" w:hanging="56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35" w:hanging="56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22" w:hanging="56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09" w:hanging="56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96" w:hanging="569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9F"/>
    <w:rsid w:val="00385AC7"/>
    <w:rsid w:val="00407A93"/>
    <w:rsid w:val="00D9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F8AE3D"/>
  <w15:docId w15:val="{5EEEC271-5525-4D70-BD5A-59D47764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bidi="en-US"/>
    </w:rPr>
  </w:style>
  <w:style w:type="paragraph" w:styleId="Nadpis1">
    <w:name w:val="heading 1"/>
    <w:basedOn w:val="Normln"/>
    <w:uiPriority w:val="9"/>
    <w:qFormat/>
    <w:pPr>
      <w:ind w:left="100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523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NPÚ</dc:creator>
  <cp:lastModifiedBy>Šulcková Andrea</cp:lastModifiedBy>
  <cp:revision>2</cp:revision>
  <dcterms:created xsi:type="dcterms:W3CDTF">2024-11-22T08:35:00Z</dcterms:created>
  <dcterms:modified xsi:type="dcterms:W3CDTF">2024-11-22T08:35:00Z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2024-11-22T00:00:00Z</vt:filetime>
  </property>
</Properties>
</file>