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02" w:rsidRDefault="002C5302">
      <w:pPr>
        <w:spacing w:before="39" w:after="39" w:line="240" w:lineRule="exact"/>
        <w:rPr>
          <w:sz w:val="19"/>
          <w:szCs w:val="19"/>
        </w:rPr>
      </w:pPr>
    </w:p>
    <w:p w:rsidR="002C5302" w:rsidRDefault="002C5302">
      <w:pPr>
        <w:spacing w:line="1" w:lineRule="exact"/>
        <w:sectPr w:rsidR="002C5302">
          <w:headerReference w:type="default" r:id="rId7"/>
          <w:footerReference w:type="default" r:id="rId8"/>
          <w:pgSz w:w="11909" w:h="16838"/>
          <w:pgMar w:top="1233" w:right="1386" w:bottom="1223" w:left="1392" w:header="0" w:footer="3" w:gutter="0"/>
          <w:pgNumType w:start="1"/>
          <w:cols w:space="720"/>
          <w:noEndnote/>
          <w:docGrid w:linePitch="360"/>
        </w:sectPr>
      </w:pPr>
    </w:p>
    <w:p w:rsidR="002C5302" w:rsidRDefault="008F4F2E">
      <w:pPr>
        <w:pStyle w:val="Style8"/>
        <w:shd w:val="clear" w:color="auto" w:fill="auto"/>
      </w:pPr>
      <w:bookmarkStart w:id="0" w:name="bookmark0"/>
      <w:bookmarkStart w:id="1" w:name="bookmark1"/>
      <w:r>
        <w:t>N á j e m n í s m l o u v a</w:t>
      </w:r>
      <w:r>
        <w:br/>
        <w:t>č. 01/</w:t>
      </w:r>
      <w:proofErr w:type="spellStart"/>
      <w:r>
        <w:t>POh</w:t>
      </w:r>
      <w:proofErr w:type="spellEnd"/>
      <w:r>
        <w:t>/24</w:t>
      </w:r>
      <w:r>
        <w:br/>
        <w:t xml:space="preserve">č. </w:t>
      </w:r>
      <w:proofErr w:type="spellStart"/>
      <w:r>
        <w:t>POh</w:t>
      </w:r>
      <w:proofErr w:type="spellEnd"/>
      <w:r>
        <w:t xml:space="preserve"> 1266/2024</w:t>
      </w:r>
      <w:bookmarkEnd w:id="0"/>
      <w:bookmarkEnd w:id="1"/>
    </w:p>
    <w:p w:rsidR="002C5302" w:rsidRDefault="008F4F2E">
      <w:pPr>
        <w:pStyle w:val="Style6"/>
        <w:shd w:val="clear" w:color="auto" w:fill="auto"/>
        <w:spacing w:after="460" w:line="269" w:lineRule="auto"/>
      </w:pPr>
      <w:r>
        <w:rPr>
          <w:b/>
          <w:bCs/>
        </w:rPr>
        <w:t xml:space="preserve">uzavřená </w:t>
      </w:r>
      <w:r>
        <w:rPr>
          <w:b/>
          <w:bCs/>
        </w:rPr>
        <w:t>dle § 2201 a násl. zákona č. 89/2012 Sb., občanský zákoník, v platném znění (dále jen „občanský zákoník“) mezi těmito smluvními stranami:</w:t>
      </w:r>
    </w:p>
    <w:p w:rsidR="002C5302" w:rsidRDefault="008F4F2E">
      <w:pPr>
        <w:pStyle w:val="Style11"/>
        <w:shd w:val="clear" w:color="auto" w:fill="auto"/>
        <w:spacing w:after="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482600</wp:posOffset>
                </wp:positionV>
                <wp:extent cx="1021080" cy="11430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143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/>
                            </w:pPr>
                            <w:r>
                              <w:t>zastoupená: se sídlem: IČO: DIČ: zapsaná v OR: bankovní spojení: 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9.75pt;margin-top:38pt;width:80.4pt;height:90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/>
                      </w:pPr>
                      <w:r>
                        <w:t>zastoupená: se sídlem: IČO: DIČ: zapsaná v OR: bankovní spojení: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t>AmiCom</w:t>
      </w:r>
      <w:proofErr w:type="spellEnd"/>
      <w:r>
        <w:t xml:space="preserve"> Teplice s.r.o.</w:t>
      </w:r>
    </w:p>
    <w:p w:rsidR="002C5302" w:rsidRDefault="008F4F2E">
      <w:pPr>
        <w:pStyle w:val="Style13"/>
        <w:keepNext/>
        <w:keepLines/>
        <w:shd w:val="clear" w:color="auto" w:fill="auto"/>
        <w:spacing w:after="0"/>
        <w:ind w:left="1060"/>
      </w:pPr>
      <w:bookmarkStart w:id="2" w:name="bookmark2"/>
      <w:bookmarkStart w:id="3" w:name="bookmark3"/>
      <w:bookmarkStart w:id="4" w:name="bookmark4"/>
      <w:r>
        <w:t>Revoluční 666/7,</w:t>
      </w:r>
      <w:r>
        <w:t xml:space="preserve"> 415 01 Teplice</w:t>
      </w:r>
      <w:bookmarkEnd w:id="2"/>
      <w:bookmarkEnd w:id="3"/>
      <w:bookmarkEnd w:id="4"/>
    </w:p>
    <w:p w:rsidR="002C5302" w:rsidRDefault="008F4F2E">
      <w:pPr>
        <w:pStyle w:val="Style6"/>
        <w:shd w:val="clear" w:color="auto" w:fill="auto"/>
        <w:spacing w:after="0" w:line="264" w:lineRule="auto"/>
        <w:ind w:left="1060"/>
      </w:pPr>
      <w:bookmarkStart w:id="5" w:name="bookmark5"/>
      <w:r>
        <w:t>61325546</w:t>
      </w:r>
      <w:bookmarkEnd w:id="5"/>
    </w:p>
    <w:p w:rsidR="002C5302" w:rsidRDefault="008F4F2E">
      <w:pPr>
        <w:pStyle w:val="Style6"/>
        <w:shd w:val="clear" w:color="auto" w:fill="auto"/>
        <w:spacing w:after="0" w:line="264" w:lineRule="auto"/>
        <w:ind w:left="1060"/>
      </w:pPr>
      <w:bookmarkStart w:id="6" w:name="bookmark6"/>
      <w:r>
        <w:t>CZ61325546</w:t>
      </w:r>
      <w:bookmarkEnd w:id="6"/>
    </w:p>
    <w:p w:rsidR="002C5302" w:rsidRDefault="008F4F2E">
      <w:pPr>
        <w:pStyle w:val="Style6"/>
        <w:shd w:val="clear" w:color="auto" w:fill="auto"/>
        <w:spacing w:after="0" w:line="264" w:lineRule="auto"/>
        <w:ind w:left="1060"/>
      </w:pPr>
      <w:r>
        <w:t>vedeném Krajským soudem v Ústí nad Labem, oddíl C, vložka 6966 Komerční banka</w:t>
      </w:r>
    </w:p>
    <w:p w:rsidR="002C5302" w:rsidRDefault="002C5302">
      <w:pPr>
        <w:pStyle w:val="Style6"/>
        <w:shd w:val="clear" w:color="auto" w:fill="auto"/>
        <w:spacing w:after="0" w:line="264" w:lineRule="auto"/>
        <w:ind w:left="1060"/>
      </w:pPr>
    </w:p>
    <w:p w:rsidR="002C5302" w:rsidRDefault="008F4F2E">
      <w:pPr>
        <w:pStyle w:val="Style6"/>
        <w:shd w:val="clear" w:color="auto" w:fill="auto"/>
        <w:spacing w:after="160" w:line="264" w:lineRule="auto"/>
        <w:ind w:left="1060"/>
      </w:pPr>
      <w:r>
        <w:t>plátce DPH</w:t>
      </w:r>
    </w:p>
    <w:p w:rsidR="002C5302" w:rsidRDefault="008F4F2E">
      <w:pPr>
        <w:pStyle w:val="Style6"/>
        <w:shd w:val="clear" w:color="auto" w:fill="auto"/>
        <w:spacing w:after="1020" w:line="533" w:lineRule="auto"/>
      </w:pPr>
      <w:r>
        <w:t>zástupce pověřený jednat ve věcech obchodních a smluvních: dále jen „pronajímatel“</w:t>
      </w:r>
    </w:p>
    <w:p w:rsidR="002C5302" w:rsidRDefault="008F4F2E">
      <w:pPr>
        <w:pStyle w:val="Style11"/>
        <w:shd w:val="clear" w:color="auto" w:fill="auto"/>
        <w:spacing w:after="380"/>
      </w:pPr>
      <w:r>
        <w:t>Povodí Ohře, státní podnik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6653"/>
      </w:tblGrid>
      <w:tr w:rsidR="002C5302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2275" w:type="dxa"/>
            <w:shd w:val="clear" w:color="auto" w:fill="FFFFFF"/>
          </w:tcPr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>Statut</w:t>
            </w:r>
            <w:r>
              <w:t>ární orgán: se sídlem:</w:t>
            </w:r>
          </w:p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>IČO:</w:t>
            </w:r>
          </w:p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>DIČ: zapsaný v OR: bankovní spojení: číslo účtu:</w:t>
            </w:r>
          </w:p>
        </w:tc>
        <w:tc>
          <w:tcPr>
            <w:tcW w:w="6653" w:type="dxa"/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69" w:lineRule="auto"/>
              <w:ind w:firstLine="580"/>
            </w:pPr>
            <w:r>
              <w:t>Bezručova 4219, 430 03 Chomutov</w:t>
            </w:r>
          </w:p>
          <w:p w:rsidR="002C5302" w:rsidRDefault="008F4F2E">
            <w:pPr>
              <w:pStyle w:val="Style15"/>
              <w:shd w:val="clear" w:color="auto" w:fill="auto"/>
              <w:spacing w:after="0" w:line="269" w:lineRule="auto"/>
              <w:ind w:firstLine="580"/>
            </w:pPr>
            <w:r>
              <w:t>70889988</w:t>
            </w:r>
          </w:p>
          <w:p w:rsidR="002C5302" w:rsidRDefault="008F4F2E">
            <w:pPr>
              <w:pStyle w:val="Style15"/>
              <w:shd w:val="clear" w:color="auto" w:fill="auto"/>
              <w:spacing w:after="0" w:line="269" w:lineRule="auto"/>
              <w:ind w:firstLine="580"/>
            </w:pPr>
            <w:r>
              <w:t>CZ70889988</w:t>
            </w:r>
          </w:p>
          <w:p w:rsidR="002C5302" w:rsidRDefault="008F4F2E">
            <w:pPr>
              <w:pStyle w:val="Style15"/>
              <w:shd w:val="clear" w:color="auto" w:fill="auto"/>
              <w:spacing w:after="0" w:line="269" w:lineRule="auto"/>
              <w:ind w:left="580"/>
            </w:pPr>
            <w:r>
              <w:t>vedeném Krajským soudem v Ústí nad Labem, oddíl A, vložka 13052 Komerční banka, a.s.</w:t>
            </w:r>
          </w:p>
          <w:p w:rsidR="002C5302" w:rsidRDefault="002C5302" w:rsidP="00176CD9">
            <w:pPr>
              <w:pStyle w:val="Style15"/>
              <w:shd w:val="clear" w:color="auto" w:fill="auto"/>
              <w:spacing w:after="0" w:line="269" w:lineRule="auto"/>
            </w:pPr>
          </w:p>
          <w:p w:rsidR="002C5302" w:rsidRDefault="008F4F2E">
            <w:pPr>
              <w:pStyle w:val="Style15"/>
              <w:shd w:val="clear" w:color="auto" w:fill="auto"/>
              <w:spacing w:after="0" w:line="269" w:lineRule="auto"/>
              <w:ind w:firstLine="580"/>
            </w:pPr>
            <w:r>
              <w:t>plátce DPH</w:t>
            </w:r>
          </w:p>
        </w:tc>
      </w:tr>
    </w:tbl>
    <w:p w:rsidR="002C5302" w:rsidRDefault="002C5302">
      <w:pPr>
        <w:spacing w:after="159" w:line="1" w:lineRule="exact"/>
      </w:pPr>
    </w:p>
    <w:p w:rsidR="002C5302" w:rsidRDefault="008F4F2E">
      <w:pPr>
        <w:pStyle w:val="Style6"/>
        <w:shd w:val="clear" w:color="auto" w:fill="auto"/>
        <w:spacing w:after="1160" w:line="533" w:lineRule="auto"/>
      </w:pPr>
      <w:r>
        <w:t xml:space="preserve">zástupce </w:t>
      </w:r>
      <w:r>
        <w:t>pověřený jednat ve věcech obchodních a smluvních: zástupce pověřený jednat ve věcech technických: dále jen „nájemce“</w:t>
      </w:r>
    </w:p>
    <w:p w:rsidR="002C5302" w:rsidRDefault="008F4F2E">
      <w:pPr>
        <w:pStyle w:val="Style6"/>
        <w:shd w:val="clear" w:color="auto" w:fill="auto"/>
        <w:spacing w:after="420" w:line="240" w:lineRule="auto"/>
        <w:jc w:val="center"/>
      </w:pPr>
      <w:r>
        <w:rPr>
          <w:b/>
          <w:bCs/>
        </w:rPr>
        <w:t>I.</w:t>
      </w:r>
    </w:p>
    <w:p w:rsidR="002C5302" w:rsidRDefault="008F4F2E">
      <w:pPr>
        <w:pStyle w:val="Style17"/>
        <w:keepNext/>
        <w:keepLines/>
        <w:shd w:val="clear" w:color="auto" w:fill="auto"/>
      </w:pPr>
      <w:bookmarkStart w:id="7" w:name="bookmark7"/>
      <w:bookmarkStart w:id="8" w:name="bookmark8"/>
      <w:bookmarkStart w:id="9" w:name="bookmark9"/>
      <w:r>
        <w:t>Předmět smlouvy</w:t>
      </w:r>
      <w:bookmarkEnd w:id="7"/>
      <w:bookmarkEnd w:id="8"/>
      <w:bookmarkEnd w:id="9"/>
    </w:p>
    <w:p w:rsidR="002C5302" w:rsidRDefault="008F4F2E">
      <w:pPr>
        <w:pStyle w:val="Style6"/>
        <w:numPr>
          <w:ilvl w:val="0"/>
          <w:numId w:val="1"/>
        </w:numPr>
        <w:shd w:val="clear" w:color="auto" w:fill="auto"/>
        <w:tabs>
          <w:tab w:val="left" w:pos="479"/>
        </w:tabs>
        <w:spacing w:after="60"/>
        <w:ind w:left="440" w:hanging="440"/>
        <w:jc w:val="both"/>
      </w:pPr>
      <w:bookmarkStart w:id="10" w:name="bookmark10"/>
      <w:bookmarkEnd w:id="10"/>
      <w:r>
        <w:t xml:space="preserve">Pronajímatel je vlastníkem: stožáru nacházejícího se na parcele č. 1092 a kabelových žlabů nacházejících se na parcele </w:t>
      </w:r>
      <w:r>
        <w:t>č. 1092, vše v katastrálním území Milešov u Lovosic. Pronajímatel prohlašuje a garantuje, že je vlastníkem této uvedené nemovitosti (stožáru) i kabelových žlabů a je oprávněn je, resp. jejich části nájemci pronajmout, a že na těchto věcech neváznou žádná p</w:t>
      </w:r>
      <w:r>
        <w:t xml:space="preserve">ráva či </w:t>
      </w:r>
      <w:r>
        <w:lastRenderedPageBreak/>
        <w:t xml:space="preserve">povinnosti, které by bránily řádnému užívání dle této smlouvy. Pozemek </w:t>
      </w:r>
      <w:proofErr w:type="spellStart"/>
      <w:r>
        <w:t>parc</w:t>
      </w:r>
      <w:proofErr w:type="spellEnd"/>
      <w:r>
        <w:t>. č. 1092 v katastrálním území Milešov u Lovosic není ve vlastnictví pronajímatele, pronajímatel však prohlašuje a zavazuje se, že shora uvedené věci umístěné na tomto pozem</w:t>
      </w:r>
      <w:r>
        <w:t>ku jsou zde umístěny oprávněně a pronajímatel je, a minimálně po dobu trvání této smlouvy bude, oprávněn předmětný shora uvedený pozemek užívat k umístění a provozu zmíněných věcí.</w:t>
      </w:r>
    </w:p>
    <w:p w:rsidR="002C5302" w:rsidRDefault="008F4F2E">
      <w:pPr>
        <w:pStyle w:val="Style6"/>
        <w:numPr>
          <w:ilvl w:val="0"/>
          <w:numId w:val="1"/>
        </w:numPr>
        <w:shd w:val="clear" w:color="auto" w:fill="auto"/>
        <w:tabs>
          <w:tab w:val="left" w:pos="479"/>
        </w:tabs>
        <w:spacing w:after="60"/>
        <w:ind w:left="440" w:hanging="440"/>
        <w:jc w:val="both"/>
      </w:pPr>
      <w:bookmarkStart w:id="11" w:name="bookmark11"/>
      <w:bookmarkEnd w:id="11"/>
      <w:r>
        <w:t>Pronajímatel má v pronájmu část nemovitosti – technologická místnost na par</w:t>
      </w:r>
      <w:r>
        <w:t>cele č. st. 165/2 v katastrálním území Milešov u Lovosic, přičemž prohlašuje a zavazuje se, že je oprávněn umístit do těchto prostor zařízení/technologie nájemce a nájemce je tam bude moci mít umístěna minimálně po dobu trvání této smlouvy; za to pronajíma</w:t>
      </w:r>
      <w:r>
        <w:t>tel odpovídá.</w:t>
      </w:r>
    </w:p>
    <w:p w:rsidR="002C5302" w:rsidRDefault="008F4F2E">
      <w:pPr>
        <w:pStyle w:val="Style6"/>
        <w:numPr>
          <w:ilvl w:val="0"/>
          <w:numId w:val="1"/>
        </w:numPr>
        <w:shd w:val="clear" w:color="auto" w:fill="auto"/>
        <w:tabs>
          <w:tab w:val="left" w:pos="479"/>
        </w:tabs>
        <w:spacing w:after="540"/>
        <w:ind w:left="440" w:hanging="440"/>
        <w:jc w:val="both"/>
      </w:pPr>
      <w:bookmarkStart w:id="12" w:name="bookmark12"/>
      <w:bookmarkEnd w:id="12"/>
      <w:r>
        <w:t>Předmětem této smlouvy je pronájem prostoru pro umístění a provozování zařízení nájemce - 2 VKV antén na anténním stožáru včetně umístění vnitřních jednotek v nádvorním objektu, za účelem zajištění dostupnosti služeb elektronických komunikací</w:t>
      </w:r>
      <w:r>
        <w:t>, a to s možností užívání částí stožáru a kabelových žlabů dle odst. 1.1. tohoto článku a částí nemovitosti dle odst. 1.2. tohoto článku (viz také příloha č. 1 – Lokalita a seznam umístěných zařízení) vč. potřebného přístupu nájemce; shora uvedené předmětn</w:t>
      </w:r>
      <w:r>
        <w:t>é věci tak pronajímatel přenechává k užívání nájemci, přičemž jsou dále souhrnně označovány jen „</w:t>
      </w:r>
      <w:r>
        <w:rPr>
          <w:b/>
          <w:bCs/>
        </w:rPr>
        <w:t>Předmět nájmu</w:t>
      </w:r>
      <w:r>
        <w:t>“. Pronajímatel se tímto zavazuje, že umožní nájemci užívání Předmětu nájmu ve sjednaném rozsahu, k čemuž dává tímto svůj souhlas. Pronajímatel za</w:t>
      </w:r>
      <w:r>
        <w:t>jistí nájemci přístup k zařízením a technologiím nájemce, jakož i k Předmětu nájmu a jeho užívání, a odpovídá v plném rozsahu za to, že nájemce bude mít k Předmětu nájmu neomezený přístup a bude jej moci v plném rozsahu užívat v souladu s touto smlouvou.</w:t>
      </w:r>
    </w:p>
    <w:p w:rsidR="002C5302" w:rsidRDefault="008F4F2E">
      <w:pPr>
        <w:pStyle w:val="Style6"/>
        <w:shd w:val="clear" w:color="auto" w:fill="auto"/>
        <w:spacing w:after="0" w:line="264" w:lineRule="auto"/>
        <w:jc w:val="center"/>
      </w:pPr>
      <w:r>
        <w:rPr>
          <w:b/>
          <w:bCs/>
        </w:rPr>
        <w:t>I</w:t>
      </w:r>
      <w:r>
        <w:rPr>
          <w:b/>
          <w:bCs/>
        </w:rPr>
        <w:t>I.</w:t>
      </w:r>
    </w:p>
    <w:p w:rsidR="002C5302" w:rsidRDefault="008F4F2E">
      <w:pPr>
        <w:pStyle w:val="Style17"/>
        <w:keepNext/>
        <w:keepLines/>
        <w:shd w:val="clear" w:color="auto" w:fill="auto"/>
        <w:spacing w:line="264" w:lineRule="auto"/>
      </w:pPr>
      <w:bookmarkStart w:id="13" w:name="bookmark13"/>
      <w:bookmarkStart w:id="14" w:name="bookmark14"/>
      <w:bookmarkStart w:id="15" w:name="bookmark15"/>
      <w:r>
        <w:t>Nájemné</w:t>
      </w:r>
      <w:bookmarkEnd w:id="13"/>
      <w:bookmarkEnd w:id="14"/>
      <w:bookmarkEnd w:id="15"/>
    </w:p>
    <w:p w:rsidR="002C5302" w:rsidRDefault="008F4F2E">
      <w:pPr>
        <w:pStyle w:val="Style6"/>
        <w:numPr>
          <w:ilvl w:val="0"/>
          <w:numId w:val="2"/>
        </w:numPr>
        <w:shd w:val="clear" w:color="auto" w:fill="auto"/>
        <w:tabs>
          <w:tab w:val="left" w:pos="479"/>
        </w:tabs>
        <w:spacing w:after="0" w:line="264" w:lineRule="auto"/>
        <w:ind w:left="440" w:hanging="440"/>
        <w:jc w:val="both"/>
      </w:pPr>
      <w:bookmarkStart w:id="16" w:name="bookmark16"/>
      <w:bookmarkEnd w:id="16"/>
      <w:r>
        <w:t>Nájemné dle této smlouvy činí za 1 kalendářní rok částku Kč 112.800,-. Nájemné je uvedeno bez daně z přidané hodnoty (dále jen „</w:t>
      </w:r>
      <w:r>
        <w:rPr>
          <w:b/>
          <w:bCs/>
        </w:rPr>
        <w:t>DPH</w:t>
      </w:r>
      <w:r>
        <w:t>“), která bude dopočítána dle platných právních předpisů.</w:t>
      </w:r>
    </w:p>
    <w:p w:rsidR="002C5302" w:rsidRDefault="008F4F2E">
      <w:pPr>
        <w:pStyle w:val="Style6"/>
        <w:numPr>
          <w:ilvl w:val="0"/>
          <w:numId w:val="3"/>
        </w:numPr>
        <w:shd w:val="clear" w:color="auto" w:fill="auto"/>
        <w:tabs>
          <w:tab w:val="left" w:pos="698"/>
        </w:tabs>
        <w:spacing w:after="0" w:line="264" w:lineRule="auto"/>
        <w:ind w:left="440"/>
        <w:jc w:val="both"/>
      </w:pPr>
      <w:bookmarkStart w:id="17" w:name="bookmark17"/>
      <w:bookmarkEnd w:id="17"/>
      <w:r>
        <w:t>nájemném za kalendářní rok jsou zahrnuty veškeré náklady</w:t>
      </w:r>
      <w:r>
        <w:t xml:space="preserve"> za služby související s umístěním zařízení nájemce (úklid, údržba Předmětu nájmu apod.) včetně dodávky elektrické energie (viz čl.</w:t>
      </w:r>
    </w:p>
    <w:p w:rsidR="002C5302" w:rsidRDefault="008F4F2E">
      <w:pPr>
        <w:pStyle w:val="Style6"/>
        <w:numPr>
          <w:ilvl w:val="0"/>
          <w:numId w:val="4"/>
        </w:numPr>
        <w:shd w:val="clear" w:color="auto" w:fill="auto"/>
        <w:tabs>
          <w:tab w:val="left" w:pos="618"/>
          <w:tab w:val="left" w:pos="861"/>
        </w:tabs>
        <w:spacing w:line="264" w:lineRule="auto"/>
        <w:ind w:firstLine="440"/>
        <w:jc w:val="both"/>
      </w:pPr>
      <w:bookmarkStart w:id="18" w:name="bookmark18"/>
      <w:bookmarkEnd w:id="18"/>
      <w:r>
        <w:t>této smlouvy).</w:t>
      </w:r>
    </w:p>
    <w:p w:rsidR="002C5302" w:rsidRDefault="008F4F2E">
      <w:pPr>
        <w:pStyle w:val="Style6"/>
        <w:numPr>
          <w:ilvl w:val="0"/>
          <w:numId w:val="5"/>
        </w:numPr>
        <w:shd w:val="clear" w:color="auto" w:fill="auto"/>
        <w:tabs>
          <w:tab w:val="left" w:pos="420"/>
        </w:tabs>
        <w:spacing w:after="60" w:line="264" w:lineRule="auto"/>
        <w:jc w:val="both"/>
      </w:pPr>
      <w:bookmarkStart w:id="19" w:name="bookmark19"/>
      <w:bookmarkEnd w:id="19"/>
      <w:r>
        <w:t>Úrok z prodlení</w:t>
      </w:r>
    </w:p>
    <w:p w:rsidR="002C5302" w:rsidRDefault="008F4F2E">
      <w:pPr>
        <w:pStyle w:val="Style6"/>
        <w:numPr>
          <w:ilvl w:val="0"/>
          <w:numId w:val="3"/>
        </w:numPr>
        <w:shd w:val="clear" w:color="auto" w:fill="auto"/>
        <w:tabs>
          <w:tab w:val="left" w:pos="698"/>
        </w:tabs>
        <w:spacing w:line="264" w:lineRule="auto"/>
        <w:ind w:left="440"/>
        <w:jc w:val="both"/>
      </w:pPr>
      <w:bookmarkStart w:id="20" w:name="bookmark20"/>
      <w:bookmarkEnd w:id="20"/>
      <w:r>
        <w:t xml:space="preserve">případě prodlení nájemce s platbami nájemného dle této Smlouvy uhradí nájemce pronajímateli </w:t>
      </w:r>
      <w:r>
        <w:t>úrok z prodlení ve výši 0,05 % dlužné částky za každý započatý den prodlení s platbou.</w:t>
      </w:r>
    </w:p>
    <w:p w:rsidR="002C5302" w:rsidRDefault="008F4F2E">
      <w:pPr>
        <w:pStyle w:val="Style6"/>
        <w:numPr>
          <w:ilvl w:val="0"/>
          <w:numId w:val="5"/>
        </w:numPr>
        <w:shd w:val="clear" w:color="auto" w:fill="auto"/>
        <w:tabs>
          <w:tab w:val="left" w:pos="420"/>
        </w:tabs>
        <w:spacing w:after="420"/>
        <w:ind w:left="440" w:hanging="440"/>
        <w:jc w:val="both"/>
      </w:pPr>
      <w:bookmarkStart w:id="21" w:name="bookmark21"/>
      <w:bookmarkEnd w:id="21"/>
      <w:r>
        <w:t>Pronajímatel je oprávněn každoročně, nejdříve však v roce 2026, po úředním oznámení roční míry inflace v předcházejícím kalendářním roce, zvýšit nájemné o výši inflace d</w:t>
      </w:r>
      <w:r>
        <w:t>le indexu spotřebitelských cen (ISC) Českého statistického úřadu. Zvýšení nájemného musí být vždy upraveno dodatkem k této smlouvě.</w:t>
      </w:r>
    </w:p>
    <w:p w:rsidR="002C5302" w:rsidRDefault="008F4F2E">
      <w:pPr>
        <w:pStyle w:val="Style6"/>
        <w:shd w:val="clear" w:color="auto" w:fill="auto"/>
        <w:spacing w:line="269" w:lineRule="auto"/>
        <w:jc w:val="center"/>
      </w:pPr>
      <w:r>
        <w:rPr>
          <w:b/>
          <w:bCs/>
        </w:rPr>
        <w:t>III.</w:t>
      </w:r>
      <w:r>
        <w:rPr>
          <w:b/>
          <w:bCs/>
        </w:rPr>
        <w:br/>
        <w:t>Elektrická energie</w:t>
      </w:r>
    </w:p>
    <w:p w:rsidR="002C5302" w:rsidRDefault="008F4F2E">
      <w:pPr>
        <w:pStyle w:val="Style6"/>
        <w:numPr>
          <w:ilvl w:val="1"/>
          <w:numId w:val="5"/>
        </w:numPr>
        <w:shd w:val="clear" w:color="auto" w:fill="auto"/>
        <w:tabs>
          <w:tab w:val="left" w:pos="479"/>
        </w:tabs>
        <w:spacing w:after="900" w:line="269" w:lineRule="auto"/>
        <w:jc w:val="both"/>
      </w:pPr>
      <w:bookmarkStart w:id="22" w:name="bookmark22"/>
      <w:bookmarkEnd w:id="22"/>
      <w:r>
        <w:t>Napájení zařízení je zahrnuto v nájemném.</w:t>
      </w:r>
    </w:p>
    <w:p w:rsidR="002C5302" w:rsidRDefault="008F4F2E">
      <w:pPr>
        <w:pStyle w:val="Style6"/>
        <w:shd w:val="clear" w:color="auto" w:fill="auto"/>
        <w:spacing w:line="240" w:lineRule="auto"/>
        <w:jc w:val="center"/>
      </w:pPr>
      <w:bookmarkStart w:id="23" w:name="bookmark23"/>
      <w:r>
        <w:rPr>
          <w:b/>
          <w:bCs/>
        </w:rPr>
        <w:t>I</w:t>
      </w:r>
      <w:bookmarkEnd w:id="23"/>
      <w:r>
        <w:rPr>
          <w:b/>
          <w:bCs/>
        </w:rPr>
        <w:t>V.</w:t>
      </w:r>
    </w:p>
    <w:p w:rsidR="002C5302" w:rsidRDefault="008F4F2E">
      <w:pPr>
        <w:pStyle w:val="Style19"/>
        <w:keepNext/>
        <w:keepLines/>
        <w:shd w:val="clear" w:color="auto" w:fill="auto"/>
      </w:pPr>
      <w:bookmarkStart w:id="24" w:name="bookmark24"/>
      <w:bookmarkStart w:id="25" w:name="bookmark25"/>
      <w:bookmarkStart w:id="26" w:name="bookmark26"/>
      <w:r>
        <w:t>Práva a povinnosti smluvních stran</w:t>
      </w:r>
      <w:bookmarkEnd w:id="24"/>
      <w:bookmarkEnd w:id="25"/>
      <w:bookmarkEnd w:id="26"/>
    </w:p>
    <w:p w:rsidR="002C5302" w:rsidRDefault="008F4F2E">
      <w:pPr>
        <w:pStyle w:val="Style6"/>
        <w:numPr>
          <w:ilvl w:val="0"/>
          <w:numId w:val="6"/>
        </w:numPr>
        <w:shd w:val="clear" w:color="auto" w:fill="auto"/>
        <w:tabs>
          <w:tab w:val="left" w:pos="414"/>
        </w:tabs>
        <w:spacing w:after="60"/>
        <w:jc w:val="both"/>
      </w:pPr>
      <w:bookmarkStart w:id="27" w:name="bookmark27"/>
      <w:bookmarkEnd w:id="27"/>
      <w:r>
        <w:t xml:space="preserve">Práva a povinnosti </w:t>
      </w:r>
      <w:r>
        <w:t>nájemce</w:t>
      </w:r>
    </w:p>
    <w:p w:rsidR="002C5302" w:rsidRDefault="008F4F2E">
      <w:pPr>
        <w:pStyle w:val="Style6"/>
        <w:numPr>
          <w:ilvl w:val="0"/>
          <w:numId w:val="7"/>
        </w:numPr>
        <w:shd w:val="clear" w:color="auto" w:fill="auto"/>
        <w:tabs>
          <w:tab w:val="left" w:pos="586"/>
        </w:tabs>
        <w:spacing w:after="60"/>
        <w:ind w:left="580" w:hanging="580"/>
        <w:jc w:val="both"/>
      </w:pPr>
      <w:bookmarkStart w:id="28" w:name="bookmark28"/>
      <w:bookmarkEnd w:id="28"/>
      <w:r>
        <w:t>Nájemce je oprávněn užívat předmět nájmu řádně a v souladu s touto Smlouvou. Pokud přesto dojde zaviněním nájemce ke škodám na majetku pronajímatele, je povinen tyto škody nahradit, a to především uvedením do původního stavu, nedohodnou-li se smluv</w:t>
      </w:r>
      <w:r>
        <w:t>ní strany jinak. Nájemce zajistí řádný provoz svého zařízení a jeho bezpečnost.</w:t>
      </w:r>
    </w:p>
    <w:p w:rsidR="002C5302" w:rsidRDefault="008F4F2E">
      <w:pPr>
        <w:pStyle w:val="Style6"/>
        <w:shd w:val="clear" w:color="auto" w:fill="auto"/>
        <w:spacing w:after="60"/>
        <w:jc w:val="both"/>
      </w:pPr>
      <w:r>
        <w:t>4.2 Práva a povinnosti pronajímatele</w:t>
      </w:r>
    </w:p>
    <w:p w:rsidR="002C5302" w:rsidRDefault="008F4F2E">
      <w:pPr>
        <w:pStyle w:val="Style6"/>
        <w:numPr>
          <w:ilvl w:val="0"/>
          <w:numId w:val="8"/>
        </w:numPr>
        <w:shd w:val="clear" w:color="auto" w:fill="auto"/>
        <w:tabs>
          <w:tab w:val="left" w:pos="586"/>
        </w:tabs>
        <w:spacing w:after="60"/>
        <w:ind w:left="580" w:hanging="580"/>
        <w:jc w:val="both"/>
      </w:pPr>
      <w:bookmarkStart w:id="29" w:name="bookmark29"/>
      <w:bookmarkEnd w:id="29"/>
      <w:r>
        <w:t xml:space="preserve">Pronajímatel předává nájemci ke dni účinnosti této smlouvy Předmět nájmu ve stavu způsobilém ke smluvenému účelu užívání a umožní po celou </w:t>
      </w:r>
      <w:r>
        <w:t>dobu nájmu nájemci Předmět nájmu nerušeně užívat.</w:t>
      </w:r>
    </w:p>
    <w:p w:rsidR="002C5302" w:rsidRDefault="008F4F2E">
      <w:pPr>
        <w:pStyle w:val="Style6"/>
        <w:numPr>
          <w:ilvl w:val="0"/>
          <w:numId w:val="8"/>
        </w:numPr>
        <w:shd w:val="clear" w:color="auto" w:fill="auto"/>
        <w:tabs>
          <w:tab w:val="left" w:pos="586"/>
        </w:tabs>
        <w:spacing w:after="60"/>
        <w:ind w:left="580" w:hanging="580"/>
        <w:jc w:val="both"/>
      </w:pPr>
      <w:bookmarkStart w:id="30" w:name="bookmark30"/>
      <w:bookmarkEnd w:id="30"/>
      <w:r>
        <w:lastRenderedPageBreak/>
        <w:t>Pronajímatel je povinen po celou dobu trvání této smlouvy udržovat Předmět nájmu a příslušné nemovitosti uvedené v této smlouvě svým nákladem v takovém stavu, který nebude bránit ujednanému účelu užívání Př</w:t>
      </w:r>
      <w:r>
        <w:t>edmětu nájmu nájemcem.</w:t>
      </w:r>
    </w:p>
    <w:p w:rsidR="002C5302" w:rsidRDefault="008F4F2E">
      <w:pPr>
        <w:pStyle w:val="Style6"/>
        <w:numPr>
          <w:ilvl w:val="0"/>
          <w:numId w:val="8"/>
        </w:numPr>
        <w:shd w:val="clear" w:color="auto" w:fill="auto"/>
        <w:tabs>
          <w:tab w:val="left" w:pos="586"/>
        </w:tabs>
        <w:spacing w:after="60"/>
        <w:ind w:left="580" w:hanging="580"/>
        <w:jc w:val="both"/>
      </w:pPr>
      <w:bookmarkStart w:id="31" w:name="bookmark31"/>
      <w:bookmarkEnd w:id="31"/>
      <w:r>
        <w:t>Pronajímatel upozorní nájemce na všechna zjištěná nebezpečí a závady, ze kterých může vzniknout nájemci újma a/nebo může vzniknout újma pronajímateli v souvislosti se zařízením nájemce, a dále neumožní bez předchozího písemného souhl</w:t>
      </w:r>
      <w:r>
        <w:t>asu nájemce žádnému třetímu subjektu instalaci a provoz takového zařízení, které by mohlo ohrozit zájmy či provoz zařízení nájemce, jakož i neumožní jakýkoliv zásah do zařízení nájemce (např. změna konfigurace, připojení jiného prvku, modifikace zařízení a</w:t>
      </w:r>
      <w:r>
        <w:t>pod.). Nájemce zejm. s ohledem na svou činnost neodpovídá za porušení povinností s výjimkou odpovědnosti za újmu způsobenou úmyslně nebo z hrubé nedbalosti. V případě takové změny užívacího práva pronajímatele či vlastnického práva, která se dotkne Předmět</w:t>
      </w:r>
      <w:r>
        <w:t>u nájmu a/nebo jeho užívání a/nebo výslovně přístupu k němu, učiní pronajímatel veškeré potřebné kroky tak, aby tato smlouva a všechna oprávnění nájemce zůstaly zachovány. Pronajímatel zcela a bez jakéhokoliv omezení (resp. s objektivní odpovědností) odpov</w:t>
      </w:r>
      <w:r>
        <w:t>ídá za to, že může zřídit nájemci užívací právo k příslušným věcem (zejm. k prostoru umístění zařízení nájemce) a že nájemce bude moci Předmět nájmu řádně užívat dle této smlouvy a mít zde umístěné předmětná zařízení a technologie.</w:t>
      </w:r>
    </w:p>
    <w:p w:rsidR="002C5302" w:rsidRDefault="008F4F2E">
      <w:pPr>
        <w:pStyle w:val="Style6"/>
        <w:numPr>
          <w:ilvl w:val="0"/>
          <w:numId w:val="8"/>
        </w:numPr>
        <w:shd w:val="clear" w:color="auto" w:fill="auto"/>
        <w:tabs>
          <w:tab w:val="left" w:pos="586"/>
        </w:tabs>
        <w:spacing w:after="540"/>
        <w:ind w:left="580" w:hanging="580"/>
        <w:jc w:val="both"/>
      </w:pPr>
      <w:bookmarkStart w:id="32" w:name="bookmark32"/>
      <w:bookmarkEnd w:id="32"/>
      <w:r>
        <w:t xml:space="preserve">Pronajímatel je povinen </w:t>
      </w:r>
      <w:r>
        <w:t xml:space="preserve">umožnit nájemci či jím určeným osobám nepřetržitý přístup k zařízením/technologiím nájemce, resp. Předmětu nájmu. Pronajímatel umožní určeným zaměstnancům nájemce či třetím oprávněným subjektům přístup do/k Předmětu nájmu i do ostatních částí nemovitostí. </w:t>
      </w:r>
      <w:r>
        <w:t>Nájemce předá pronajímateli seznam osob, které budou oprávněny vstupovat do Předmětu nájmu. Jednotlivé vstupy a ukončení prací nahlásí nájemce pronajímateli formou SMS na číslo</w:t>
      </w:r>
      <w:r>
        <w:t>.</w:t>
      </w:r>
    </w:p>
    <w:p w:rsidR="002C5302" w:rsidRDefault="008F4F2E">
      <w:pPr>
        <w:pStyle w:val="Style6"/>
        <w:shd w:val="clear" w:color="auto" w:fill="auto"/>
        <w:spacing w:after="0"/>
        <w:jc w:val="center"/>
      </w:pPr>
      <w:bookmarkStart w:id="33" w:name="bookmark33"/>
      <w:r>
        <w:rPr>
          <w:b/>
          <w:bCs/>
        </w:rPr>
        <w:t>V</w:t>
      </w:r>
      <w:bookmarkEnd w:id="33"/>
      <w:r>
        <w:rPr>
          <w:b/>
          <w:bCs/>
        </w:rPr>
        <w:t>.</w:t>
      </w:r>
    </w:p>
    <w:p w:rsidR="002C5302" w:rsidRDefault="008F4F2E">
      <w:pPr>
        <w:pStyle w:val="Style19"/>
        <w:keepNext/>
        <w:keepLines/>
        <w:shd w:val="clear" w:color="auto" w:fill="auto"/>
      </w:pPr>
      <w:bookmarkStart w:id="34" w:name="bookmark34"/>
      <w:bookmarkStart w:id="35" w:name="bookmark35"/>
      <w:bookmarkStart w:id="36" w:name="bookmark36"/>
      <w:r>
        <w:t>Platnost, účinnost a ukončení smlouvy</w:t>
      </w:r>
      <w:bookmarkEnd w:id="34"/>
      <w:bookmarkEnd w:id="35"/>
      <w:bookmarkEnd w:id="36"/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476"/>
        </w:tabs>
        <w:jc w:val="both"/>
      </w:pPr>
      <w:bookmarkStart w:id="37" w:name="bookmark37"/>
      <w:bookmarkEnd w:id="37"/>
      <w:r>
        <w:t xml:space="preserve">Smlouva nabývá </w:t>
      </w:r>
      <w:r>
        <w:t>platnosti dnem podpisu oběma smluvními stranami.</w:t>
      </w:r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543"/>
        </w:tabs>
        <w:ind w:left="440" w:hanging="440"/>
        <w:jc w:val="both"/>
      </w:pPr>
      <w:bookmarkStart w:id="38" w:name="bookmark38"/>
      <w:bookmarkEnd w:id="38"/>
      <w:r>
        <w:t>Tato smlouva se uzavírá na dobu určitou s účinností od 1.1.2025 do 31.12.2029. V případě, že kterákoliv smluvní strana nepotvrdí druhé smluvní straně písemně termín ukončení této smlouvy na dobu určitou nejp</w:t>
      </w:r>
      <w:r>
        <w:t>ozději 2 měsíce před uplynutím doby jejího trvání, tato smlouva se po uplynutí sjednaného smluvního období automaticky prodlužuje na dobu neurčitou, a to se smluvenou šestiměsíční výpovědní dobou. Výpovědní doba začne plynout 1. dnem měsíce následujícího p</w:t>
      </w:r>
      <w:r>
        <w:t>o doručení výpovědi druhé smluvní straně. Výpověď musí být písemná.</w:t>
      </w:r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543"/>
        </w:tabs>
        <w:ind w:left="440" w:hanging="440"/>
        <w:jc w:val="both"/>
      </w:pPr>
      <w:bookmarkStart w:id="39" w:name="bookmark39"/>
      <w:bookmarkEnd w:id="39"/>
      <w:r>
        <w:t>Kterákoliv ze smluvních stran může vedle zákonných důvodů od této smlouvy odstoupit z důvodu vstupu druhé smluvní strany do likvidace, nebo do insolvence (zahájení insolvenčního řízení), j</w:t>
      </w:r>
      <w:r>
        <w:t>akmile je takový postup na překážku pokračování realizace této smlouvy.</w:t>
      </w:r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543"/>
        </w:tabs>
        <w:spacing w:after="120"/>
        <w:jc w:val="both"/>
      </w:pPr>
      <w:bookmarkStart w:id="40" w:name="bookmark40"/>
      <w:bookmarkEnd w:id="40"/>
      <w:r>
        <w:t>Od smlouvy lze odstoupit písemným oznámením o odstoupení:</w:t>
      </w:r>
    </w:p>
    <w:p w:rsidR="002C5302" w:rsidRDefault="008F4F2E">
      <w:pPr>
        <w:pStyle w:val="Style6"/>
        <w:numPr>
          <w:ilvl w:val="0"/>
          <w:numId w:val="10"/>
        </w:numPr>
        <w:shd w:val="clear" w:color="auto" w:fill="auto"/>
        <w:tabs>
          <w:tab w:val="left" w:pos="800"/>
        </w:tabs>
        <w:spacing w:after="0" w:line="264" w:lineRule="auto"/>
        <w:ind w:left="800" w:hanging="360"/>
        <w:jc w:val="both"/>
      </w:pPr>
      <w:bookmarkStart w:id="41" w:name="bookmark41"/>
      <w:bookmarkEnd w:id="41"/>
      <w:r>
        <w:t>Ze strany pronajímatele z důvodu neplacení nájemného nájemcem, je-li nájemce v prodlení s úhradou nadále alespoň 60 kalendářní</w:t>
      </w:r>
      <w:r>
        <w:t>ch dnů od doručení oznámení pronajímatele nájemci o tom, že je nájemce v prodlení,</w:t>
      </w:r>
    </w:p>
    <w:p w:rsidR="002C5302" w:rsidRDefault="008F4F2E">
      <w:pPr>
        <w:pStyle w:val="Style6"/>
        <w:numPr>
          <w:ilvl w:val="0"/>
          <w:numId w:val="10"/>
        </w:numPr>
        <w:shd w:val="clear" w:color="auto" w:fill="auto"/>
        <w:tabs>
          <w:tab w:val="left" w:pos="800"/>
        </w:tabs>
        <w:spacing w:after="0" w:line="264" w:lineRule="auto"/>
        <w:ind w:firstLine="440"/>
        <w:jc w:val="both"/>
      </w:pPr>
      <w:bookmarkStart w:id="42" w:name="bookmark42"/>
      <w:bookmarkEnd w:id="42"/>
      <w:r>
        <w:t>Ze strany nájemce, který je oprávněn odstoupit:</w:t>
      </w:r>
    </w:p>
    <w:p w:rsidR="002C5302" w:rsidRDefault="008F4F2E">
      <w:pPr>
        <w:pStyle w:val="Style6"/>
        <w:numPr>
          <w:ilvl w:val="0"/>
          <w:numId w:val="11"/>
        </w:numPr>
        <w:shd w:val="clear" w:color="auto" w:fill="auto"/>
        <w:tabs>
          <w:tab w:val="left" w:pos="1626"/>
        </w:tabs>
        <w:spacing w:after="0" w:line="262" w:lineRule="auto"/>
        <w:ind w:left="1620" w:hanging="460"/>
        <w:jc w:val="both"/>
      </w:pPr>
      <w:bookmarkStart w:id="43" w:name="bookmark43"/>
      <w:bookmarkEnd w:id="43"/>
      <w:r>
        <w:t>jestliže změní předmět své činnosti a v důsledku toho nebude nadále vykonávat v/na Předmětu nájmu činnosti dle původního zápi</w:t>
      </w:r>
      <w:r>
        <w:t>su v obchodním rejstříku a/nebo dle svého původního záměru;</w:t>
      </w:r>
    </w:p>
    <w:p w:rsidR="002C5302" w:rsidRDefault="008F4F2E">
      <w:pPr>
        <w:pStyle w:val="Style6"/>
        <w:numPr>
          <w:ilvl w:val="0"/>
          <w:numId w:val="11"/>
        </w:numPr>
        <w:shd w:val="clear" w:color="auto" w:fill="auto"/>
        <w:tabs>
          <w:tab w:val="left" w:pos="1626"/>
        </w:tabs>
        <w:spacing w:after="0" w:line="262" w:lineRule="auto"/>
        <w:ind w:left="1620" w:hanging="460"/>
        <w:jc w:val="both"/>
      </w:pPr>
      <w:bookmarkStart w:id="44" w:name="bookmark44"/>
      <w:bookmarkEnd w:id="44"/>
      <w:r>
        <w:t>pokud se zařízení a/nebo technologie nájemce nebo jakákoliv část stanou nefunkční, budou zničeny či nebude možno zařízení a/nebo technologii (resp. jakoukoliv část) instalovat, udržovat či provozo</w:t>
      </w:r>
      <w:r>
        <w:t>vat z jakéhokoliv důvodu.</w:t>
      </w:r>
    </w:p>
    <w:p w:rsidR="002C5302" w:rsidRDefault="008F4F2E">
      <w:pPr>
        <w:pStyle w:val="Style6"/>
        <w:numPr>
          <w:ilvl w:val="0"/>
          <w:numId w:val="11"/>
        </w:numPr>
        <w:shd w:val="clear" w:color="auto" w:fill="auto"/>
        <w:tabs>
          <w:tab w:val="left" w:pos="1626"/>
        </w:tabs>
        <w:spacing w:line="259" w:lineRule="auto"/>
        <w:ind w:left="1620" w:hanging="460"/>
        <w:jc w:val="both"/>
      </w:pPr>
      <w:bookmarkStart w:id="45" w:name="bookmark45"/>
      <w:bookmarkEnd w:id="45"/>
      <w:r>
        <w:t>v případě, že již nebude zapotřebí užívat předmět nájmu, a to písemnou výpovědí s 6 měsíční výpovědní lhůtou.</w:t>
      </w:r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476"/>
        </w:tabs>
        <w:spacing w:line="264" w:lineRule="auto"/>
        <w:jc w:val="both"/>
      </w:pPr>
      <w:bookmarkStart w:id="46" w:name="bookmark46"/>
      <w:bookmarkEnd w:id="46"/>
      <w:r>
        <w:t>Smlouvu lze ukončit písemnou dohodou smluvních stran.</w:t>
      </w:r>
    </w:p>
    <w:p w:rsidR="002C5302" w:rsidRDefault="008F4F2E">
      <w:pPr>
        <w:pStyle w:val="Style6"/>
        <w:numPr>
          <w:ilvl w:val="0"/>
          <w:numId w:val="9"/>
        </w:numPr>
        <w:shd w:val="clear" w:color="auto" w:fill="auto"/>
        <w:tabs>
          <w:tab w:val="left" w:pos="476"/>
        </w:tabs>
        <w:spacing w:after="420" w:line="264" w:lineRule="auto"/>
        <w:jc w:val="both"/>
      </w:pPr>
      <w:bookmarkStart w:id="47" w:name="bookmark47"/>
      <w:bookmarkEnd w:id="47"/>
      <w:r>
        <w:t>Zánik/ukončení smlouvy se řídí občanským zákoníkem.</w:t>
      </w:r>
    </w:p>
    <w:p w:rsidR="002C5302" w:rsidRDefault="008F4F2E">
      <w:pPr>
        <w:pStyle w:val="Style17"/>
        <w:keepNext/>
        <w:keepLines/>
        <w:numPr>
          <w:ilvl w:val="0"/>
          <w:numId w:val="4"/>
        </w:numPr>
        <w:shd w:val="clear" w:color="auto" w:fill="auto"/>
        <w:spacing w:line="269" w:lineRule="auto"/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lastRenderedPageBreak/>
        <w:br/>
        <w:t xml:space="preserve">Platební </w:t>
      </w:r>
      <w:r>
        <w:t>podmínky</w:t>
      </w:r>
      <w:bookmarkEnd w:id="49"/>
      <w:bookmarkEnd w:id="50"/>
      <w:bookmarkEnd w:id="51"/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jc w:val="both"/>
      </w:pPr>
      <w:bookmarkStart w:id="52" w:name="bookmark52"/>
      <w:bookmarkEnd w:id="52"/>
      <w:r>
        <w:t>Smluvní strany se dohodly na placení nájemného ve formě čtvrtletních splátek.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jc w:val="both"/>
      </w:pPr>
      <w:bookmarkStart w:id="53" w:name="bookmark53"/>
      <w:bookmarkEnd w:id="53"/>
      <w:r>
        <w:t>Výše jedné čtvrtletní splátky činí Kč 28.200,00 bez DPH.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jc w:val="both"/>
      </w:pPr>
      <w:bookmarkStart w:id="54" w:name="bookmark54"/>
      <w:bookmarkEnd w:id="54"/>
      <w:r>
        <w:t>K ceně bude připočteno DPH dle právních předpisů o DPH platných v den zdanitelného plnění.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spacing w:line="264" w:lineRule="auto"/>
        <w:ind w:left="440" w:hanging="440"/>
        <w:jc w:val="both"/>
      </w:pPr>
      <w:bookmarkStart w:id="55" w:name="bookmark55"/>
      <w:bookmarkEnd w:id="55"/>
      <w:r>
        <w:t xml:space="preserve">Pronajímatel vystaví </w:t>
      </w:r>
      <w:r>
        <w:t>fakturu – daňový doklad vždy k prvnímu dni každého čtvrtletí kalendářního roku se splatností faktury 30 kalendářních dnů od doručení nájemci.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56" w:name="bookmark56"/>
      <w:bookmarkEnd w:id="56"/>
      <w:r>
        <w:t>Nájemce hradí nájemné na základě daňového dokladu (dále také jen „</w:t>
      </w:r>
      <w:r>
        <w:rPr>
          <w:b/>
          <w:bCs/>
        </w:rPr>
        <w:t>Doklad</w:t>
      </w:r>
      <w:r>
        <w:t xml:space="preserve">“), který bude vystaven v souladu se </w:t>
      </w:r>
      <w:r>
        <w:t>zákonem č. 235/2004 Sb., o dani z přidané hodnoty, a musí mít náležitosti účetního a daňového dokladu podle příslušných ustanovení právních předpisů České republiky, zákona č. 235/2004 Sb., o DPH, v platném znění, obsahovat číslo účtu, na který má být plat</w:t>
      </w:r>
      <w:r>
        <w:t>ba provedena, a registrační číslo této smlouvy. Nemá-li Doklad náležitosti daňového dokladu vyžadované zákonem a/nebo touto smlouvou, je nájemce oprávněn vrátit pronajímateli Doklad k opravě či doplnění ve lhůtě splatnosti dle této smlouvy. Do doby doručen</w:t>
      </w:r>
      <w:r>
        <w:t>í opraveného Dokladu není nájemce v prodlení s placením. Pro vyloučení pochybností se smluvní strany výslovně dohodly, že vrácením Dokladu (jeho odesláním zpět pronajímateli) se ruší původní splatnost a teprve po doručení opraveného Dokladu běží nová lhůta</w:t>
      </w:r>
      <w:r>
        <w:t xml:space="preserve"> splatnosti v souladu s touto smlouvou. Do doby doručení řádného Dokladu není nájemce povinen poskytnout pronajímateli finanční plnění.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57" w:name="bookmark57"/>
      <w:bookmarkEnd w:id="57"/>
      <w:r>
        <w:t>Smluvní strany sjednaly, že nájemce je povinen plnit své peněžité závazky (provádět jakékoliv platby) dle této smlouvy č</w:t>
      </w:r>
      <w:r>
        <w:t>i v souvislosti s ní výhradně na bankovní účet (číslo účtu) sdělený pronajímatelem správci daně a zveřejněný správcem daně způsobem umožňujícím dálkový přístup (dále jen „</w:t>
      </w:r>
      <w:r>
        <w:rPr>
          <w:b/>
          <w:bCs/>
        </w:rPr>
        <w:t>registrovaný účet</w:t>
      </w:r>
      <w:r>
        <w:t xml:space="preserve">“), vše dle zákona č. 235/2004 Sb., o dani z přidané hodnoty, (dále </w:t>
      </w:r>
      <w:r>
        <w:t>jen „</w:t>
      </w:r>
      <w:r>
        <w:rPr>
          <w:b/>
          <w:bCs/>
        </w:rPr>
        <w:t>Zákon o DPH</w:t>
      </w:r>
      <w:r>
        <w:t>“). Bude-li pronajímatel kdykoliv a jakýmkoliv způsobem požadovat plnění na jiný než registrovaný účet, může nájemce odmítnout plnění nebo plnit na libovolný registrovaný účet pronajímatele, a to vždy dle svého uvážení. Nájemce je rovněž op</w:t>
      </w:r>
      <w:r>
        <w:t>rávněn plnit přímo správci daně, zejména je-li nebo mohl-li by se stát (stačí podezření či předpoklad nájemce) ručitelem ve smyslu § 109 Zákona o DPH, výslovně pak v případě, kdy nájemce jako příjemce zdanitelného plnění uhradí za poskytovatele zdanitelnéh</w:t>
      </w:r>
      <w:r>
        <w:t xml:space="preserve">o plnění daň z takového zdanitelného plnění, a </w:t>
      </w:r>
      <w:proofErr w:type="gramStart"/>
      <w:r>
        <w:t>to</w:t>
      </w:r>
      <w:proofErr w:type="gramEnd"/>
      <w:r>
        <w:t xml:space="preserve"> aniž by byl vyzván jako ručitel. Plnění nájemce na jakýkoliv registrovaný účet pronajímatele a/nebo plnění přímo správci daně, resp. úhrada daně z poskytnutého zdanitelné plnění, je vždy považováno za řádné</w:t>
      </w:r>
      <w:r>
        <w:t xml:space="preserve"> plnění nájemce dle této smlouvy i splnění jeho závazku a pronajímatel s tímto bez dalšího souhlasí.</w:t>
      </w:r>
    </w:p>
    <w:p w:rsidR="002C5302" w:rsidRDefault="008F4F2E">
      <w:pPr>
        <w:pStyle w:val="Style6"/>
        <w:numPr>
          <w:ilvl w:val="0"/>
          <w:numId w:val="12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58" w:name="bookmark58"/>
      <w:bookmarkEnd w:id="58"/>
      <w:r>
        <w:t xml:space="preserve">Pronajímatel tímto výslovně prohlašuje a odpovídá za to, že k datu uzavření této smlouvy nejsou splněny zákonné předpoklady dle § 109 Zákona o DPH, aby se </w:t>
      </w:r>
      <w:r>
        <w:t xml:space="preserve">nájemce stal ručitelem za nezaplacenou daň. Pronajímatel je povinen plnit řádně a včas veškeré daňové povinnosti vzniklé v souvislosti s touto smlouvou. Pronajímatel je povinen oznamovat nájemci bez jakéhokoli odkladu zejména zahájení insolvenčního řízení </w:t>
      </w:r>
      <w:r>
        <w:t>proti pronajímateli a/nebo podstatné ohrožení schopnosti pronajímatele plnit své závazky z této smlouvy. V případě výskytu jakékoli ze skutečností dle tohoto odstavce na straně pronajímatele je nájemce oprávněn požadovat poskytnutí dostatečného zajištění p</w:t>
      </w:r>
      <w:r>
        <w:t>lnění závazků pronajímatele. Pronajímatel se současně zavazuje odškodnit nájemce v plném rozsahu (uhradit veškerou újmu) v případě, že by nájemci vznikly jakékoli náklady, výdaje a/nebo škody či újma v souvislosti s nesplněním daňové povinnosti pronajímate</w:t>
      </w:r>
      <w:r>
        <w:t>le řádně a včas.</w:t>
      </w:r>
    </w:p>
    <w:p w:rsidR="002C5302" w:rsidRDefault="008F4F2E">
      <w:pPr>
        <w:pStyle w:val="Style13"/>
        <w:keepNext/>
        <w:keepLines/>
        <w:numPr>
          <w:ilvl w:val="0"/>
          <w:numId w:val="12"/>
        </w:numPr>
        <w:shd w:val="clear" w:color="auto" w:fill="auto"/>
        <w:tabs>
          <w:tab w:val="left" w:pos="476"/>
        </w:tabs>
        <w:spacing w:after="420" w:line="266" w:lineRule="auto"/>
        <w:ind w:left="0"/>
        <w:jc w:val="both"/>
      </w:pPr>
      <w:bookmarkStart w:id="59" w:name="bookmark61"/>
      <w:bookmarkStart w:id="60" w:name="bookmark59"/>
      <w:bookmarkStart w:id="61" w:name="bookmark60"/>
      <w:bookmarkStart w:id="62" w:name="bookmark62"/>
      <w:bookmarkEnd w:id="59"/>
      <w:r>
        <w:t xml:space="preserve">Faktura bude odeslána elektronicky na adresu: </w:t>
      </w:r>
      <w:hyperlink r:id="rId9" w:history="1">
        <w:r>
          <w:t>faktury-pr@poh.cz</w:t>
        </w:r>
      </w:hyperlink>
      <w:r>
        <w:t>.</w:t>
      </w:r>
      <w:bookmarkEnd w:id="60"/>
      <w:bookmarkEnd w:id="61"/>
      <w:bookmarkEnd w:id="62"/>
    </w:p>
    <w:p w:rsidR="002C5302" w:rsidRDefault="008F4F2E">
      <w:pPr>
        <w:pStyle w:val="Style6"/>
        <w:shd w:val="clear" w:color="auto" w:fill="auto"/>
        <w:spacing w:after="0"/>
        <w:jc w:val="center"/>
      </w:pPr>
      <w:bookmarkStart w:id="63" w:name="bookmark63"/>
      <w:r>
        <w:rPr>
          <w:b/>
          <w:bCs/>
        </w:rPr>
        <w:t>V</w:t>
      </w:r>
      <w:bookmarkEnd w:id="63"/>
      <w:r>
        <w:rPr>
          <w:b/>
          <w:bCs/>
        </w:rPr>
        <w:t>II.</w:t>
      </w:r>
    </w:p>
    <w:p w:rsidR="002C5302" w:rsidRDefault="008F4F2E">
      <w:pPr>
        <w:pStyle w:val="Style6"/>
        <w:shd w:val="clear" w:color="auto" w:fill="auto"/>
        <w:jc w:val="center"/>
      </w:pPr>
      <w:r>
        <w:rPr>
          <w:b/>
          <w:bCs/>
        </w:rPr>
        <w:t>Podmínky pro umístění zařízení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spacing w:line="264" w:lineRule="auto"/>
        <w:ind w:left="440" w:hanging="440"/>
        <w:jc w:val="both"/>
      </w:pPr>
      <w:bookmarkStart w:id="64" w:name="bookmark64"/>
      <w:bookmarkEnd w:id="64"/>
      <w:r>
        <w:t xml:space="preserve">Pronajímatel nenese odpovědnost za škody způsobené na zařízení nájemce požárem či vyšší mocí </w:t>
      </w:r>
      <w:r>
        <w:t>působením přírodních živlů, dále pak nenese odpovědnost za případné odcizení zařízení nájemce.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65" w:name="bookmark65"/>
      <w:bookmarkEnd w:id="65"/>
      <w:r>
        <w:t>Na nezbytně nutnou dobu a v nezbytném rozsahu může být přerušen provoz zařízení nájemce v případě plánovaných rekonstrukcí, oprav a údržby příslušných nemovitost</w:t>
      </w:r>
      <w:r>
        <w:t>í. O těchto akcích bude pronajímatel informovat nájemce nejpozději 30 kalendářních dnů před plánovaným termínem uvedených prací.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66" w:name="bookmark66"/>
      <w:bookmarkEnd w:id="66"/>
      <w:r>
        <w:lastRenderedPageBreak/>
        <w:t>Nájemce si bude počínat tak, aby svou činností nepříznivě neovlivnil či nenarušil provoz jakýchkoliv jiných telekomunikačních z</w:t>
      </w:r>
      <w:r>
        <w:t>ařízení, která jsou ke dni předání Předmětu nájmu nájemci umístěna na anténním stožáru uvedeném v odst. 1.1. této smlouvy.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spacing w:line="264" w:lineRule="auto"/>
        <w:ind w:left="440" w:hanging="440"/>
        <w:jc w:val="both"/>
      </w:pPr>
      <w:bookmarkStart w:id="67" w:name="bookmark67"/>
      <w:bookmarkEnd w:id="67"/>
      <w:r>
        <w:t>Nájemce se zavazuje, že bude dané zařízení nájemce provozovat v souladu s platnými zákony a předpisy.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spacing w:line="269" w:lineRule="auto"/>
        <w:ind w:left="440" w:hanging="440"/>
        <w:jc w:val="both"/>
      </w:pPr>
      <w:bookmarkStart w:id="68" w:name="bookmark68"/>
      <w:bookmarkEnd w:id="68"/>
      <w:r>
        <w:t xml:space="preserve">Nájemce může mít nainstalována </w:t>
      </w:r>
      <w:r>
        <w:t>na majetku pronajímatele pouze zařízení uvedená v příloze č. 1 této smlouvy, nebo musí mít sepsán písemný dodatek o změně technologie.</w:t>
      </w:r>
    </w:p>
    <w:p w:rsidR="002C5302" w:rsidRDefault="008F4F2E">
      <w:pPr>
        <w:pStyle w:val="Style6"/>
        <w:numPr>
          <w:ilvl w:val="0"/>
          <w:numId w:val="13"/>
        </w:numPr>
        <w:shd w:val="clear" w:color="auto" w:fill="auto"/>
        <w:tabs>
          <w:tab w:val="left" w:pos="476"/>
        </w:tabs>
        <w:spacing w:after="660"/>
        <w:ind w:left="440" w:hanging="440"/>
        <w:jc w:val="both"/>
      </w:pPr>
      <w:bookmarkStart w:id="69" w:name="bookmark69"/>
      <w:bookmarkEnd w:id="69"/>
      <w:r>
        <w:t>Pronajímatel je povinen v případě převodu vlastnického práva k Předmětu nájmu nebo jeho části, (i) před převodem vlastnic</w:t>
      </w:r>
      <w:r>
        <w:t>kého práva nového vlastníka informovat o tom, že Předmět nájmu je pronajat nájemci, (</w:t>
      </w:r>
      <w:proofErr w:type="spellStart"/>
      <w:r>
        <w:t>ii</w:t>
      </w:r>
      <w:proofErr w:type="spellEnd"/>
      <w:r>
        <w:t>) před převodem vlastnického práva novému vlastníku předložit kopii této smlouvy včetně všech dodatků tak, aby na nového vlastníka přešly všechny povinnosti z této smlou</w:t>
      </w:r>
      <w:r>
        <w:t>vy dle § 2221 odst. 2 občanského zákoníku a (</w:t>
      </w:r>
      <w:proofErr w:type="spellStart"/>
      <w:r>
        <w:t>iii</w:t>
      </w:r>
      <w:proofErr w:type="spellEnd"/>
      <w:r>
        <w:t>) doručit nájemci písemný doklad o splnění povinností dle ustanovení (i) a (</w:t>
      </w:r>
      <w:proofErr w:type="spellStart"/>
      <w:r>
        <w:t>ii</w:t>
      </w:r>
      <w:proofErr w:type="spellEnd"/>
      <w:r>
        <w:t>) výše do 2 měsíců od uzavření příslušné smlouvy o převodu vlastnického práva s novým vlastníkem. V případě porušení povinnosti dl</w:t>
      </w:r>
      <w:r>
        <w:t xml:space="preserve">e tohoto odstavce má nájemce právo tuto smlouvu vypovědět bez výpovědní doby ve lhůtě 3 měsíců poté, co se dozvěděl o porušení povinnosti pronajímatele dle tohoto odstavce. Nárok na náhradu škody a jiné újmy za porušení povinnosti pronajímatele dle tohoto </w:t>
      </w:r>
      <w:r>
        <w:t>odstavce tím není dotčen.</w:t>
      </w:r>
    </w:p>
    <w:p w:rsidR="002C5302" w:rsidRDefault="008F4F2E">
      <w:pPr>
        <w:pStyle w:val="Style6"/>
        <w:shd w:val="clear" w:color="auto" w:fill="auto"/>
        <w:spacing w:after="0" w:line="269" w:lineRule="auto"/>
        <w:jc w:val="center"/>
      </w:pPr>
      <w:bookmarkStart w:id="70" w:name="bookmark70"/>
      <w:r>
        <w:rPr>
          <w:b/>
          <w:bCs/>
        </w:rPr>
        <w:t>V</w:t>
      </w:r>
      <w:bookmarkEnd w:id="70"/>
      <w:r>
        <w:rPr>
          <w:b/>
          <w:bCs/>
        </w:rPr>
        <w:t>III.</w:t>
      </w:r>
    </w:p>
    <w:p w:rsidR="002C5302" w:rsidRDefault="008F4F2E">
      <w:pPr>
        <w:pStyle w:val="Style17"/>
        <w:keepNext/>
        <w:keepLines/>
        <w:shd w:val="clear" w:color="auto" w:fill="auto"/>
        <w:spacing w:line="269" w:lineRule="auto"/>
      </w:pPr>
      <w:bookmarkStart w:id="71" w:name="bookmark71"/>
      <w:bookmarkStart w:id="72" w:name="bookmark72"/>
      <w:bookmarkStart w:id="73" w:name="bookmark73"/>
      <w:r>
        <w:t>Přístup k předmětu smlouvy</w:t>
      </w:r>
      <w:bookmarkEnd w:id="71"/>
      <w:bookmarkEnd w:id="72"/>
      <w:bookmarkEnd w:id="73"/>
    </w:p>
    <w:p w:rsidR="002C5302" w:rsidRDefault="008F4F2E">
      <w:pPr>
        <w:pStyle w:val="Style6"/>
        <w:numPr>
          <w:ilvl w:val="0"/>
          <w:numId w:val="14"/>
        </w:numPr>
        <w:shd w:val="clear" w:color="auto" w:fill="auto"/>
        <w:tabs>
          <w:tab w:val="left" w:pos="476"/>
        </w:tabs>
        <w:spacing w:line="269" w:lineRule="auto"/>
        <w:ind w:left="440" w:hanging="440"/>
        <w:jc w:val="both"/>
      </w:pPr>
      <w:bookmarkStart w:id="74" w:name="bookmark74"/>
      <w:bookmarkEnd w:id="74"/>
      <w:r>
        <w:t>Pronajímatel umožní nájemci či jím určené osobě trvale přístup k Předmětu nájmu za podmínky uvedené v odst. 8.2. níže.</w:t>
      </w:r>
    </w:p>
    <w:p w:rsidR="002C5302" w:rsidRDefault="008F4F2E">
      <w:pPr>
        <w:pStyle w:val="Style6"/>
        <w:numPr>
          <w:ilvl w:val="0"/>
          <w:numId w:val="14"/>
        </w:numPr>
        <w:shd w:val="clear" w:color="auto" w:fill="auto"/>
        <w:tabs>
          <w:tab w:val="left" w:pos="476"/>
        </w:tabs>
        <w:ind w:left="440" w:hanging="440"/>
        <w:jc w:val="both"/>
      </w:pPr>
      <w:bookmarkStart w:id="75" w:name="bookmark75"/>
      <w:bookmarkEnd w:id="75"/>
      <w:r>
        <w:t>Nájemce je povinen vždy předem telefonicky nahlásit požadavek na vstup, a to n</w:t>
      </w:r>
      <w:r>
        <w:t>a telefon pronajímatele formou SMS nebo zavoláním na číslo</w:t>
      </w:r>
      <w:r>
        <w:t xml:space="preserve"> nebo </w:t>
      </w:r>
      <w:bookmarkStart w:id="76" w:name="_GoBack"/>
      <w:bookmarkEnd w:id="76"/>
      <w:r>
        <w:t xml:space="preserve">- pracovníci </w:t>
      </w:r>
      <w:proofErr w:type="spellStart"/>
      <w:r>
        <w:t>hotline</w:t>
      </w:r>
      <w:proofErr w:type="spellEnd"/>
      <w:r>
        <w:t>.</w:t>
      </w:r>
    </w:p>
    <w:p w:rsidR="002C5302" w:rsidRDefault="008F4F2E">
      <w:pPr>
        <w:pStyle w:val="Style6"/>
        <w:shd w:val="clear" w:color="auto" w:fill="auto"/>
        <w:spacing w:after="0"/>
        <w:jc w:val="center"/>
      </w:pPr>
      <w:bookmarkStart w:id="77" w:name="bookmark76"/>
      <w:r>
        <w:rPr>
          <w:b/>
          <w:bCs/>
        </w:rPr>
        <w:t>I</w:t>
      </w:r>
      <w:bookmarkEnd w:id="77"/>
      <w:r>
        <w:rPr>
          <w:b/>
          <w:bCs/>
        </w:rPr>
        <w:t>X.</w:t>
      </w:r>
    </w:p>
    <w:p w:rsidR="002C5302" w:rsidRDefault="008F4F2E">
      <w:pPr>
        <w:pStyle w:val="Style17"/>
        <w:keepNext/>
        <w:keepLines/>
        <w:shd w:val="clear" w:color="auto" w:fill="auto"/>
      </w:pPr>
      <w:bookmarkStart w:id="78" w:name="bookmark77"/>
      <w:bookmarkStart w:id="79" w:name="bookmark78"/>
      <w:bookmarkStart w:id="80" w:name="bookmark79"/>
      <w:proofErr w:type="spellStart"/>
      <w:r>
        <w:t>Compliance</w:t>
      </w:r>
      <w:proofErr w:type="spellEnd"/>
      <w:r>
        <w:t xml:space="preserve"> doložka</w:t>
      </w:r>
      <w:bookmarkEnd w:id="78"/>
      <w:bookmarkEnd w:id="79"/>
      <w:bookmarkEnd w:id="80"/>
    </w:p>
    <w:p w:rsidR="002C5302" w:rsidRDefault="008F4F2E">
      <w:pPr>
        <w:pStyle w:val="Style6"/>
        <w:numPr>
          <w:ilvl w:val="0"/>
          <w:numId w:val="15"/>
        </w:numPr>
        <w:shd w:val="clear" w:color="auto" w:fill="auto"/>
        <w:tabs>
          <w:tab w:val="left" w:pos="476"/>
        </w:tabs>
        <w:ind w:left="440" w:hanging="440"/>
      </w:pPr>
      <w:bookmarkStart w:id="81" w:name="bookmark80"/>
      <w:bookmarkEnd w:id="81"/>
      <w:r>
        <w:t xml:space="preserve">Smluvní strany níže svým podpisem stvrzují, že v průběhu vyjednávání o této Smlouvě vždy jednaly a postupovaly čestně </w:t>
      </w:r>
      <w:r>
        <w:t>a transparentně, a současně se zavazují, že takto budou jednat i při plnění této Smlouvy a veškerých činností s ní souvisejících.</w:t>
      </w:r>
    </w:p>
    <w:p w:rsidR="002C5302" w:rsidRDefault="008F4F2E">
      <w:pPr>
        <w:pStyle w:val="Style6"/>
        <w:numPr>
          <w:ilvl w:val="0"/>
          <w:numId w:val="15"/>
        </w:numPr>
        <w:shd w:val="clear" w:color="auto" w:fill="auto"/>
        <w:tabs>
          <w:tab w:val="left" w:pos="476"/>
        </w:tabs>
        <w:ind w:left="440" w:hanging="440"/>
      </w:pPr>
      <w:bookmarkStart w:id="82" w:name="bookmark81"/>
      <w:bookmarkEnd w:id="82"/>
      <w:r>
        <w:t>Smluvní strany se dále zavazují vždy jednat tak a přijmout taková opatření, aby nedošlo ke vzniku důvodného podezření na spách</w:t>
      </w:r>
      <w:r>
        <w:t>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</w:t>
      </w:r>
      <w:r>
        <w:t>znikla trestní odpovědnost fyzických osob (včetně zaměstnanců) podle trestního zákoníku, případně aby nebylo zahájeno trestní stíhání proti kterékoli ze smluvních stran, včetně jejích zaměstnanců podle platných právních předpisů.</w:t>
      </w:r>
    </w:p>
    <w:p w:rsidR="002C5302" w:rsidRDefault="008F4F2E">
      <w:pPr>
        <w:pStyle w:val="Style6"/>
        <w:numPr>
          <w:ilvl w:val="0"/>
          <w:numId w:val="15"/>
        </w:numPr>
        <w:shd w:val="clear" w:color="auto" w:fill="auto"/>
        <w:tabs>
          <w:tab w:val="left" w:pos="476"/>
        </w:tabs>
        <w:ind w:left="440" w:hanging="440"/>
      </w:pPr>
      <w:bookmarkStart w:id="83" w:name="bookmark82"/>
      <w:bookmarkEnd w:id="83"/>
      <w:r>
        <w:t>Pronajímatel prohlašuje, ž</w:t>
      </w:r>
      <w:r>
        <w:t xml:space="preserve">e se seznámil se zásadami, hodnotami a cíli </w:t>
      </w:r>
      <w:proofErr w:type="spellStart"/>
      <w:r>
        <w:t>Compliance</w:t>
      </w:r>
      <w:proofErr w:type="spellEnd"/>
      <w:r>
        <w:t xml:space="preserve"> programu Povodí Ohře, </w:t>
      </w:r>
      <w:proofErr w:type="spellStart"/>
      <w:r>
        <w:t>s.p</w:t>
      </w:r>
      <w:proofErr w:type="spellEnd"/>
      <w:r>
        <w:t xml:space="preserve">. (viz </w:t>
      </w:r>
      <w:hyperlink r:id="rId10" w:history="1">
        <w:r>
          <w:t>http://www.poh.cz/protikorupcni-a-compliance-program/d-1346/p1=1458</w:t>
        </w:r>
      </w:hyperlink>
      <w:r>
        <w:t>), dále s Etickým ko</w:t>
      </w:r>
      <w:r>
        <w:t>dexem Povodí Ohře, státní podnik a Protikorupčním programem Povodí Ohře, státní podnik. Pronajímatel se při plnění této Smlouvy zavazuje po celou dobu jejího trvání dodržovat zásady a hodnoty obsažené v uvedených dokumentech, pokud to jejich povaha umožňuj</w:t>
      </w:r>
      <w:r>
        <w:t>e.</w:t>
      </w:r>
    </w:p>
    <w:p w:rsidR="002C5302" w:rsidRDefault="008F4F2E">
      <w:pPr>
        <w:pStyle w:val="Style6"/>
        <w:numPr>
          <w:ilvl w:val="0"/>
          <w:numId w:val="15"/>
        </w:numPr>
        <w:shd w:val="clear" w:color="auto" w:fill="auto"/>
        <w:tabs>
          <w:tab w:val="left" w:pos="476"/>
        </w:tabs>
        <w:spacing w:after="460"/>
        <w:ind w:left="440" w:hanging="440"/>
      </w:pPr>
      <w:bookmarkStart w:id="84" w:name="bookmark83"/>
      <w:bookmarkEnd w:id="84"/>
      <w:r>
        <w:t>Smluvní strany se dále zavazují navzájem si neprodleně oznámit důvodné podezření ohledně možného naplnění skutkové podstaty jakéhokoli z trestných činů v souvislosti s touto smlouvou, zejména trestného činu korupční povahy, a to bez ohledu a nad rámec p</w:t>
      </w:r>
      <w:r>
        <w:t>řípadné zákonné oznamovací povinnosti; obdobné platí ve vztahu k jednání, které je v rozporu se zásadami vyjádřenými v tomto článku.</w:t>
      </w:r>
    </w:p>
    <w:p w:rsidR="002C5302" w:rsidRDefault="008F4F2E">
      <w:pPr>
        <w:pStyle w:val="Style6"/>
        <w:shd w:val="clear" w:color="auto" w:fill="auto"/>
        <w:spacing w:after="0"/>
        <w:jc w:val="center"/>
      </w:pPr>
      <w:bookmarkStart w:id="85" w:name="bookmark84"/>
      <w:r>
        <w:rPr>
          <w:b/>
          <w:bCs/>
        </w:rPr>
        <w:t>X</w:t>
      </w:r>
      <w:bookmarkEnd w:id="85"/>
      <w:r>
        <w:rPr>
          <w:b/>
          <w:bCs/>
        </w:rPr>
        <w:t>.</w:t>
      </w:r>
    </w:p>
    <w:p w:rsidR="002C5302" w:rsidRDefault="008F4F2E">
      <w:pPr>
        <w:pStyle w:val="Style17"/>
        <w:keepNext/>
        <w:keepLines/>
        <w:shd w:val="clear" w:color="auto" w:fill="auto"/>
      </w:pPr>
      <w:bookmarkStart w:id="86" w:name="bookmark85"/>
      <w:bookmarkStart w:id="87" w:name="bookmark86"/>
      <w:bookmarkStart w:id="88" w:name="bookmark87"/>
      <w:r>
        <w:lastRenderedPageBreak/>
        <w:t>Ochrana a zpracování osobních údajů</w:t>
      </w:r>
      <w:bookmarkEnd w:id="86"/>
      <w:bookmarkEnd w:id="87"/>
      <w:bookmarkEnd w:id="88"/>
    </w:p>
    <w:p w:rsidR="002C5302" w:rsidRDefault="008F4F2E">
      <w:pPr>
        <w:pStyle w:val="Style6"/>
        <w:shd w:val="clear" w:color="auto" w:fill="auto"/>
        <w:ind w:left="440"/>
      </w:pPr>
      <w:r>
        <w:t>V případě, že v souvislosti s touto smlouvou dochází ke zpracovávání osobních údajů,</w:t>
      </w:r>
      <w:r>
        <w:t xml:space="preserve"> jsou tyto zpracovávány v souladu s platnými právními předpisy, které upravují ochranu a zpracování osobních údajů, zejména s nařízením Evropského parlamentu a Rady (EU) č. 2016/679 ze dne 27. 4. 2016 o ochraně fyzických osob v souvislosti se zpracováním o</w:t>
      </w:r>
      <w:r>
        <w:t xml:space="preserve">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1" w:history="1">
        <w:r>
          <w:t>http://www.poh.cz/informace-o-zpracovani-osobnich-udaju/d-1369/p1=1459</w:t>
        </w:r>
      </w:hyperlink>
    </w:p>
    <w:p w:rsidR="002C5302" w:rsidRDefault="008F4F2E">
      <w:pPr>
        <w:pStyle w:val="Style6"/>
        <w:shd w:val="clear" w:color="auto" w:fill="auto"/>
        <w:spacing w:after="0"/>
        <w:jc w:val="center"/>
      </w:pPr>
      <w:bookmarkStart w:id="89" w:name="bookmark88"/>
      <w:r>
        <w:rPr>
          <w:b/>
          <w:bCs/>
        </w:rPr>
        <w:t>X</w:t>
      </w:r>
      <w:bookmarkEnd w:id="89"/>
      <w:r>
        <w:rPr>
          <w:b/>
          <w:bCs/>
        </w:rPr>
        <w:t>I.</w:t>
      </w:r>
    </w:p>
    <w:p w:rsidR="002C5302" w:rsidRDefault="008F4F2E">
      <w:pPr>
        <w:pStyle w:val="Style6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spacing w:line="264" w:lineRule="auto"/>
        <w:ind w:left="440" w:hanging="440"/>
        <w:jc w:val="both"/>
      </w:pPr>
      <w:bookmarkStart w:id="90" w:name="bookmark89"/>
      <w:bookmarkEnd w:id="90"/>
      <w:r>
        <w:t xml:space="preserve">Tuto smlouvu lze změnit nebo upravovat pouze písemně, číslovanými dodatky schválenými a podepsanými oprávněnými zástupci obou </w:t>
      </w:r>
      <w:r>
        <w:t>smluvních stran, a to včetně tohoto ustanovení samotného.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spacing w:line="269" w:lineRule="auto"/>
        <w:ind w:left="440" w:hanging="440"/>
        <w:jc w:val="both"/>
      </w:pPr>
      <w:bookmarkStart w:id="91" w:name="bookmark90"/>
      <w:bookmarkEnd w:id="91"/>
      <w:r>
        <w:t>Tato smlouva je vyhotovena ve dvou vyhotoveních, z nichž každá ze smluvních stran obdrží po jednom vyhotovení.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ind w:left="440" w:hanging="440"/>
        <w:jc w:val="both"/>
      </w:pPr>
      <w:bookmarkStart w:id="92" w:name="bookmark91"/>
      <w:bookmarkEnd w:id="92"/>
      <w:r>
        <w:t xml:space="preserve">Právní vztahy výslovně neupravené touto smlouvou se řídí občanským zákoníkem. </w:t>
      </w:r>
      <w:r>
        <w:t>Ustanovení § 1999 a § 2303 občanského zákoníku se na tuto smlouvu neuplatní. Smluvní strany se dohodly, že pronajímatel na sebe přebírá nebezpečí změny okolností ve smyslu ustanovení § 1765 odst. 2 občanského zákoníku.</w:t>
      </w:r>
      <w:r>
        <w:br w:type="page"/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ind w:left="440" w:hanging="440"/>
        <w:jc w:val="both"/>
      </w:pPr>
      <w:bookmarkStart w:id="93" w:name="bookmark92"/>
      <w:bookmarkEnd w:id="93"/>
      <w:r>
        <w:lastRenderedPageBreak/>
        <w:t>Smluvní strany se dohodly, že vešker</w:t>
      </w:r>
      <w:r>
        <w:t>á právní jednání (včetně výpovědi a odstoupení, pokud bude kterákoliv smluvní strana k takovému právnímu jednání oprávněna) budou smluvní strany činit pouze písemně, a to pouze formou listiny opatřené podpisem osoby oprávněné jednat za příslušnou smluvní s</w:t>
      </w:r>
      <w:r>
        <w:t>tranu (úředně ověřeným v případech, kdy to vyžadují právní předpisy) doručené osobně, poštou či kurýrní službou. Právní jednání dle předchozí věty nelze činit elektronickými či jinými technickými prostředky. Podmínky dohodnuté v této smlouvě jsou považován</w:t>
      </w:r>
      <w:r>
        <w:t>y za důvěrné.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ind w:left="440" w:hanging="440"/>
        <w:jc w:val="both"/>
      </w:pPr>
      <w:bookmarkStart w:id="94" w:name="bookmark93"/>
      <w:bookmarkEnd w:id="94"/>
      <w: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</w:t>
      </w:r>
      <w:r>
        <w:t xml:space="preserve">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pochybnostech o tom, zda tato smlouva zveřejnění podléhá či nikoliv.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spacing w:line="264" w:lineRule="auto"/>
        <w:ind w:left="440" w:hanging="440"/>
        <w:jc w:val="both"/>
      </w:pPr>
      <w:bookmarkStart w:id="95" w:name="bookmark94"/>
      <w:bookmarkEnd w:id="95"/>
      <w:r>
        <w:t xml:space="preserve">Plnění předmětu této smlouvy před </w:t>
      </w:r>
      <w:r>
        <w:t>účinností této smlouvy se považuje za plnění podle této smlouvy a práva a povinnosti z něj vzniklé se řídí touto smlouvou.</w:t>
      </w:r>
    </w:p>
    <w:p w:rsidR="002C5302" w:rsidRDefault="008F4F2E">
      <w:pPr>
        <w:pStyle w:val="Style6"/>
        <w:numPr>
          <w:ilvl w:val="0"/>
          <w:numId w:val="16"/>
        </w:numPr>
        <w:shd w:val="clear" w:color="auto" w:fill="auto"/>
        <w:tabs>
          <w:tab w:val="left" w:pos="586"/>
        </w:tabs>
        <w:spacing w:after="420"/>
        <w:jc w:val="both"/>
      </w:pPr>
      <w:bookmarkStart w:id="96" w:name="bookmark95"/>
      <w:bookmarkEnd w:id="96"/>
      <w:r>
        <w:t>Přílohy č. 1 je nedílnou součástí této smlouvy.</w:t>
      </w:r>
    </w:p>
    <w:p w:rsidR="002C5302" w:rsidRDefault="008F4F2E">
      <w:pPr>
        <w:pStyle w:val="Style6"/>
        <w:shd w:val="clear" w:color="auto" w:fill="auto"/>
        <w:tabs>
          <w:tab w:val="left" w:pos="1411"/>
        </w:tabs>
        <w:spacing w:line="240" w:lineRule="auto"/>
        <w:jc w:val="both"/>
      </w:pPr>
      <w:r>
        <w:t>Přílohy:</w:t>
      </w:r>
      <w:r>
        <w:tab/>
        <w:t>1 – Lokalita a seznam umístěných zařízení</w:t>
      </w:r>
    </w:p>
    <w:p w:rsidR="002C5302" w:rsidRDefault="008F4F2E">
      <w:pPr>
        <w:spacing w:line="1" w:lineRule="exact"/>
      </w:pPr>
      <w:r>
        <w:rPr>
          <w:noProof/>
        </w:rPr>
        <mc:AlternateContent>
          <mc:Choice Requires="wps">
            <w:drawing>
              <wp:anchor distT="469900" distB="0" distL="0" distR="0" simplePos="0" relativeHeight="12582938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469900</wp:posOffset>
                </wp:positionV>
                <wp:extent cx="1764665" cy="222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Chomutově dne …………2024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69.75pt;margin-top:37pt;width:138.95pt;height:17.5pt;z-index:125829380;visibility:visible;mso-wrap-style:none;mso-wrap-distance-left:0;mso-wrap-distance-top:3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V Chomutově dne …………2024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0" distL="0" distR="0" simplePos="0" relativeHeight="125829382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469900</wp:posOffset>
                </wp:positionV>
                <wp:extent cx="1862455" cy="2222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V </w:t>
                            </w:r>
                            <w:r>
                              <w:t>Teplicích dne ………………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282.4pt;margin-top:37pt;width:146.65pt;height:17.5pt;z-index:125829382;visibility:visible;mso-wrap-style:none;mso-wrap-distance-left:0;mso-wrap-distance-top:3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 xml:space="preserve">V </w:t>
                      </w:r>
                      <w:r>
                        <w:t>Teplicích dne ………………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5302" w:rsidRDefault="008F4F2E">
      <w:pPr>
        <w:spacing w:line="1" w:lineRule="exact"/>
      </w:pPr>
      <w:r>
        <w:rPr>
          <w:noProof/>
        </w:rPr>
        <mc:AlternateContent>
          <mc:Choice Requires="wps">
            <w:drawing>
              <wp:anchor distT="228600" distB="0" distL="0" distR="0" simplePos="0" relativeHeight="125829384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228600</wp:posOffset>
                </wp:positionV>
                <wp:extent cx="716280" cy="2222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nájemce: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69.75pt;margin-top:18pt;width:56.4pt;height:17.5pt;z-index:125829384;visibility:visible;mso-wrap-style:none;mso-wrap-distance-left:0;mso-wrap-distance-top:1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za nájemce: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0" distR="0" simplePos="0" relativeHeight="125829386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228600</wp:posOffset>
                </wp:positionV>
                <wp:extent cx="1005840" cy="2222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pronajímatele: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282.4pt;margin-top:18pt;width:79.2pt;height:17.5pt;z-index:125829386;visibility:visible;mso-wrap-style:none;mso-wrap-distance-left:0;mso-wrap-distance-top:1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za pronajímatele: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5302" w:rsidRDefault="008F4F2E">
      <w:pPr>
        <w:spacing w:line="1" w:lineRule="exact"/>
        <w:sectPr w:rsidR="002C5302">
          <w:type w:val="continuous"/>
          <w:pgSz w:w="11909" w:h="16838"/>
          <w:pgMar w:top="1233" w:right="1386" w:bottom="1223" w:left="139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3400" distB="0" distL="0" distR="0" simplePos="0" relativeHeight="12582938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533400</wp:posOffset>
                </wp:positionV>
                <wp:extent cx="1280160" cy="2222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………………………………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69.75pt;margin-top:42pt;width:100.8pt;height:17.5pt;z-index:125829388;visibility:visible;mso-wrap-style:none;mso-wrap-distance-left:0;mso-wrap-distance-top:4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0" distL="0" distR="0" simplePos="0" relativeHeight="125829390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533400</wp:posOffset>
                </wp:positionV>
                <wp:extent cx="1280160" cy="2222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302" w:rsidRDefault="008F4F2E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………………………………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282.4pt;margin-top:42pt;width:100.8pt;height:17.5pt;z-index:125829390;visibility:visible;mso-wrap-style:none;mso-wrap-distance-left:0;mso-wrap-distance-top:4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" filled="f" stroked="f">
                <v:textbox inset="0,0,0,0">
                  <w:txbxContent>
                    <w:p w:rsidR="002C5302" w:rsidRDefault="008F4F2E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5302" w:rsidRDefault="008F4F2E">
      <w:pPr>
        <w:pStyle w:val="Style22"/>
        <w:shd w:val="clear" w:color="auto" w:fill="auto"/>
        <w:ind w:left="3974"/>
      </w:pPr>
      <w:bookmarkStart w:id="97" w:name="bookmark96"/>
      <w:r>
        <w:lastRenderedPageBreak/>
        <w:t>Příloha č. 1</w:t>
      </w:r>
      <w:bookmarkEnd w:id="9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568"/>
      </w:tblGrid>
      <w:tr w:rsidR="002C530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872" w:type="dxa"/>
            <w:shd w:val="clear" w:color="auto" w:fill="FFFFFF"/>
          </w:tcPr>
          <w:p w:rsidR="002C5302" w:rsidRDefault="002C5302">
            <w:pPr>
              <w:rPr>
                <w:sz w:val="10"/>
                <w:szCs w:val="10"/>
              </w:rPr>
            </w:pPr>
          </w:p>
        </w:tc>
        <w:tc>
          <w:tcPr>
            <w:tcW w:w="5568" w:type="dxa"/>
            <w:shd w:val="clear" w:color="auto" w:fill="FFFFFF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  <w:ind w:firstLine="740"/>
            </w:pPr>
            <w:bookmarkStart w:id="98" w:name="bookmark97"/>
            <w:r>
              <w:rPr>
                <w:b/>
                <w:bCs/>
              </w:rPr>
              <w:t>Lokalita a seznam umístěných zařízení</w:t>
            </w:r>
            <w:bookmarkEnd w:id="98"/>
          </w:p>
        </w:tc>
      </w:tr>
      <w:tr w:rsidR="002C5302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872" w:type="dxa"/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Adresa lokality:</w:t>
            </w:r>
          </w:p>
        </w:tc>
        <w:tc>
          <w:tcPr>
            <w:tcW w:w="5568" w:type="dxa"/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  <w:ind w:firstLine="280"/>
              <w:jc w:val="both"/>
            </w:pPr>
            <w:r>
              <w:rPr>
                <w:b/>
                <w:bCs/>
              </w:rPr>
              <w:t>Milešovka, hora, katastrální území Milešov u Lovosic</w:t>
            </w:r>
          </w:p>
        </w:tc>
      </w:tr>
    </w:tbl>
    <w:p w:rsidR="002C5302" w:rsidRDefault="002C5302">
      <w:pPr>
        <w:spacing w:after="839" w:line="1" w:lineRule="exact"/>
      </w:pPr>
    </w:p>
    <w:p w:rsidR="002C5302" w:rsidRDefault="008F4F2E">
      <w:pPr>
        <w:pStyle w:val="Style22"/>
        <w:shd w:val="clear" w:color="auto" w:fill="auto"/>
      </w:pPr>
      <w:r>
        <w:t xml:space="preserve">Seznam </w:t>
      </w:r>
      <w:r>
        <w:t>umístěného zařízení: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781"/>
        <w:gridCol w:w="1267"/>
        <w:gridCol w:w="1406"/>
        <w:gridCol w:w="1810"/>
        <w:gridCol w:w="1123"/>
      </w:tblGrid>
      <w:tr w:rsidR="002C530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>Anténa, příslušenství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Výška Rozměr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Hmotnost</w:t>
            </w:r>
          </w:p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(kg)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Technologie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>Výška od paty věže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Azimut</w:t>
            </w:r>
          </w:p>
        </w:tc>
      </w:tr>
      <w:tr w:rsidR="002C530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Anténa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1350x280mm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3 kg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OV401.2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 xml:space="preserve">cca </w:t>
            </w:r>
            <w:proofErr w:type="gramStart"/>
            <w:r>
              <w:t>10m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170°</w:t>
            </w:r>
          </w:p>
        </w:tc>
      </w:tr>
      <w:tr w:rsidR="002C530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Anténa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1350x280mm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3 kg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OV401.2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 xml:space="preserve">cca </w:t>
            </w:r>
            <w:proofErr w:type="gramStart"/>
            <w:r>
              <w:t>10m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302" w:rsidRDefault="008F4F2E">
            <w:pPr>
              <w:pStyle w:val="Style15"/>
              <w:shd w:val="clear" w:color="auto" w:fill="auto"/>
              <w:spacing w:after="0" w:line="240" w:lineRule="auto"/>
            </w:pPr>
            <w:r>
              <w:t>75°</w:t>
            </w:r>
          </w:p>
        </w:tc>
      </w:tr>
      <w:tr w:rsidR="002C5302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302" w:rsidRDefault="008F4F2E">
            <w:pPr>
              <w:pStyle w:val="Style15"/>
              <w:shd w:val="clear" w:color="auto" w:fill="auto"/>
              <w:spacing w:after="0" w:line="269" w:lineRule="auto"/>
            </w:pPr>
            <w:r>
              <w:t>Vnitřní technologie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302" w:rsidRDefault="008F4F2E">
            <w:pPr>
              <w:pStyle w:val="Style15"/>
              <w:shd w:val="clear" w:color="auto" w:fill="auto"/>
              <w:spacing w:after="0" w:line="264" w:lineRule="auto"/>
            </w:pPr>
            <w:r>
              <w:t xml:space="preserve">MR25, </w:t>
            </w:r>
            <w:proofErr w:type="spellStart"/>
            <w:r>
              <w:t>Ripex</w:t>
            </w:r>
            <w:proofErr w:type="spellEnd"/>
            <w:r>
              <w:t xml:space="preserve">, zdroj DRC100A, zdroj </w:t>
            </w:r>
            <w:r>
              <w:t>MS220, 2x jistič, zásuvka na din lištu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302" w:rsidRDefault="002C5302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302" w:rsidRDefault="002C530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302" w:rsidRDefault="002C530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02" w:rsidRDefault="002C5302">
            <w:pPr>
              <w:rPr>
                <w:sz w:val="10"/>
                <w:szCs w:val="10"/>
              </w:rPr>
            </w:pPr>
          </w:p>
        </w:tc>
      </w:tr>
    </w:tbl>
    <w:p w:rsidR="008F4F2E" w:rsidRDefault="008F4F2E"/>
    <w:sectPr w:rsidR="008F4F2E">
      <w:pgSz w:w="11909" w:h="16838"/>
      <w:pgMar w:top="1233" w:right="1566" w:bottom="1233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2E" w:rsidRDefault="008F4F2E">
      <w:r>
        <w:separator/>
      </w:r>
    </w:p>
  </w:endnote>
  <w:endnote w:type="continuationSeparator" w:id="0">
    <w:p w:rsidR="008F4F2E" w:rsidRDefault="008F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02" w:rsidRDefault="008F4F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10082530</wp:posOffset>
              </wp:positionV>
              <wp:extent cx="164465" cy="1708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302" w:rsidRDefault="008F4F2E">
                          <w:pPr>
                            <w:pStyle w:val="Style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96.05pt;margin-top:793.9pt;width:12.95pt;height:13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" filled="f" stroked="f">
              <v:textbox style="mso-fit-shape-to-text:t" inset="0,0,0,0">
                <w:txbxContent>
                  <w:p w:rsidR="002C5302" w:rsidRDefault="008F4F2E">
                    <w:pPr>
                      <w:pStyle w:val="Style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2E" w:rsidRDefault="008F4F2E"/>
  </w:footnote>
  <w:footnote w:type="continuationSeparator" w:id="0">
    <w:p w:rsidR="008F4F2E" w:rsidRDefault="008F4F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02" w:rsidRDefault="008F4F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2519680</wp:posOffset>
              </wp:positionH>
              <wp:positionV relativeFrom="page">
                <wp:posOffset>441960</wp:posOffset>
              </wp:positionV>
              <wp:extent cx="2545080" cy="152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302" w:rsidRDefault="008F4F2E">
                          <w:pPr>
                            <w:pStyle w:val="Style2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C0C0C0"/>
                              <w:sz w:val="17"/>
                              <w:szCs w:val="17"/>
                            </w:rPr>
                            <w:t xml:space="preserve">- Nájemní smlouva Povodí Ohře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C0C0C0"/>
                              <w:sz w:val="17"/>
                              <w:szCs w:val="17"/>
                            </w:rPr>
                            <w:t>s.p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C0C0C0"/>
                              <w:sz w:val="17"/>
                              <w:szCs w:val="17"/>
                            </w:rPr>
                            <w:t>. - Milešovka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198.4pt;margin-top:34.8pt;width:200.4pt;height:1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" filled="f" stroked="f">
              <v:textbox style="mso-fit-shape-to-text:t" inset="0,0,0,0">
                <w:txbxContent>
                  <w:p w:rsidR="002C5302" w:rsidRDefault="008F4F2E">
                    <w:pPr>
                      <w:pStyle w:val="Style2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C0C0C0"/>
                        <w:sz w:val="17"/>
                        <w:szCs w:val="17"/>
                      </w:rPr>
                      <w:t xml:space="preserve">- Nájemní smlouva Povodí Ohře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C0C0C0"/>
                        <w:sz w:val="17"/>
                        <w:szCs w:val="17"/>
                      </w:rPr>
                      <w:t>s.p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C0C0C0"/>
                        <w:sz w:val="17"/>
                        <w:szCs w:val="17"/>
                      </w:rPr>
                      <w:t>. - Milešovka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98E"/>
    <w:multiLevelType w:val="multilevel"/>
    <w:tmpl w:val="932444D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C5FEF"/>
    <w:multiLevelType w:val="multilevel"/>
    <w:tmpl w:val="4AFAD034"/>
    <w:lvl w:ilvl="0">
      <w:start w:val="1"/>
      <w:numFmt w:val="decimal"/>
      <w:lvlText w:val="4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D1EEF"/>
    <w:multiLevelType w:val="multilevel"/>
    <w:tmpl w:val="D82A603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55241"/>
    <w:multiLevelType w:val="multilevel"/>
    <w:tmpl w:val="B2084EB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75DA2"/>
    <w:multiLevelType w:val="multilevel"/>
    <w:tmpl w:val="A88A5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835A07"/>
    <w:multiLevelType w:val="multilevel"/>
    <w:tmpl w:val="E9F28EC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2C641D"/>
    <w:multiLevelType w:val="multilevel"/>
    <w:tmpl w:val="E464880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CE152E"/>
    <w:multiLevelType w:val="multilevel"/>
    <w:tmpl w:val="80909C12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97565"/>
    <w:multiLevelType w:val="multilevel"/>
    <w:tmpl w:val="E766D3D2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745D9B"/>
    <w:multiLevelType w:val="multilevel"/>
    <w:tmpl w:val="93C222E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865B7D"/>
    <w:multiLevelType w:val="multilevel"/>
    <w:tmpl w:val="188059C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DA50FF"/>
    <w:multiLevelType w:val="multilevel"/>
    <w:tmpl w:val="01F0959A"/>
    <w:lvl w:ilvl="0">
      <w:start w:val="1"/>
      <w:numFmt w:val="decimal"/>
      <w:lvlText w:val="4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A912EA"/>
    <w:multiLevelType w:val="multilevel"/>
    <w:tmpl w:val="9D1EF3EA"/>
    <w:lvl w:ilvl="0">
      <w:start w:val="2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835149"/>
    <w:multiLevelType w:val="multilevel"/>
    <w:tmpl w:val="60FC42D6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2A0C96"/>
    <w:multiLevelType w:val="multilevel"/>
    <w:tmpl w:val="28B62A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F41D01"/>
    <w:multiLevelType w:val="multilevel"/>
    <w:tmpl w:val="DB84D4EC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2"/>
  </w:num>
  <w:num w:numId="14">
    <w:abstractNumId w:val="3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02"/>
    <w:rsid w:val="00176CD9"/>
    <w:rsid w:val="002C5302"/>
    <w:rsid w:val="008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E63B"/>
  <w15:docId w15:val="{BB0F789A-4270-4832-8167-705901C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180" w:line="266" w:lineRule="auto"/>
    </w:pPr>
    <w:rPr>
      <w:rFonts w:ascii="Arial" w:eastAsia="Arial" w:hAnsi="Arial" w:cs="Arial"/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60" w:line="360" w:lineRule="auto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520"/>
    </w:pPr>
    <w:rPr>
      <w:rFonts w:ascii="Arial" w:eastAsia="Arial" w:hAnsi="Arial" w:cs="Arial"/>
      <w:b/>
      <w:bCs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10" w:line="264" w:lineRule="auto"/>
      <w:ind w:left="53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80" w:line="266" w:lineRule="auto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80" w:line="26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180" w:line="266" w:lineRule="auto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-pr@po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2786</Words>
  <Characters>16442</Characters>
  <Application>Microsoft Office Word</Application>
  <DocSecurity>0</DocSecurity>
  <Lines>137</Lines>
  <Paragraphs>38</Paragraphs>
  <ScaleCrop>false</ScaleCrop>
  <Company/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Alice Flesarová</dc:creator>
  <cp:keywords/>
  <cp:lastModifiedBy>Michaela Toušková (Povodí Ohře)</cp:lastModifiedBy>
  <cp:revision>3</cp:revision>
  <dcterms:created xsi:type="dcterms:W3CDTF">2024-11-22T06:47:00Z</dcterms:created>
  <dcterms:modified xsi:type="dcterms:W3CDTF">2024-11-22T06:50:00Z</dcterms:modified>
</cp:coreProperties>
</file>