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w:t>
      </w:r>
      <w:bookmarkEnd w:id="0"/>
      <w:bookmarkEnd w:id="1"/>
      <w:bookmarkEnd w:id="2"/>
    </w:p>
    <w:p>
      <w:pPr>
        <w:pStyle w:val="Style2"/>
        <w:keepNext/>
        <w:keepLines/>
        <w:widowControl w:val="0"/>
        <w:shd w:val="clear" w:color="auto" w:fill="auto"/>
        <w:bidi w:val="0"/>
        <w:spacing w:before="0" w:after="20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ke SMLOUVĚ O DÍLO</w:t>
      </w:r>
      <w:bookmarkEnd w:id="3"/>
      <w:bookmarkEnd w:id="4"/>
      <w:bookmarkEnd w:id="5"/>
    </w:p>
    <w:p>
      <w:pPr>
        <w:pStyle w:val="Style2"/>
        <w:keepNext/>
        <w:keepLines/>
        <w:widowControl w:val="0"/>
        <w:shd w:val="clear" w:color="auto" w:fill="auto"/>
        <w:bidi w:val="0"/>
        <w:spacing w:before="0" w:after="200" w:line="240" w:lineRule="auto"/>
        <w:ind w:left="0" w:right="0" w:firstLine="0"/>
        <w:jc w:val="left"/>
        <w:rPr>
          <w:sz w:val="24"/>
          <w:szCs w:val="24"/>
        </w:rPr>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2"/>
        <w:keepNext/>
        <w:keepLines/>
        <w:widowControl w:val="0"/>
        <w:shd w:val="clear" w:color="auto" w:fill="auto"/>
        <w:bidi w:val="0"/>
        <w:spacing w:before="0" w:after="0" w:line="221" w:lineRule="auto"/>
        <w:ind w:left="0" w:right="0" w:firstLine="0"/>
        <w:jc w:val="center"/>
        <w:rPr>
          <w:sz w:val="24"/>
          <w:szCs w:val="24"/>
        </w:rPr>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Číslo smlouvy objednatele: 996/2024</w:t>
      </w:r>
      <w:bookmarkEnd w:id="10"/>
      <w:bookmarkEnd w:id="11"/>
      <w:bookmarkEnd w:id="9"/>
    </w:p>
    <w:p>
      <w:pPr>
        <w:pStyle w:val="Style2"/>
        <w:keepNext/>
        <w:keepLines/>
        <w:widowControl w:val="0"/>
        <w:shd w:val="clear" w:color="auto" w:fill="auto"/>
        <w:bidi w:val="0"/>
        <w:spacing w:before="0" w:after="200" w:line="221" w:lineRule="auto"/>
        <w:ind w:left="0" w:right="0" w:firstLine="0"/>
        <w:jc w:val="center"/>
        <w:rPr>
          <w:sz w:val="24"/>
          <w:szCs w:val="24"/>
        </w:rPr>
      </w:pPr>
      <w:bookmarkStart w:id="12" w:name="bookmark12"/>
      <w:bookmarkStart w:id="13" w:name="bookmark13"/>
      <w:bookmarkStart w:id="14" w:name="bookmark14"/>
      <w:r>
        <w:rPr>
          <w:color w:val="000000"/>
          <w:spacing w:val="0"/>
          <w:w w:val="100"/>
          <w:position w:val="0"/>
          <w:sz w:val="24"/>
          <w:szCs w:val="24"/>
          <w:shd w:val="clear" w:color="auto" w:fill="auto"/>
          <w:lang w:val="cs-CZ" w:eastAsia="cs-CZ" w:bidi="cs-CZ"/>
        </w:rPr>
        <w:t>Číslo smlouvy zhotovitele: 100548/2024</w:t>
      </w:r>
      <w:bookmarkEnd w:id="12"/>
      <w:bookmarkEnd w:id="13"/>
      <w:bookmarkEnd w:id="14"/>
    </w:p>
    <w:p>
      <w:pPr>
        <w:pStyle w:val="Style10"/>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200" w:line="221" w:lineRule="auto"/>
        <w:ind w:left="0" w:right="0" w:firstLine="0"/>
        <w:jc w:val="center"/>
      </w:pPr>
      <w:r>
        <w:rPr>
          <w:b/>
          <w:bCs/>
          <w:color w:val="000000"/>
          <w:spacing w:val="0"/>
          <w:w w:val="100"/>
          <w:position w:val="0"/>
          <w:sz w:val="24"/>
          <w:szCs w:val="24"/>
          <w:shd w:val="clear" w:color="auto" w:fill="auto"/>
          <w:lang w:val="cs-CZ" w:eastAsia="cs-CZ" w:bidi="cs-CZ"/>
        </w:rPr>
        <w:t>“</w:t>
      </w:r>
      <w:r>
        <w:rPr>
          <w:b/>
          <w:bCs/>
          <w:color w:val="000000"/>
          <w:spacing w:val="0"/>
          <w:w w:val="100"/>
          <w:position w:val="0"/>
          <w:shd w:val="clear" w:color="auto" w:fill="auto"/>
          <w:lang w:val="cs-CZ" w:eastAsia="cs-CZ" w:bidi="cs-CZ"/>
        </w:rPr>
        <w:t>MVE Fláje, pravá SV - vyvedení výkonu do elektroměrového rozvaděče”</w:t>
      </w:r>
    </w:p>
    <w:p>
      <w:pPr>
        <w:pStyle w:val="Style2"/>
        <w:keepNext/>
        <w:keepLines/>
        <w:widowControl w:val="0"/>
        <w:shd w:val="clear" w:color="auto" w:fill="auto"/>
        <w:bidi w:val="0"/>
        <w:spacing w:before="0" w:after="20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pStyle w:val="Style2"/>
        <w:keepNext/>
        <w:keepLines/>
        <w:widowControl w:val="0"/>
        <w:shd w:val="clear" w:color="auto" w:fill="auto"/>
        <w:tabs>
          <w:tab w:pos="2767" w:val="left"/>
        </w:tabs>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objednatel:</w:t>
        <w:tab/>
        <w:t>Povodí Ohře, státní podnik</w:t>
      </w:r>
      <w:bookmarkEnd w:id="18"/>
      <w:bookmarkEnd w:id="19"/>
      <w:bookmarkEnd w:id="20"/>
    </w:p>
    <w:p>
      <w:pPr>
        <w:pStyle w:val="Style2"/>
        <w:keepNext/>
        <w:keepLines/>
        <w:widowControl w:val="0"/>
        <w:shd w:val="clear" w:color="auto" w:fill="auto"/>
        <w:tabs>
          <w:tab w:pos="2767"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sídlo:</w:t>
        <w:tab/>
        <w:t>Bezručova 4219, 430 03 Chomutov</w:t>
      </w:r>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statutární orgán:</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oprávněn k podpisu smlouvy</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a k jednání o věcech smluvních:</w:t>
      </w:r>
      <w:bookmarkEnd w:id="30"/>
      <w:bookmarkEnd w:id="31"/>
      <w:bookmarkEnd w:id="32"/>
    </w:p>
    <w:p>
      <w:pPr>
        <w:pStyle w:val="Style2"/>
        <w:keepNext/>
        <w:keepLines/>
        <w:widowControl w:val="0"/>
        <w:shd w:val="clear" w:color="auto" w:fill="auto"/>
        <w:bidi w:val="0"/>
        <w:spacing w:before="0" w:after="20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oprávněn jednat o věcech technických:</w:t>
      </w:r>
      <w:bookmarkEnd w:id="33"/>
      <w:bookmarkEnd w:id="34"/>
      <w:bookmarkEnd w:id="35"/>
    </w:p>
    <w:p>
      <w:pPr>
        <w:pStyle w:val="Style2"/>
        <w:keepNext/>
        <w:keepLines/>
        <w:widowControl w:val="0"/>
        <w:shd w:val="clear" w:color="auto" w:fill="auto"/>
        <w:bidi w:val="0"/>
        <w:spacing w:before="0" w:after="20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technický dozor objednatele:</w:t>
      </w:r>
      <w:bookmarkEnd w:id="36"/>
      <w:bookmarkEnd w:id="37"/>
      <w:bookmarkEnd w:id="38"/>
    </w:p>
    <w:p>
      <w:pPr>
        <w:pStyle w:val="Style2"/>
        <w:keepNext/>
        <w:keepLines/>
        <w:widowControl w:val="0"/>
        <w:shd w:val="clear" w:color="auto" w:fill="auto"/>
        <w:tabs>
          <w:tab w:pos="2767"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IČO:</w:t>
        <w:tab/>
        <w:t>70889988</w:t>
      </w:r>
      <w:bookmarkEnd w:id="39"/>
      <w:bookmarkEnd w:id="40"/>
      <w:bookmarkEnd w:id="41"/>
    </w:p>
    <w:p>
      <w:pPr>
        <w:pStyle w:val="Style2"/>
        <w:keepNext/>
        <w:keepLines/>
        <w:widowControl w:val="0"/>
        <w:shd w:val="clear" w:color="auto" w:fill="auto"/>
        <w:tabs>
          <w:tab w:pos="2767"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DIČ:</w:t>
        <w:tab/>
        <w:t>CZ70889988</w:t>
      </w:r>
      <w:bookmarkEnd w:id="42"/>
      <w:bookmarkEnd w:id="43"/>
      <w:bookmarkEnd w:id="44"/>
    </w:p>
    <w:p>
      <w:pPr>
        <w:pStyle w:val="Style2"/>
        <w:keepNext/>
        <w:keepLines/>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bankovní spojení:</w:t>
      </w:r>
      <w:bookmarkEnd w:id="45"/>
      <w:bookmarkEnd w:id="46"/>
      <w:bookmarkEnd w:id="47"/>
    </w:p>
    <w:p>
      <w:pPr>
        <w:pStyle w:val="Style2"/>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číslo účtu:</w:t>
      </w:r>
      <w:bookmarkEnd w:id="48"/>
      <w:bookmarkEnd w:id="49"/>
      <w:bookmarkEnd w:id="50"/>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(dále jen „objednatel“)</w:t>
      </w:r>
      <w:bookmarkEnd w:id="51"/>
      <w:bookmarkEnd w:id="52"/>
      <w:bookmarkEnd w:id="53"/>
    </w:p>
    <w:p>
      <w:pPr>
        <w:pStyle w:val="Style2"/>
        <w:keepNext/>
        <w:keepLines/>
        <w:widowControl w:val="0"/>
        <w:shd w:val="clear" w:color="auto" w:fill="auto"/>
        <w:bidi w:val="0"/>
        <w:spacing w:before="0" w:after="200" w:line="240" w:lineRule="auto"/>
        <w:ind w:left="0" w:right="0" w:firstLine="0"/>
        <w:jc w:val="left"/>
      </w:pPr>
      <w:bookmarkStart w:id="54" w:name="bookmark54"/>
      <w:bookmarkStart w:id="55" w:name="bookmark55"/>
      <w:bookmarkStart w:id="56" w:name="bookmark56"/>
      <w:r>
        <w:rPr>
          <w:b/>
          <w:bCs/>
          <w:color w:val="000000"/>
          <w:spacing w:val="0"/>
          <w:w w:val="100"/>
          <w:position w:val="0"/>
          <w:shd w:val="clear" w:color="auto" w:fill="auto"/>
          <w:lang w:val="cs-CZ" w:eastAsia="cs-CZ" w:bidi="cs-CZ"/>
        </w:rPr>
        <w:t>a</w:t>
      </w:r>
      <w:bookmarkEnd w:id="54"/>
      <w:bookmarkEnd w:id="55"/>
      <w:bookmarkEnd w:id="56"/>
    </w:p>
    <w:p>
      <w:pPr>
        <w:pStyle w:val="Style2"/>
        <w:keepNext/>
        <w:keepLines/>
        <w:widowControl w:val="0"/>
        <w:shd w:val="clear" w:color="auto" w:fill="auto"/>
        <w:tabs>
          <w:tab w:pos="2767" w:val="left"/>
        </w:tabs>
        <w:bidi w:val="0"/>
        <w:spacing w:before="0" w:after="0" w:line="240" w:lineRule="auto"/>
        <w:ind w:left="0" w:right="0" w:firstLine="0"/>
        <w:jc w:val="left"/>
      </w:pPr>
      <w:bookmarkStart w:id="57" w:name="bookmark57"/>
      <w:bookmarkStart w:id="58" w:name="bookmark58"/>
      <w:bookmarkStart w:id="59" w:name="bookmark59"/>
      <w:r>
        <w:rPr>
          <w:b/>
          <w:bCs/>
          <w:color w:val="000000"/>
          <w:spacing w:val="0"/>
          <w:w w:val="100"/>
          <w:position w:val="0"/>
          <w:shd w:val="clear" w:color="auto" w:fill="auto"/>
          <w:lang w:val="cs-CZ" w:eastAsia="cs-CZ" w:bidi="cs-CZ"/>
        </w:rPr>
        <w:t>zhotovitel:</w:t>
        <w:tab/>
        <w:t>CLIQOR, s.r.o.</w:t>
      </w:r>
      <w:bookmarkEnd w:id="57"/>
      <w:bookmarkEnd w:id="58"/>
      <w:bookmarkEnd w:id="59"/>
    </w:p>
    <w:p>
      <w:pPr>
        <w:pStyle w:val="Style2"/>
        <w:keepNext/>
        <w:keepLines/>
        <w:widowControl w:val="0"/>
        <w:shd w:val="clear" w:color="auto" w:fill="auto"/>
        <w:tabs>
          <w:tab w:pos="2767" w:val="left"/>
        </w:tabs>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sídlo:</w:t>
        <w:tab/>
        <w:t>Bartoškova 1411/20,140 00 Praha 4 - Nusle</w:t>
      </w:r>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oprávněn(i) k podpisu smlouvy:</w:t>
      </w:r>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oprávněn(i) jednat o věcech smluvních:</w:t>
      </w:r>
      <w:bookmarkEnd w:id="66"/>
      <w:bookmarkEnd w:id="67"/>
      <w:bookmarkEnd w:id="68"/>
    </w:p>
    <w:p>
      <w:pPr>
        <w:pStyle w:val="Style2"/>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oprávněn(i) jednat o věcech technických:</w:t>
      </w:r>
      <w:bookmarkEnd w:id="69"/>
      <w:bookmarkEnd w:id="70"/>
      <w:bookmarkEnd w:id="71"/>
    </w:p>
    <w:p>
      <w:pPr>
        <w:pStyle w:val="Style2"/>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stavbyvedoucí:</w:t>
      </w:r>
      <w:bookmarkEnd w:id="72"/>
      <w:bookmarkEnd w:id="73"/>
      <w:bookmarkEnd w:id="74"/>
    </w:p>
    <w:p>
      <w:pPr>
        <w:pStyle w:val="Style2"/>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manažer stavby:</w:t>
      </w:r>
      <w:bookmarkEnd w:id="75"/>
      <w:bookmarkEnd w:id="76"/>
      <w:bookmarkEnd w:id="77"/>
    </w:p>
    <w:p>
      <w:pPr>
        <w:pStyle w:val="Style2"/>
        <w:keepNext/>
        <w:keepLines/>
        <w:widowControl w:val="0"/>
        <w:shd w:val="clear" w:color="auto" w:fill="auto"/>
        <w:tabs>
          <w:tab w:pos="2767" w:val="left"/>
        </w:tabs>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IČO:</w:t>
        <w:tab/>
        <w:t>05405891</w:t>
      </w:r>
      <w:bookmarkEnd w:id="78"/>
      <w:bookmarkEnd w:id="79"/>
      <w:bookmarkEnd w:id="80"/>
    </w:p>
    <w:p>
      <w:pPr>
        <w:pStyle w:val="Style2"/>
        <w:keepNext/>
        <w:keepLines/>
        <w:widowControl w:val="0"/>
        <w:shd w:val="clear" w:color="auto" w:fill="auto"/>
        <w:tabs>
          <w:tab w:pos="2767" w:val="left"/>
        </w:tabs>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DIČ:</w:t>
        <w:tab/>
        <w:t>CZ05405891</w:t>
      </w:r>
      <w:bookmarkEnd w:id="81"/>
      <w:bookmarkEnd w:id="82"/>
      <w:bookmarkEnd w:id="83"/>
    </w:p>
    <w:p>
      <w:pPr>
        <w:pStyle w:val="Style2"/>
        <w:keepNext/>
        <w:keepLines/>
        <w:widowControl w:val="0"/>
        <w:shd w:val="clear" w:color="auto" w:fill="auto"/>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bankovní spojení:</w:t>
      </w:r>
      <w:bookmarkEnd w:id="84"/>
      <w:bookmarkEnd w:id="85"/>
      <w:bookmarkEnd w:id="86"/>
    </w:p>
    <w:p>
      <w:pPr>
        <w:pStyle w:val="Style2"/>
        <w:keepNext/>
        <w:keepLines/>
        <w:widowControl w:val="0"/>
        <w:shd w:val="clear" w:color="auto" w:fill="auto"/>
        <w:bidi w:val="0"/>
        <w:spacing w:before="0" w:after="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číslo účtu:</w:t>
      </w:r>
      <w:bookmarkEnd w:id="87"/>
      <w:bookmarkEnd w:id="88"/>
      <w:bookmarkEnd w:id="89"/>
    </w:p>
    <w:p>
      <w:pPr>
        <w:pStyle w:val="Style2"/>
        <w:keepNext/>
        <w:keepLines/>
        <w:widowControl w:val="0"/>
        <w:shd w:val="clear" w:color="auto" w:fill="auto"/>
        <w:bidi w:val="0"/>
        <w:spacing w:before="0" w:after="0" w:line="240" w:lineRule="auto"/>
        <w:ind w:left="0" w:right="0" w:firstLine="0"/>
        <w:jc w:val="left"/>
      </w:pPr>
      <w:bookmarkStart w:id="90" w:name="bookmark90"/>
      <w:bookmarkStart w:id="91" w:name="bookmark91"/>
      <w:bookmarkStart w:id="92" w:name="bookmark92"/>
      <w:r>
        <w:rPr>
          <w:color w:val="000000"/>
          <w:spacing w:val="0"/>
          <w:w w:val="100"/>
          <w:position w:val="0"/>
          <w:shd w:val="clear" w:color="auto" w:fill="auto"/>
          <w:lang w:val="cs-CZ" w:eastAsia="cs-CZ" w:bidi="cs-CZ"/>
        </w:rPr>
        <w:t>zápis v obchodním rejstříku: u Městského soudu v Praze, C 263201</w:t>
      </w:r>
      <w:bookmarkEnd w:id="90"/>
      <w:bookmarkEnd w:id="91"/>
      <w:bookmarkEnd w:id="92"/>
    </w:p>
    <w:p>
      <w:pPr>
        <w:pStyle w:val="Style2"/>
        <w:keepNext/>
        <w:keepLines/>
        <w:widowControl w:val="0"/>
        <w:shd w:val="clear" w:color="auto" w:fill="auto"/>
        <w:tabs>
          <w:tab w:pos="2767" w:val="left"/>
        </w:tabs>
        <w:bidi w:val="0"/>
        <w:spacing w:before="0" w:after="0" w:line="240" w:lineRule="auto"/>
        <w:ind w:left="0" w:right="0" w:firstLine="0"/>
        <w:jc w:val="left"/>
      </w:pPr>
      <w:bookmarkStart w:id="93" w:name="bookmark93"/>
      <w:bookmarkStart w:id="94" w:name="bookmark94"/>
      <w:bookmarkStart w:id="95" w:name="bookmark95"/>
      <w:r>
        <w:rPr>
          <w:color w:val="000000"/>
          <w:spacing w:val="0"/>
          <w:w w:val="100"/>
          <w:position w:val="0"/>
          <w:shd w:val="clear" w:color="auto" w:fill="auto"/>
          <w:lang w:val="cs-CZ" w:eastAsia="cs-CZ" w:bidi="cs-CZ"/>
        </w:rPr>
        <w:t>tel.:</w:t>
        <w:tab/>
        <w:t>e-mail:</w:t>
      </w:r>
      <w:bookmarkEnd w:id="93"/>
      <w:bookmarkEnd w:id="94"/>
      <w:bookmarkEnd w:id="95"/>
    </w:p>
    <w:p>
      <w:pPr>
        <w:pStyle w:val="Style2"/>
        <w:keepNext/>
        <w:keepLines/>
        <w:widowControl w:val="0"/>
        <w:shd w:val="clear" w:color="auto" w:fill="auto"/>
        <w:bidi w:val="0"/>
        <w:spacing w:before="0" w:after="200" w:line="240" w:lineRule="auto"/>
        <w:ind w:left="0" w:right="0" w:firstLine="0"/>
        <w:jc w:val="left"/>
      </w:pPr>
      <w:bookmarkStart w:id="96" w:name="bookmark96"/>
      <w:bookmarkStart w:id="97" w:name="bookmark97"/>
      <w:bookmarkStart w:id="98" w:name="bookmark98"/>
      <w:r>
        <w:rPr>
          <w:color w:val="000000"/>
          <w:spacing w:val="0"/>
          <w:w w:val="100"/>
          <w:position w:val="0"/>
          <w:shd w:val="clear" w:color="auto" w:fill="auto"/>
          <w:lang w:val="cs-CZ" w:eastAsia="cs-CZ" w:bidi="cs-CZ"/>
        </w:rPr>
        <w:t>(dále jen „zhotovitel“)</w:t>
      </w:r>
      <w:bookmarkEnd w:id="96"/>
      <w:bookmarkEnd w:id="97"/>
      <w:bookmarkEnd w:id="98"/>
    </w:p>
    <w:p>
      <w:pPr>
        <w:pStyle w:val="Style2"/>
        <w:keepNext/>
        <w:keepLines/>
        <w:widowControl w:val="0"/>
        <w:shd w:val="clear" w:color="auto" w:fill="auto"/>
        <w:bidi w:val="0"/>
        <w:spacing w:before="0" w:after="200" w:line="240" w:lineRule="auto"/>
        <w:ind w:left="0" w:right="0" w:firstLine="0"/>
        <w:jc w:val="both"/>
      </w:pPr>
      <w:bookmarkStart w:id="100" w:name="bookmark100"/>
      <w:bookmarkStart w:id="101" w:name="bookmark101"/>
      <w:bookmarkStart w:id="99" w:name="bookmark99"/>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bookmarkEnd w:id="100"/>
      <w:bookmarkEnd w:id="101"/>
      <w:bookmarkEnd w:id="99"/>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 změnu:</w:t>
      </w:r>
    </w:p>
    <w:p>
      <w:pPr>
        <w:pStyle w:val="Style10"/>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102" w:name="bookmark102"/>
      <w:bookmarkEnd w:id="102"/>
      <w:r>
        <w:rPr>
          <w:b/>
          <w:bCs/>
          <w:color w:val="000000"/>
          <w:spacing w:val="0"/>
          <w:w w:val="100"/>
          <w:position w:val="0"/>
          <w:shd w:val="clear" w:color="auto" w:fill="auto"/>
          <w:lang w:val="cs-CZ" w:eastAsia="cs-CZ" w:bidi="cs-CZ"/>
        </w:rPr>
        <w:t xml:space="preserve">oprava písařské chyby </w:t>
      </w:r>
      <w:r>
        <w:rPr>
          <w:color w:val="000000"/>
          <w:spacing w:val="0"/>
          <w:w w:val="100"/>
          <w:position w:val="0"/>
          <w:shd w:val="clear" w:color="auto" w:fill="auto"/>
          <w:lang w:val="cs-CZ" w:eastAsia="cs-CZ" w:bidi="cs-CZ"/>
        </w:rPr>
        <w:t>– číslo smlouvy objednatele</w:t>
      </w:r>
    </w:p>
    <w:p>
      <w:pPr>
        <w:pStyle w:val="Style10"/>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103" w:name="bookmark103"/>
      <w:bookmarkEnd w:id="103"/>
      <w:r>
        <w:rPr>
          <w:b/>
          <w:bCs/>
          <w:color w:val="000000"/>
          <w:spacing w:val="0"/>
          <w:w w:val="100"/>
          <w:position w:val="0"/>
          <w:shd w:val="clear" w:color="auto" w:fill="auto"/>
          <w:lang w:val="cs-CZ" w:eastAsia="cs-CZ" w:bidi="cs-CZ"/>
        </w:rPr>
        <w:t>účelu a předmětu smlouvy</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11.11.2024,</w:t>
      </w:r>
    </w:p>
    <w:p>
      <w:pPr>
        <w:pStyle w:val="Style10"/>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104" w:name="bookmark104"/>
      <w:bookmarkEnd w:id="104"/>
      <w:r>
        <w:rPr>
          <w:b/>
          <w:bCs/>
          <w:color w:val="000000"/>
          <w:spacing w:val="0"/>
          <w:w w:val="100"/>
          <w:position w:val="0"/>
          <w:shd w:val="clear" w:color="auto" w:fill="auto"/>
          <w:lang w:val="cs-CZ" w:eastAsia="cs-CZ" w:bidi="cs-CZ"/>
        </w:rPr>
        <w:t>ceny díla</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Tyto změny jsou obsahem Přílohy č. 1. Oceněného soupisu prací změn závazku ze dne 11.11.2024, odsouhlaseného oběma smluvními stranami. Tato změna závazku ze smlouvy v souvislosti se zadáním dalších prací nemění celkovou povahu veřejné zakázky.</w:t>
      </w:r>
    </w:p>
    <w:p>
      <w:pPr>
        <w:pStyle w:val="Style10"/>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10"/>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105" w:name="bookmark105"/>
      <w:bookmarkEnd w:id="105"/>
      <w:r>
        <w:rPr>
          <w:b/>
          <w:bCs/>
          <w:color w:val="000000"/>
          <w:spacing w:val="0"/>
          <w:w w:val="100"/>
          <w:position w:val="0"/>
          <w:shd w:val="clear" w:color="auto" w:fill="auto"/>
          <w:lang w:val="cs-CZ" w:eastAsia="cs-CZ" w:bidi="cs-CZ"/>
        </w:rPr>
        <w:t xml:space="preserve">číslo smlouvy objednatele </w:t>
      </w:r>
      <w:r>
        <w:rPr>
          <w:color w:val="000000"/>
          <w:spacing w:val="0"/>
          <w:w w:val="100"/>
          <w:position w:val="0"/>
          <w:shd w:val="clear" w:color="auto" w:fill="auto"/>
          <w:lang w:val="cs-CZ" w:eastAsia="cs-CZ" w:bidi="cs-CZ"/>
        </w:rPr>
        <w:t>z nesprávně uvedeného 960/2024 na správně 996/2024.</w:t>
      </w:r>
    </w:p>
    <w:p>
      <w:pPr>
        <w:pStyle w:val="Style10"/>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106" w:name="bookmark106"/>
      <w:bookmarkEnd w:id="106"/>
      <w:r>
        <w:rPr>
          <w:b/>
          <w:bCs/>
          <w:color w:val="000000"/>
          <w:spacing w:val="0"/>
          <w:w w:val="100"/>
          <w:position w:val="0"/>
          <w:shd w:val="clear" w:color="auto" w:fill="auto"/>
          <w:lang w:val="cs-CZ" w:eastAsia="cs-CZ" w:bidi="cs-CZ"/>
        </w:rPr>
        <w:t xml:space="preserve">Čl. I. Účel a předmět smlouvy </w:t>
      </w:r>
      <w:r>
        <w:rPr>
          <w:color w:val="000000"/>
          <w:spacing w:val="0"/>
          <w:w w:val="100"/>
          <w:position w:val="0"/>
          <w:shd w:val="clear" w:color="auto" w:fill="auto"/>
          <w:lang w:val="cs-CZ" w:eastAsia="cs-CZ" w:bidi="cs-CZ"/>
        </w:rPr>
        <w:t>se mění v rozsahu přílohy tohoto dodatku – Oceněného soupisu prací změn závazku ze dne 11.11.2024, který se tímto stává nedílnou součástí smlouvy.</w:t>
      </w:r>
    </w:p>
    <w:p>
      <w:pPr>
        <w:pStyle w:val="Style10"/>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107" w:name="bookmark107"/>
      <w:bookmarkEnd w:id="107"/>
      <w:r>
        <w:rPr>
          <w:b/>
          <w:bCs/>
          <w:color w:val="000000"/>
          <w:spacing w:val="0"/>
          <w:w w:val="100"/>
          <w:position w:val="0"/>
          <w:shd w:val="clear" w:color="auto" w:fill="auto"/>
          <w:lang w:val="cs-CZ" w:eastAsia="cs-CZ" w:bidi="cs-CZ"/>
        </w:rPr>
        <w:t>Čl. III. Cenové a platební podmínky, bod 1.:</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MVE Fláje, pravá SV – vyvedení výkonu do elektroměrového rozvaděče</w:t>
      </w:r>
    </w:p>
    <w:p>
      <w:pPr>
        <w:pStyle w:val="Style10"/>
        <w:keepNext w:val="0"/>
        <w:keepLines w:val="0"/>
        <w:widowControl w:val="0"/>
        <w:shd w:val="clear" w:color="auto" w:fill="auto"/>
        <w:tabs>
          <w:tab w:pos="830" w:val="left"/>
        </w:tabs>
        <w:bidi w:val="0"/>
        <w:spacing w:before="0" w:after="0" w:line="240" w:lineRule="auto"/>
        <w:ind w:left="0" w:right="0" w:firstLine="0"/>
        <w:jc w:val="both"/>
      </w:pPr>
      <w:r>
        <w:rPr>
          <w:color w:val="000000"/>
          <w:spacing w:val="0"/>
          <w:w w:val="100"/>
          <w:position w:val="0"/>
          <w:shd w:val="clear" w:color="auto" w:fill="auto"/>
          <w:lang w:val="cs-CZ" w:eastAsia="cs-CZ" w:bidi="cs-CZ"/>
        </w:rPr>
        <w:t>01</w:t>
        <w:tab/>
        <w:t>Stavební úpravy</w:t>
      </w:r>
    </w:p>
    <w:p>
      <w:pPr>
        <w:pStyle w:val="Style10"/>
        <w:keepNext w:val="0"/>
        <w:keepLines w:val="0"/>
        <w:widowControl w:val="0"/>
        <w:shd w:val="clear" w:color="auto" w:fill="auto"/>
        <w:tabs>
          <w:tab w:pos="830" w:val="left"/>
        </w:tabs>
        <w:bidi w:val="0"/>
        <w:spacing w:before="0" w:after="200" w:line="240" w:lineRule="auto"/>
        <w:ind w:left="0" w:right="0" w:firstLine="0"/>
        <w:jc w:val="both"/>
      </w:pPr>
      <w:r>
        <w:rPr>
          <w:color w:val="000000"/>
          <w:spacing w:val="0"/>
          <w:w w:val="100"/>
          <w:position w:val="0"/>
          <w:shd w:val="clear" w:color="auto" w:fill="auto"/>
          <w:lang w:val="cs-CZ" w:eastAsia="cs-CZ" w:bidi="cs-CZ"/>
        </w:rPr>
        <w:t>02</w:t>
        <w:tab/>
        <w:t>Ostatní a vedlejší náklady</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Původní znění:</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 za předmět díla: 1 156 424,55 Kč</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(slovy: jeden milion jedno sto padesát šest tisíc čtyři sta dvacet čtyři korun českých padesát pět haléřů)</w:t>
      </w:r>
      <w:r>
        <w:br w:type="page"/>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w:t>
      </w:r>
    </w:p>
    <w:p>
      <w:pPr>
        <w:pStyle w:val="Style10"/>
        <w:keepNext w:val="0"/>
        <w:keepLines w:val="0"/>
        <w:widowControl w:val="0"/>
        <w:shd w:val="clear" w:color="auto" w:fill="auto"/>
        <w:tabs>
          <w:tab w:pos="5659"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Celková smluvní cena bez DPH za předmět díla:</w:t>
        <w:tab/>
        <w:t>1 226 963,62 Kč</w:t>
      </w:r>
    </w:p>
    <w:p>
      <w:pPr>
        <w:pStyle w:val="Style10"/>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cs-CZ" w:eastAsia="cs-CZ" w:bidi="cs-CZ"/>
        </w:rPr>
        <w:t>(slovy: jeden milion dvě stě dvacet šest tisíc devět set šedesát tři korun českých šedesát dva haléřů)</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Tento dodatek ke smlouvě nabývá platnosti dnem jeho podpisu poslední ze smluvních stran účinnosti zveřejněním v Registru smluv, pokud této účinnosti dle příslušných ustanovení dodatku ke smlouvě nenabude později.</w:t>
      </w:r>
    </w:p>
    <w:p>
      <w:pPr>
        <w:pStyle w:val="Style10"/>
        <w:keepNext w:val="0"/>
        <w:keepLines w:val="0"/>
        <w:widowControl w:val="0"/>
        <w:shd w:val="clear" w:color="auto" w:fill="auto"/>
        <w:bidi w:val="0"/>
        <w:spacing w:before="0" w:after="1460" w:line="240" w:lineRule="auto"/>
        <w:ind w:left="0" w:right="0" w:firstLine="0"/>
        <w:jc w:val="both"/>
      </w:pPr>
      <w:r>
        <w:rPr>
          <w:color w:val="000000"/>
          <w:spacing w:val="0"/>
          <w:w w:val="100"/>
          <w:position w:val="0"/>
          <w:shd w:val="clear" w:color="auto" w:fill="auto"/>
          <w:lang w:val="cs-CZ" w:eastAsia="cs-CZ" w:bidi="cs-CZ"/>
        </w:rPr>
        <w:t>Plnění předmětu tohoto dodatku smlouvy před účinností tohoto dodatku smlouvy se považuje za plnění podle tohoto dodatku smlouvy a práva a povinnosti z něj vzniklé se řídí tímto dodatkem smlouvy.</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Nedílnou součástí tohoto dodatku je:</w:t>
      </w:r>
    </w:p>
    <w:p>
      <w:pPr>
        <w:pStyle w:val="Style10"/>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926" w:left="1394" w:right="1389" w:bottom="2872" w:header="498"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č.1 Oceněný soupis prací změn závazku ze dne 11.11.2024</w:t>
      </w:r>
    </w:p>
    <w:p>
      <w:pPr>
        <w:widowControl w:val="0"/>
        <w:spacing w:line="200" w:lineRule="exact"/>
        <w:rPr>
          <w:sz w:val="16"/>
          <w:szCs w:val="16"/>
        </w:rPr>
      </w:pPr>
    </w:p>
    <w:p>
      <w:pPr>
        <w:widowControl w:val="0"/>
        <w:spacing w:line="1" w:lineRule="exact"/>
        <w:sectPr>
          <w:footnotePr>
            <w:pos w:val="pageBottom"/>
            <w:numFmt w:val="decimal"/>
            <w:numRestart w:val="continuous"/>
          </w:footnotePr>
          <w:type w:val="continuous"/>
          <w:pgSz w:w="11909" w:h="16838"/>
          <w:pgMar w:top="653" w:left="0" w:right="0" w:bottom="4471" w:header="0" w:footer="3" w:gutter="0"/>
          <w:cols w:space="720"/>
          <w:noEndnote/>
          <w:rtlGutter w:val="0"/>
          <w:docGrid w:linePitch="360"/>
        </w:sectPr>
      </w:pP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10"/>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653" w:left="1394" w:right="2421" w:bottom="4471" w:header="0" w:footer="3" w:gutter="0"/>
          <w:cols w:num="2" w:space="1715"/>
          <w:noEndnote/>
          <w:rtlGutter w:val="0"/>
          <w:docGrid w:linePitch="360"/>
        </w:sectPr>
      </w:pPr>
      <w:r>
        <w:rPr>
          <w:color w:val="000000"/>
          <w:spacing w:val="0"/>
          <w:w w:val="100"/>
          <w:position w:val="0"/>
          <w:shd w:val="clear" w:color="auto" w:fill="auto"/>
          <w:lang w:val="cs-CZ" w:eastAsia="cs-CZ" w:bidi="cs-CZ"/>
        </w:rPr>
        <w:t>V Praze dne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6" w:after="16"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53" w:left="0" w:right="0" w:bottom="1287"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4021455</wp:posOffset>
                </wp:positionH>
                <wp:positionV relativeFrom="paragraph">
                  <wp:posOffset>12700</wp:posOffset>
                </wp:positionV>
                <wp:extent cx="960120" cy="387350"/>
                <wp:wrapSquare wrapText="bothSides"/>
                <wp:docPr id="3" name="Shape 3"/>
                <a:graphic xmlns:a="http://schemas.openxmlformats.org/drawingml/2006/main">
                  <a:graphicData uri="http://schemas.microsoft.com/office/word/2010/wordprocessingShape">
                    <wps:wsp>
                      <wps:cNvSpPr txBox="1"/>
                      <wps:spPr>
                        <a:xfrm>
                          <a:ext cx="960120" cy="3873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CLIQOR, s.r.o.</w:t>
                            </w:r>
                          </w:p>
                        </w:txbxContent>
                      </wps:txbx>
                      <wps:bodyPr lIns="0" tIns="0" rIns="0" bIns="0">
                        <a:noAutoFit/>
                      </wps:bodyPr>
                    </wps:wsp>
                  </a:graphicData>
                </a:graphic>
              </wp:anchor>
            </w:drawing>
          </mc:Choice>
          <mc:Fallback>
            <w:pict>
              <v:shape id="_x0000_s1029" type="#_x0000_t202" style="position:absolute;margin-left:316.65000000000003pt;margin-top:1.pt;width:75.600000000000009pt;height:30.5pt;z-index:-12582937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CLIQOR, s.r.o.</w:t>
                      </w:r>
                    </w:p>
                  </w:txbxContent>
                </v:textbox>
                <w10:wrap type="square" anchorx="page"/>
              </v:shape>
            </w:pict>
          </mc:Fallback>
        </mc:AlternateContent>
      </w:r>
    </w:p>
    <w:p>
      <w:pPr>
        <w:pStyle w:val="Style2"/>
        <w:keepNext/>
        <w:keepLines/>
        <w:widowControl w:val="0"/>
        <w:shd w:val="clear" w:color="auto" w:fill="auto"/>
        <w:bidi w:val="0"/>
        <w:spacing w:before="0" w:after="0" w:line="240" w:lineRule="auto"/>
        <w:ind w:left="0" w:right="0" w:firstLine="0"/>
        <w:jc w:val="left"/>
      </w:pPr>
      <w:bookmarkStart w:id="108" w:name="bookmark108"/>
      <w:bookmarkStart w:id="109" w:name="bookmark109"/>
      <w:bookmarkStart w:id="110" w:name="bookmark110"/>
      <w:r>
        <w:rPr>
          <w:color w:val="000000"/>
          <w:spacing w:val="0"/>
          <w:w w:val="100"/>
          <w:position w:val="0"/>
          <w:shd w:val="clear" w:color="auto" w:fill="auto"/>
          <w:lang w:val="cs-CZ" w:eastAsia="cs-CZ" w:bidi="cs-CZ"/>
        </w:rPr>
        <w:t>investiční ředitel</w:t>
      </w:r>
      <w:bookmarkEnd w:id="108"/>
      <w:bookmarkEnd w:id="109"/>
      <w:bookmarkEnd w:id="110"/>
    </w:p>
    <w:p>
      <w:pPr>
        <w:pStyle w:val="Style10"/>
        <w:keepNext w:val="0"/>
        <w:keepLines w:val="0"/>
        <w:widowControl w:val="0"/>
        <w:shd w:val="clear" w:color="auto" w:fill="auto"/>
        <w:bidi w:val="0"/>
        <w:spacing w:before="0" w:after="0" w:line="240" w:lineRule="auto"/>
        <w:ind w:left="0" w:right="0" w:firstLine="0"/>
        <w:jc w:val="left"/>
      </w:pPr>
      <w:bookmarkStart w:id="111" w:name="bookmark111"/>
      <w:bookmarkStart w:id="112" w:name="bookmark112"/>
      <w:r>
        <w:rPr>
          <w:color w:val="000000"/>
          <w:spacing w:val="0"/>
          <w:w w:val="100"/>
          <w:position w:val="0"/>
          <w:shd w:val="clear" w:color="auto" w:fill="auto"/>
          <w:lang w:val="cs-CZ" w:eastAsia="cs-CZ" w:bidi="cs-CZ"/>
        </w:rPr>
        <w:t>Povodí Ohře, státní podnik</w:t>
      </w:r>
      <w:bookmarkEnd w:id="111"/>
      <w:bookmarkEnd w:id="112"/>
    </w:p>
    <w:sectPr>
      <w:footnotePr>
        <w:pos w:val="pageBottom"/>
        <w:numFmt w:val="decimal"/>
        <w:numRestart w:val="continuous"/>
      </w:footnotePr>
      <w:type w:val="continuous"/>
      <w:pgSz w:w="11909" w:h="16838"/>
      <w:pgMar w:top="653" w:left="1394" w:right="5575" w:bottom="128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5765165</wp:posOffset>
              </wp:positionH>
              <wp:positionV relativeFrom="page">
                <wp:posOffset>10048875</wp:posOffset>
              </wp:positionV>
              <wp:extent cx="899160" cy="216535"/>
              <wp:wrapNone/>
              <wp:docPr id="1" name="Shape 1"/>
              <a:graphic xmlns:a="http://schemas.openxmlformats.org/drawingml/2006/main">
                <a:graphicData uri="http://schemas.microsoft.com/office/word/2010/wordprocessingShape">
                  <wps:wsp>
                    <wps:cNvSpPr txBox="1"/>
                    <wps:spPr>
                      <a:xfrm>
                        <a:ext cx="899160" cy="2165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3.94999999999999pt;margin-top:791.25pt;width:70.799999999999997pt;height:17.0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