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2C959992" w14:textId="3E58FA58" w:rsidR="00FB2677" w:rsidRPr="00231BC6" w:rsidRDefault="001F6B24" w:rsidP="00FB2677">
      <w:pPr>
        <w:tabs>
          <w:tab w:val="left" w:pos="2977"/>
        </w:tabs>
        <w:spacing w:after="0" w:line="240" w:lineRule="auto"/>
        <w:rPr>
          <w:rFonts w:ascii="Tahoma" w:eastAsia="Times New Roman" w:hAnsi="Tahoma" w:cs="Tahoma"/>
          <w:b/>
          <w:sz w:val="16"/>
          <w:szCs w:val="16"/>
          <w:lang w:eastAsia="cs-CZ"/>
        </w:rPr>
      </w:pPr>
      <w:r w:rsidRPr="001F6B24">
        <w:rPr>
          <w:rFonts w:ascii="Tahoma" w:eastAsia="Times New Roman" w:hAnsi="Tahoma" w:cs="Tahoma"/>
          <w:b/>
          <w:sz w:val="16"/>
          <w:szCs w:val="16"/>
          <w:lang w:eastAsia="cs-CZ"/>
        </w:rPr>
        <w:t>Alliance Healthcare s.r.o.</w:t>
      </w:r>
      <w:r w:rsidR="00FB2677" w:rsidRPr="00231BC6">
        <w:rPr>
          <w:rFonts w:ascii="Tahoma" w:eastAsia="Times New Roman" w:hAnsi="Tahoma" w:cs="Tahoma"/>
          <w:b/>
          <w:sz w:val="16"/>
          <w:szCs w:val="16"/>
          <w:lang w:eastAsia="cs-CZ"/>
        </w:rPr>
        <w:tab/>
      </w:r>
      <w:r w:rsidR="00FB2677" w:rsidRPr="00231BC6">
        <w:rPr>
          <w:rFonts w:ascii="Tahoma" w:eastAsia="Times New Roman" w:hAnsi="Tahoma" w:cs="Tahoma"/>
          <w:sz w:val="16"/>
          <w:szCs w:val="16"/>
          <w:lang w:eastAsia="cs-CZ"/>
        </w:rPr>
        <w:tab/>
      </w:r>
      <w:r w:rsidR="00FB2677" w:rsidRPr="00231BC6">
        <w:rPr>
          <w:rFonts w:ascii="Tahoma" w:eastAsia="Times New Roman" w:hAnsi="Tahoma" w:cs="Tahoma"/>
          <w:sz w:val="16"/>
          <w:szCs w:val="16"/>
          <w:lang w:eastAsia="cs-CZ"/>
        </w:rPr>
        <w:tab/>
      </w:r>
    </w:p>
    <w:p w14:paraId="023145B1" w14:textId="2AE52C9A"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zapsaná v obchodním rejstříku vedeném</w:t>
      </w:r>
      <w:r w:rsidR="00D356C0">
        <w:rPr>
          <w:rFonts w:ascii="Tahoma" w:eastAsia="Times New Roman" w:hAnsi="Tahoma" w:cs="Tahoma"/>
          <w:sz w:val="16"/>
          <w:szCs w:val="16"/>
          <w:lang w:eastAsia="cs-CZ"/>
        </w:rPr>
        <w:t xml:space="preserve"> </w:t>
      </w:r>
      <w:r w:rsidR="001F6B24">
        <w:rPr>
          <w:rFonts w:ascii="Tahoma" w:eastAsia="Times New Roman" w:hAnsi="Tahoma" w:cs="Tahoma"/>
          <w:sz w:val="16"/>
          <w:szCs w:val="16"/>
          <w:lang w:eastAsia="cs-CZ"/>
        </w:rPr>
        <w:t>Městským</w:t>
      </w:r>
      <w:r w:rsidR="00D356C0">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soudem</w:t>
      </w:r>
      <w:r w:rsidR="00D356C0">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v</w:t>
      </w:r>
      <w:r w:rsidR="001F6B24">
        <w:rPr>
          <w:rFonts w:ascii="Tahoma" w:eastAsia="Times New Roman" w:hAnsi="Tahoma" w:cs="Tahoma"/>
          <w:sz w:val="16"/>
          <w:szCs w:val="16"/>
          <w:lang w:eastAsia="cs-CZ"/>
        </w:rPr>
        <w:t> Praze, oddíl C</w:t>
      </w:r>
      <w:r w:rsidR="0017171F">
        <w:rPr>
          <w:rFonts w:ascii="Tahoma" w:eastAsia="Times New Roman" w:hAnsi="Tahoma" w:cs="Tahoma"/>
          <w:sz w:val="16"/>
          <w:szCs w:val="16"/>
          <w:lang w:eastAsia="cs-CZ"/>
        </w:rPr>
        <w:t xml:space="preserve"> sp. zn.</w:t>
      </w:r>
      <w:r w:rsidR="001F6B24">
        <w:rPr>
          <w:rFonts w:ascii="Tahoma" w:eastAsia="Times New Roman" w:hAnsi="Tahoma" w:cs="Tahoma"/>
          <w:sz w:val="16"/>
          <w:szCs w:val="16"/>
          <w:lang w:eastAsia="cs-CZ"/>
        </w:rPr>
        <w:t xml:space="preserve"> 87837</w:t>
      </w:r>
      <w:r w:rsidRPr="00231BC6">
        <w:rPr>
          <w:rFonts w:ascii="Tahoma" w:eastAsia="Times New Roman" w:hAnsi="Tahoma" w:cs="Tahoma"/>
          <w:sz w:val="16"/>
          <w:szCs w:val="16"/>
          <w:lang w:eastAsia="cs-CZ"/>
        </w:rPr>
        <w:tab/>
      </w:r>
    </w:p>
    <w:p w14:paraId="374B4E00" w14:textId="4000E5E3"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se sídlem:</w:t>
      </w:r>
      <w:r w:rsidR="00B44EB1">
        <w:rPr>
          <w:rFonts w:ascii="Tahoma" w:eastAsia="Times New Roman" w:hAnsi="Tahoma" w:cs="Tahoma"/>
          <w:sz w:val="16"/>
          <w:szCs w:val="16"/>
          <w:lang w:eastAsia="cs-CZ"/>
        </w:rPr>
        <w:tab/>
      </w:r>
      <w:r w:rsidR="001F6B24">
        <w:rPr>
          <w:rFonts w:ascii="Tahoma" w:eastAsia="Times New Roman" w:hAnsi="Tahoma" w:cs="Tahoma"/>
          <w:sz w:val="16"/>
          <w:szCs w:val="16"/>
          <w:lang w:eastAsia="cs-CZ"/>
        </w:rPr>
        <w:t>Podle trati 624/7, 108 00, Praha 10 - Malešice</w:t>
      </w:r>
    </w:p>
    <w:p w14:paraId="5EFC2068" w14:textId="79CE74EB"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xml:space="preserve">: </w:t>
      </w:r>
      <w:r w:rsidR="001F6B24">
        <w:rPr>
          <w:rFonts w:ascii="Tahoma" w:eastAsia="Times New Roman" w:hAnsi="Tahoma" w:cs="Tahoma"/>
          <w:sz w:val="16"/>
          <w:szCs w:val="16"/>
          <w:lang w:eastAsia="cs-CZ"/>
        </w:rPr>
        <w:t>14707420</w:t>
      </w:r>
      <w:r w:rsidRPr="00231BC6">
        <w:rPr>
          <w:rFonts w:ascii="Tahoma" w:eastAsia="Times New Roman" w:hAnsi="Tahoma" w:cs="Tahoma"/>
          <w:sz w:val="16"/>
          <w:szCs w:val="16"/>
          <w:lang w:eastAsia="cs-CZ"/>
        </w:rPr>
        <w:tab/>
        <w:t xml:space="preserve">DIČ: </w:t>
      </w:r>
      <w:r w:rsidR="001F6B24">
        <w:rPr>
          <w:rFonts w:ascii="Tahoma" w:eastAsia="Times New Roman" w:hAnsi="Tahoma" w:cs="Tahoma"/>
          <w:sz w:val="16"/>
          <w:szCs w:val="16"/>
          <w:lang w:eastAsia="cs-CZ"/>
        </w:rPr>
        <w:t>CZ14707420</w:t>
      </w:r>
    </w:p>
    <w:p w14:paraId="09740E6D" w14:textId="4ADFF36E"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zastoupená:</w:t>
      </w:r>
      <w:r w:rsidRPr="00231BC6">
        <w:rPr>
          <w:rFonts w:ascii="Tahoma" w:eastAsia="Times New Roman" w:hAnsi="Tahoma" w:cs="Tahoma"/>
          <w:sz w:val="16"/>
          <w:szCs w:val="16"/>
          <w:lang w:eastAsia="cs-CZ"/>
        </w:rPr>
        <w:tab/>
      </w:r>
      <w:r w:rsidR="001F6B24" w:rsidRPr="001F6B24">
        <w:rPr>
          <w:rFonts w:ascii="Tahoma" w:eastAsia="Times New Roman" w:hAnsi="Tahoma" w:cs="Tahoma"/>
          <w:sz w:val="16"/>
          <w:szCs w:val="16"/>
          <w:lang w:eastAsia="cs-CZ"/>
        </w:rPr>
        <w:t>Ing. Janem Rohrbacherem a Ing. Michalem Kadlečkem</w:t>
      </w:r>
      <w:r w:rsidR="00B44EB1">
        <w:rPr>
          <w:rFonts w:ascii="Tahoma" w:eastAsia="Times New Roman" w:hAnsi="Tahoma" w:cs="Tahoma"/>
          <w:sz w:val="16"/>
          <w:szCs w:val="16"/>
          <w:lang w:eastAsia="cs-CZ"/>
        </w:rPr>
        <w:t>, jednateli</w:t>
      </w:r>
    </w:p>
    <w:p w14:paraId="445A1A81" w14:textId="7E1F0AC5"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bankovní spojení:</w:t>
      </w:r>
      <w:r w:rsidRPr="00231BC6">
        <w:rPr>
          <w:rFonts w:ascii="Tahoma" w:eastAsia="Times New Roman" w:hAnsi="Tahoma" w:cs="Tahoma"/>
          <w:sz w:val="16"/>
          <w:szCs w:val="16"/>
          <w:lang w:eastAsia="cs-CZ"/>
        </w:rPr>
        <w:tab/>
      </w:r>
      <w:r w:rsidR="001F6B24">
        <w:rPr>
          <w:rFonts w:ascii="Tahoma" w:eastAsia="Times New Roman" w:hAnsi="Tahoma" w:cs="Tahoma"/>
          <w:sz w:val="16"/>
          <w:szCs w:val="16"/>
          <w:lang w:eastAsia="cs-CZ"/>
        </w:rPr>
        <w:t>ČSOB a.s.</w:t>
      </w:r>
    </w:p>
    <w:p w14:paraId="4FB79576" w14:textId="19E71408"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005454FB">
        <w:rPr>
          <w:rFonts w:ascii="Tahoma" w:eastAsia="Times New Roman" w:hAnsi="Tahoma" w:cs="Tahoma"/>
          <w:sz w:val="16"/>
          <w:szCs w:val="16"/>
          <w:lang w:eastAsia="cs-CZ"/>
        </w:rPr>
        <w:tab/>
      </w:r>
      <w:r w:rsidR="001F6B24" w:rsidRPr="001F6B24">
        <w:rPr>
          <w:rFonts w:ascii="Tahoma" w:eastAsia="Times New Roman" w:hAnsi="Tahoma" w:cs="Tahoma"/>
          <w:sz w:val="16"/>
          <w:szCs w:val="16"/>
          <w:lang w:eastAsia="cs-CZ"/>
        </w:rPr>
        <w:t>8010-0404243703/0300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09E09EC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276288B8" w:rsidR="00581252" w:rsidRPr="00C22C8F" w:rsidRDefault="00581252" w:rsidP="00581252">
      <w:pPr>
        <w:spacing w:after="0" w:line="240" w:lineRule="auto"/>
        <w:jc w:val="both"/>
        <w:rPr>
          <w:rFonts w:ascii="Tahoma" w:hAnsi="Tahoma" w:cs="Tahoma"/>
          <w:b/>
          <w:bCs/>
          <w:sz w:val="16"/>
          <w:szCs w:val="16"/>
          <w:highlight w:val="yellow"/>
        </w:rPr>
      </w:pPr>
      <w:r>
        <w:rPr>
          <w:rFonts w:ascii="Tahoma" w:hAnsi="Tahoma" w:cs="Tahoma"/>
          <w:sz w:val="16"/>
          <w:szCs w:val="16"/>
        </w:rPr>
        <w:t xml:space="preserve">uzavřeli níže uvedeného dne, měsíce a roku dle ustanovení § 1746 odst. 2 a § 2079 a násl. zákona č. 89/2012 Sb., občanského zákoníku v platném znění, v souladu s Výzvou k podání nabídek na veřejnou zakázku </w:t>
      </w:r>
      <w:r>
        <w:rPr>
          <w:rFonts w:ascii="Tahoma" w:hAnsi="Tahoma" w:cs="Tahoma"/>
          <w:b/>
          <w:bCs/>
          <w:sz w:val="16"/>
          <w:szCs w:val="16"/>
        </w:rPr>
        <w:t>DYNAMICKÝ NÁKUPNÍ SYSTÉM PRO PRŮBĚŽNÉ A OPAKOVANÉ NÁKUPY LÉČIVÝCH PŘÍPRAVKŮ</w:t>
      </w:r>
      <w:r w:rsidR="00C22C8F">
        <w:rPr>
          <w:rFonts w:ascii="Tahoma" w:hAnsi="Tahoma" w:cs="Tahoma"/>
          <w:b/>
          <w:bCs/>
          <w:sz w:val="16"/>
          <w:szCs w:val="16"/>
        </w:rPr>
        <w:t xml:space="preserve"> – Září_1/2024 - vedolizumab</w:t>
      </w:r>
      <w:r w:rsidR="00C22C8F">
        <w:rPr>
          <w:rFonts w:ascii="Tahoma" w:hAnsi="Tahoma" w:cs="Tahoma"/>
          <w:sz w:val="16"/>
          <w:szCs w:val="16"/>
        </w:rPr>
        <w:t xml:space="preserve"> </w:t>
      </w:r>
      <w:r>
        <w:rPr>
          <w:rFonts w:ascii="Tahoma" w:hAnsi="Tahoma" w:cs="Tahoma"/>
          <w:sz w:val="16"/>
          <w:szCs w:val="16"/>
        </w:rPr>
        <w:t xml:space="preserve"> ID veřejné zakázky na profilu zadavatele: </w:t>
      </w:r>
      <w:r w:rsidR="00C22C8F" w:rsidRPr="00C22C8F">
        <w:rPr>
          <w:rFonts w:ascii="Tahoma" w:hAnsi="Tahoma" w:cs="Tahoma"/>
          <w:b/>
          <w:bCs/>
          <w:sz w:val="16"/>
          <w:szCs w:val="16"/>
        </w:rPr>
        <w:t>VZ0198448</w:t>
      </w:r>
      <w:r>
        <w:rPr>
          <w:rFonts w:ascii="Tahoma" w:hAnsi="Tahoma" w:cs="Tahoma"/>
          <w:b/>
          <w:bCs/>
          <w:sz w:val="16"/>
          <w:szCs w:val="16"/>
        </w:rPr>
        <w:t xml:space="preserve"> ze dne </w:t>
      </w:r>
      <w:r w:rsidR="00C22C8F">
        <w:rPr>
          <w:rFonts w:ascii="Tahoma" w:hAnsi="Tahoma" w:cs="Tahoma"/>
          <w:b/>
          <w:bCs/>
          <w:sz w:val="16"/>
          <w:szCs w:val="16"/>
        </w:rPr>
        <w:t>5.9.2024</w:t>
      </w:r>
      <w:r w:rsidR="009F3086" w:rsidRPr="00C22C8F">
        <w:rPr>
          <w:rFonts w:ascii="Tahoma" w:hAnsi="Tahoma" w:cs="Tahoma"/>
          <w:sz w:val="16"/>
          <w:szCs w:val="16"/>
        </w:rPr>
        <w:t xml:space="preserve">, </w:t>
      </w:r>
      <w:r w:rsidRPr="00C22C8F">
        <w:rPr>
          <w:rFonts w:ascii="Tahoma" w:hAnsi="Tahoma" w:cs="Tahoma"/>
          <w:sz w:val="16"/>
          <w:szCs w:val="16"/>
        </w:rPr>
        <w:t>zadané</w:t>
      </w:r>
      <w:r>
        <w:rPr>
          <w:rFonts w:ascii="Tahoma" w:hAnsi="Tahoma" w:cs="Tahoma"/>
          <w:sz w:val="16"/>
          <w:szCs w:val="16"/>
        </w:rPr>
        <w:t xml:space="preserve"> v zavedeném DNS (DYNAMICKÝ NÁKUPNÍ SYSTÉM PRO PRŮBĚŽNÉ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784219E0"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A84651">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5B05BC" w:rsidRPr="00231BC6">
        <w:rPr>
          <w:rFonts w:ascii="Tahoma" w:hAnsi="Tahoma" w:cs="Tahoma"/>
          <w:sz w:val="16"/>
          <w:szCs w:val="16"/>
        </w:rPr>
        <w:t xml:space="preserve"> </w:t>
      </w:r>
      <w:r w:rsidR="00AB6BD7">
        <w:rPr>
          <w:rFonts w:ascii="Tahoma" w:hAnsi="Tahoma" w:cs="Tahoma"/>
          <w:sz w:val="16"/>
          <w:szCs w:val="16"/>
        </w:rPr>
        <w:t>s </w:t>
      </w:r>
      <w:r w:rsidR="00AB6BD7" w:rsidRPr="00C22C8F">
        <w:rPr>
          <w:rFonts w:ascii="Tahoma" w:hAnsi="Tahoma" w:cs="Tahoma"/>
          <w:sz w:val="16"/>
          <w:szCs w:val="16"/>
        </w:rPr>
        <w:t>účinnou látkou vedolizumab</w:t>
      </w:r>
      <w:r w:rsidR="00C0289B" w:rsidRPr="00C22C8F" w:rsidDel="00C0289B">
        <w:rPr>
          <w:rFonts w:ascii="Tahoma" w:hAnsi="Tahoma" w:cs="Tahoma"/>
          <w:sz w:val="16"/>
          <w:szCs w:val="16"/>
        </w:rPr>
        <w:t xml:space="preserve"> </w:t>
      </w:r>
      <w:r w:rsidRPr="00C22C8F">
        <w:rPr>
          <w:rFonts w:ascii="Tahoma" w:hAnsi="Tahoma" w:cs="Tahoma"/>
          <w:sz w:val="16"/>
          <w:szCs w:val="16"/>
        </w:rPr>
        <w:t>(dále jen „zboží</w:t>
      </w:r>
      <w:r w:rsidRPr="00231BC6">
        <w:rPr>
          <w:rFonts w:ascii="Tahoma" w:hAnsi="Tahoma" w:cs="Tahoma"/>
          <w:sz w:val="16"/>
          <w:szCs w:val="16"/>
        </w:rPr>
        <w:t>“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BC1EC5">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76B3CF93"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objedná zboží e-mailem na adresu</w:t>
      </w:r>
      <w:r w:rsidR="005B05BC" w:rsidRPr="00231BC6">
        <w:rPr>
          <w:rFonts w:ascii="Tahoma" w:hAnsi="Tahoma" w:cs="Tahoma"/>
          <w:sz w:val="16"/>
          <w:szCs w:val="16"/>
        </w:rPr>
        <w:t xml:space="preserve"> </w:t>
      </w:r>
      <w:r w:rsidR="00156DE8">
        <w:rPr>
          <w:rFonts w:ascii="Tahoma" w:hAnsi="Tahoma" w:cs="Tahoma"/>
          <w:sz w:val="16"/>
          <w:szCs w:val="16"/>
        </w:rPr>
        <w:t>xxxxx</w:t>
      </w:r>
      <w:r w:rsidR="001F6B24">
        <w:rPr>
          <w:rFonts w:ascii="Tahoma" w:hAnsi="Tahoma" w:cs="Tahoma"/>
          <w:sz w:val="16"/>
          <w:szCs w:val="16"/>
        </w:rPr>
        <w:t>,</w:t>
      </w:r>
      <w:r w:rsidRPr="00231BC6">
        <w:rPr>
          <w:rFonts w:ascii="Tahoma" w:hAnsi="Tahoma" w:cs="Tahoma"/>
          <w:b/>
          <w:sz w:val="16"/>
          <w:szCs w:val="16"/>
        </w:rPr>
        <w:t xml:space="preserve"> </w:t>
      </w:r>
      <w:r w:rsidRPr="00231BC6">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Pr>
          <w:rFonts w:ascii="Tahoma" w:hAnsi="Tahoma" w:cs="Tahoma"/>
          <w:sz w:val="16"/>
          <w:szCs w:val="16"/>
        </w:rPr>
        <w:t>oběma</w:t>
      </w:r>
      <w:r w:rsidRPr="00231BC6">
        <w:rPr>
          <w:rFonts w:ascii="Tahoma" w:hAnsi="Tahoma" w:cs="Tahoma"/>
          <w:sz w:val="16"/>
          <w:szCs w:val="16"/>
        </w:rPr>
        <w:t xml:space="preserve"> uvedenými způsoby. Objednávka kupujícího musí přesně specifikovat druh, množství, popř. balení nebo jiné skutečnosti.</w:t>
      </w:r>
    </w:p>
    <w:p w14:paraId="3FEFDA9F" w14:textId="18FB2860"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obratem potvrdí objednávky způsobem, jakým je přijal</w:t>
      </w:r>
      <w:r w:rsidR="307155C1" w:rsidRPr="00231BC6">
        <w:rPr>
          <w:rFonts w:ascii="Tahoma" w:hAnsi="Tahoma" w:cs="Tahoma"/>
          <w:sz w:val="16"/>
          <w:szCs w:val="16"/>
        </w:rPr>
        <w:t>,</w:t>
      </w:r>
      <w:r w:rsidRPr="00231BC6">
        <w:rPr>
          <w:rFonts w:ascii="Tahoma" w:hAnsi="Tahoma" w:cs="Tahoma"/>
          <w:sz w:val="16"/>
          <w:szCs w:val="16"/>
        </w:rPr>
        <w:t xml:space="preserve"> a zboží dodá nejpozději následující pracovní den</w:t>
      </w:r>
      <w:r w:rsidR="00121FFB">
        <w:rPr>
          <w:rFonts w:ascii="Tahoma" w:hAnsi="Tahoma" w:cs="Tahoma"/>
          <w:sz w:val="16"/>
          <w:szCs w:val="16"/>
        </w:rPr>
        <w:t xml:space="preserve"> v čase dle čl. </w:t>
      </w:r>
      <w:r w:rsidR="00841DD8">
        <w:rPr>
          <w:rFonts w:ascii="Tahoma" w:hAnsi="Tahoma" w:cs="Tahoma"/>
          <w:sz w:val="16"/>
          <w:szCs w:val="16"/>
        </w:rPr>
        <w:fldChar w:fldCharType="begin"/>
      </w:r>
      <w:r w:rsidR="00841DD8">
        <w:rPr>
          <w:rFonts w:ascii="Tahoma" w:hAnsi="Tahoma" w:cs="Tahoma"/>
          <w:sz w:val="16"/>
          <w:szCs w:val="16"/>
        </w:rPr>
        <w:instrText xml:space="preserve"> REF _Ref164170573 \r \h </w:instrText>
      </w:r>
      <w:r w:rsidR="00841DD8">
        <w:rPr>
          <w:rFonts w:ascii="Tahoma" w:hAnsi="Tahoma" w:cs="Tahoma"/>
          <w:sz w:val="16"/>
          <w:szCs w:val="16"/>
        </w:rPr>
      </w:r>
      <w:r w:rsidR="00841DD8">
        <w:rPr>
          <w:rFonts w:ascii="Tahoma" w:hAnsi="Tahoma" w:cs="Tahoma"/>
          <w:sz w:val="16"/>
          <w:szCs w:val="16"/>
        </w:rPr>
        <w:fldChar w:fldCharType="separate"/>
      </w:r>
      <w:r w:rsidR="00BC1EC5">
        <w:rPr>
          <w:rFonts w:ascii="Tahoma" w:hAnsi="Tahoma" w:cs="Tahoma"/>
          <w:sz w:val="16"/>
          <w:szCs w:val="16"/>
        </w:rPr>
        <w:t>IV</w:t>
      </w:r>
      <w:r w:rsidR="00841DD8">
        <w:rPr>
          <w:rFonts w:ascii="Tahoma" w:hAnsi="Tahoma" w:cs="Tahoma"/>
          <w:sz w:val="16"/>
          <w:szCs w:val="16"/>
        </w:rPr>
        <w:fldChar w:fldCharType="end"/>
      </w:r>
      <w:r w:rsidR="00841DD8">
        <w:rPr>
          <w:rFonts w:ascii="Tahoma" w:hAnsi="Tahoma" w:cs="Tahoma"/>
          <w:sz w:val="16"/>
          <w:szCs w:val="16"/>
        </w:rPr>
        <w:t xml:space="preserve"> </w:t>
      </w:r>
      <w:r w:rsidR="006B2518">
        <w:rPr>
          <w:rFonts w:ascii="Tahoma" w:hAnsi="Tahoma" w:cs="Tahoma"/>
          <w:sz w:val="16"/>
          <w:szCs w:val="16"/>
        </w:rPr>
        <w:t>o</w:t>
      </w:r>
      <w:r w:rsidR="0040467F">
        <w:rPr>
          <w:rFonts w:ascii="Tahoma" w:hAnsi="Tahoma" w:cs="Tahoma"/>
          <w:sz w:val="16"/>
          <w:szCs w:val="16"/>
        </w:rPr>
        <w:t xml:space="preserve">dst. </w:t>
      </w:r>
      <w:r w:rsidR="00841DD8">
        <w:rPr>
          <w:rFonts w:ascii="Tahoma" w:hAnsi="Tahoma" w:cs="Tahoma"/>
          <w:sz w:val="16"/>
          <w:szCs w:val="16"/>
        </w:rPr>
        <w:fldChar w:fldCharType="begin"/>
      </w:r>
      <w:r w:rsidR="00841DD8">
        <w:rPr>
          <w:rFonts w:ascii="Tahoma" w:hAnsi="Tahoma" w:cs="Tahoma"/>
          <w:sz w:val="16"/>
          <w:szCs w:val="16"/>
        </w:rPr>
        <w:instrText xml:space="preserve"> REF _Ref164170631 \r \h </w:instrText>
      </w:r>
      <w:r w:rsidR="00841DD8">
        <w:rPr>
          <w:rFonts w:ascii="Tahoma" w:hAnsi="Tahoma" w:cs="Tahoma"/>
          <w:sz w:val="16"/>
          <w:szCs w:val="16"/>
        </w:rPr>
      </w:r>
      <w:r w:rsidR="00841DD8">
        <w:rPr>
          <w:rFonts w:ascii="Tahoma" w:hAnsi="Tahoma" w:cs="Tahoma"/>
          <w:sz w:val="16"/>
          <w:szCs w:val="16"/>
        </w:rPr>
        <w:fldChar w:fldCharType="separate"/>
      </w:r>
      <w:r w:rsidR="00BC1EC5">
        <w:rPr>
          <w:rFonts w:ascii="Tahoma" w:hAnsi="Tahoma" w:cs="Tahoma"/>
          <w:sz w:val="16"/>
          <w:szCs w:val="16"/>
        </w:rPr>
        <w:t>1</w:t>
      </w:r>
      <w:r w:rsidR="00841DD8">
        <w:rPr>
          <w:rFonts w:ascii="Tahoma" w:hAnsi="Tahoma" w:cs="Tahoma"/>
          <w:sz w:val="16"/>
          <w:szCs w:val="16"/>
        </w:rPr>
        <w:fldChar w:fldCharType="end"/>
      </w:r>
      <w:r w:rsidR="0040467F">
        <w:rPr>
          <w:rFonts w:ascii="Tahoma" w:hAnsi="Tahoma" w:cs="Tahoma"/>
          <w:sz w:val="16"/>
          <w:szCs w:val="16"/>
        </w:rPr>
        <w:t xml:space="preserve"> smlouvy</w:t>
      </w:r>
      <w:r w:rsidRPr="00231BC6">
        <w:rPr>
          <w:rFonts w:ascii="Tahoma" w:hAnsi="Tahoma" w:cs="Tahoma"/>
          <w:sz w:val="16"/>
          <w:szCs w:val="16"/>
        </w:rPr>
        <w:t xml:space="preserve">. Potvrzení objednávky </w:t>
      </w:r>
      <w:r w:rsidR="00D20005">
        <w:rPr>
          <w:rFonts w:ascii="Tahoma" w:hAnsi="Tahoma" w:cs="Tahoma"/>
          <w:sz w:val="16"/>
          <w:szCs w:val="16"/>
        </w:rPr>
        <w:t xml:space="preserve">prostřednictvím e-mailu </w:t>
      </w:r>
      <w:r w:rsidRPr="00231BC6">
        <w:rPr>
          <w:rFonts w:ascii="Tahoma" w:hAnsi="Tahoma" w:cs="Tahoma"/>
          <w:sz w:val="16"/>
          <w:szCs w:val="16"/>
        </w:rPr>
        <w:t>bude opatřeno elektronickým podpisem prodávajícího.</w:t>
      </w:r>
    </w:p>
    <w:p w14:paraId="5E3A884F" w14:textId="5BE9562D" w:rsidR="00202A1F" w:rsidRPr="0020479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04796">
        <w:rPr>
          <w:rFonts w:ascii="Tahoma" w:hAnsi="Tahoma" w:cs="Tahoma"/>
          <w:sz w:val="16"/>
          <w:szCs w:val="16"/>
        </w:rPr>
        <w:t>Dílčí smlouva je uzavřena okamžikem, kdy je prodávajícím potvrzena objednávka učiněná kupujícím za podmínek vyjádřených v této smlouvě.</w:t>
      </w:r>
    </w:p>
    <w:p w14:paraId="49B29F7E" w14:textId="4F6308E2"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V případě, že prodávající nebude schopen objednávku celou nebo částečně realizovat, neprodleně o tom vyrozumí kupujícího </w:t>
      </w:r>
      <w:r w:rsidR="00B84BE5">
        <w:rPr>
          <w:rFonts w:ascii="Tahoma" w:hAnsi="Tahoma" w:cs="Tahoma"/>
          <w:sz w:val="16"/>
          <w:szCs w:val="16"/>
        </w:rPr>
        <w:t>na e</w:t>
      </w:r>
      <w:r w:rsidR="00A4150A">
        <w:rPr>
          <w:rFonts w:ascii="Tahoma" w:hAnsi="Tahoma" w:cs="Tahoma"/>
          <w:sz w:val="16"/>
          <w:szCs w:val="16"/>
        </w:rPr>
        <w:t>-</w:t>
      </w:r>
      <w:r w:rsidR="00B84BE5">
        <w:rPr>
          <w:rFonts w:ascii="Tahoma" w:hAnsi="Tahoma" w:cs="Tahoma"/>
          <w:sz w:val="16"/>
          <w:szCs w:val="16"/>
        </w:rPr>
        <w:t>mailovou adresu uvedenou v odst. 1 tohoto čl</w:t>
      </w:r>
      <w:r w:rsidR="00E414A8">
        <w:rPr>
          <w:rFonts w:ascii="Tahoma" w:hAnsi="Tahoma" w:cs="Tahoma"/>
          <w:sz w:val="16"/>
          <w:szCs w:val="16"/>
        </w:rPr>
        <w:t>ánku smlouvy</w:t>
      </w:r>
      <w:r w:rsidRPr="00231BC6">
        <w:rPr>
          <w:rFonts w:ascii="Tahoma" w:hAnsi="Tahoma" w:cs="Tahoma"/>
          <w:sz w:val="16"/>
          <w:szCs w:val="16"/>
        </w:rPr>
        <w:t>.</w:t>
      </w:r>
    </w:p>
    <w:p w14:paraId="31409000" w14:textId="5C40053C" w:rsidR="00B33C31" w:rsidRDefault="00C655CE">
      <w:pPr>
        <w:numPr>
          <w:ilvl w:val="0"/>
          <w:numId w:val="3"/>
        </w:numPr>
        <w:autoSpaceDE w:val="0"/>
        <w:autoSpaceDN w:val="0"/>
        <w:adjustRightInd w:val="0"/>
        <w:spacing w:after="0" w:line="240" w:lineRule="auto"/>
        <w:jc w:val="both"/>
        <w:rPr>
          <w:rFonts w:ascii="Tahoma" w:hAnsi="Tahoma" w:cs="Tahoma"/>
          <w:sz w:val="16"/>
          <w:szCs w:val="16"/>
        </w:rPr>
      </w:pPr>
      <w:r w:rsidRPr="00804766">
        <w:rPr>
          <w:rFonts w:ascii="Tahoma" w:hAnsi="Tahoma" w:cs="Tahoma"/>
          <w:sz w:val="16"/>
          <w:szCs w:val="16"/>
        </w:rPr>
        <w:t>Není-li prodávající schopen dostát závazku dodávat zboží v nabídnuté ceně a ve lhůtě uvedené ve smlouvě, je povinen na</w:t>
      </w:r>
      <w:r w:rsidR="00A00210" w:rsidRPr="00804766">
        <w:rPr>
          <w:rFonts w:ascii="Tahoma" w:hAnsi="Tahoma" w:cs="Tahoma"/>
          <w:sz w:val="16"/>
          <w:szCs w:val="16"/>
        </w:rPr>
        <w:t> </w:t>
      </w:r>
      <w:r w:rsidRPr="00804766">
        <w:rPr>
          <w:rFonts w:ascii="Tahoma" w:hAnsi="Tahoma" w:cs="Tahoma"/>
          <w:sz w:val="16"/>
          <w:szCs w:val="16"/>
        </w:rPr>
        <w:t>tu</w:t>
      </w:r>
      <w:r w:rsidR="004236F3" w:rsidRPr="00804766">
        <w:rPr>
          <w:rFonts w:ascii="Tahoma" w:hAnsi="Tahoma" w:cs="Tahoma"/>
          <w:sz w:val="16"/>
          <w:szCs w:val="16"/>
        </w:rPr>
        <w:t>to</w:t>
      </w:r>
      <w:r w:rsidRPr="00804766">
        <w:rPr>
          <w:rFonts w:ascii="Tahoma" w:hAnsi="Tahoma" w:cs="Tahoma"/>
          <w:sz w:val="16"/>
          <w:szCs w:val="16"/>
        </w:rPr>
        <w:t xml:space="preserve"> skutečnost upozornit předem kupujícího. Není-li prodávající schopen zajistit plnění dle </w:t>
      </w:r>
      <w:r w:rsidR="002874D9" w:rsidRPr="00804766">
        <w:rPr>
          <w:rFonts w:ascii="Tahoma" w:hAnsi="Tahoma" w:cs="Tahoma"/>
          <w:sz w:val="16"/>
          <w:szCs w:val="16"/>
        </w:rPr>
        <w:t xml:space="preserve">smlouvy, </w:t>
      </w:r>
      <w:r w:rsidR="002874D9">
        <w:rPr>
          <w:rFonts w:ascii="Tahoma" w:hAnsi="Tahoma" w:cs="Tahoma"/>
          <w:sz w:val="16"/>
          <w:szCs w:val="16"/>
        </w:rPr>
        <w:t>a</w:t>
      </w:r>
      <w:r w:rsidR="004F51E0">
        <w:rPr>
          <w:rFonts w:ascii="Tahoma" w:hAnsi="Tahoma" w:cs="Tahoma"/>
          <w:sz w:val="16"/>
          <w:szCs w:val="16"/>
        </w:rPr>
        <w:t xml:space="preserve"> pokud smluvní strany nevyužijí postup dle čl. </w:t>
      </w:r>
      <w:r w:rsidR="00535751">
        <w:rPr>
          <w:rFonts w:ascii="Tahoma" w:hAnsi="Tahoma" w:cs="Tahoma"/>
          <w:sz w:val="16"/>
          <w:szCs w:val="16"/>
        </w:rPr>
        <w:fldChar w:fldCharType="begin"/>
      </w:r>
      <w:r w:rsidR="00535751">
        <w:rPr>
          <w:rFonts w:ascii="Tahoma" w:hAnsi="Tahoma" w:cs="Tahoma"/>
          <w:sz w:val="16"/>
          <w:szCs w:val="16"/>
        </w:rPr>
        <w:instrText xml:space="preserve"> REF _Ref169618462 \r \h </w:instrText>
      </w:r>
      <w:r w:rsidR="00535751">
        <w:rPr>
          <w:rFonts w:ascii="Tahoma" w:hAnsi="Tahoma" w:cs="Tahoma"/>
          <w:sz w:val="16"/>
          <w:szCs w:val="16"/>
        </w:rPr>
      </w:r>
      <w:r w:rsidR="00535751">
        <w:rPr>
          <w:rFonts w:ascii="Tahoma" w:hAnsi="Tahoma" w:cs="Tahoma"/>
          <w:sz w:val="16"/>
          <w:szCs w:val="16"/>
        </w:rPr>
        <w:fldChar w:fldCharType="separate"/>
      </w:r>
      <w:r w:rsidR="00BC1EC5">
        <w:rPr>
          <w:rFonts w:ascii="Tahoma" w:hAnsi="Tahoma" w:cs="Tahoma"/>
          <w:sz w:val="16"/>
          <w:szCs w:val="16"/>
        </w:rPr>
        <w:t>VIII</w:t>
      </w:r>
      <w:r w:rsidR="00535751">
        <w:rPr>
          <w:rFonts w:ascii="Tahoma" w:hAnsi="Tahoma" w:cs="Tahoma"/>
          <w:sz w:val="16"/>
          <w:szCs w:val="16"/>
        </w:rPr>
        <w:fldChar w:fldCharType="end"/>
      </w:r>
      <w:r w:rsidR="00953E36">
        <w:rPr>
          <w:rFonts w:ascii="Tahoma" w:hAnsi="Tahoma" w:cs="Tahoma"/>
          <w:sz w:val="16"/>
          <w:szCs w:val="16"/>
        </w:rPr>
        <w:t xml:space="preserve"> </w:t>
      </w:r>
      <w:r w:rsidR="005A5FBA">
        <w:rPr>
          <w:rFonts w:ascii="Tahoma" w:hAnsi="Tahoma" w:cs="Tahoma"/>
          <w:sz w:val="16"/>
          <w:szCs w:val="16"/>
        </w:rPr>
        <w:t>s</w:t>
      </w:r>
      <w:r w:rsidR="00953E36">
        <w:rPr>
          <w:rFonts w:ascii="Tahoma" w:hAnsi="Tahoma" w:cs="Tahoma"/>
          <w:sz w:val="16"/>
          <w:szCs w:val="16"/>
        </w:rPr>
        <w:t>mlouvy</w:t>
      </w:r>
      <w:r w:rsidR="005A5FBA">
        <w:rPr>
          <w:rFonts w:ascii="Tahoma" w:hAnsi="Tahoma" w:cs="Tahoma"/>
          <w:sz w:val="16"/>
          <w:szCs w:val="16"/>
        </w:rPr>
        <w:t xml:space="preserve">, </w:t>
      </w:r>
      <w:r w:rsidRPr="00804766">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804766">
        <w:rPr>
          <w:rFonts w:ascii="Tahoma" w:hAnsi="Tahoma" w:cs="Tahoma"/>
          <w:sz w:val="16"/>
          <w:szCs w:val="16"/>
        </w:rPr>
        <w:t> </w:t>
      </w:r>
      <w:r w:rsidRPr="00804766">
        <w:rPr>
          <w:rFonts w:ascii="Tahoma" w:hAnsi="Tahoma" w:cs="Tahoma"/>
          <w:sz w:val="16"/>
          <w:szCs w:val="16"/>
        </w:rPr>
        <w:t>cenou kupní.</w:t>
      </w:r>
      <w:r w:rsidR="00202A1F" w:rsidRPr="00804766">
        <w:rPr>
          <w:rFonts w:ascii="Tahoma" w:hAnsi="Tahoma" w:cs="Tahoma"/>
          <w:sz w:val="16"/>
          <w:szCs w:val="16"/>
        </w:rPr>
        <w:t xml:space="preserve"> </w:t>
      </w:r>
    </w:p>
    <w:p w14:paraId="25897F2F" w14:textId="08549E10"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804766">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804766">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zákona </w:t>
      </w:r>
      <w:r w:rsidR="003A407D">
        <w:rPr>
          <w:rStyle w:val="normaltextrun"/>
          <w:rFonts w:ascii="Tahoma" w:hAnsi="Tahoma" w:cs="Tahoma"/>
          <w:color w:val="000000"/>
          <w:sz w:val="16"/>
          <w:szCs w:val="16"/>
          <w:shd w:val="clear" w:color="auto" w:fill="FFFFFF"/>
        </w:rPr>
        <w:t xml:space="preserve">č. </w:t>
      </w:r>
      <w:r w:rsidR="001D0D7C">
        <w:rPr>
          <w:rStyle w:val="normaltextrun"/>
          <w:rFonts w:ascii="Tahoma" w:hAnsi="Tahoma" w:cs="Tahoma"/>
          <w:color w:val="000000"/>
          <w:sz w:val="16"/>
          <w:szCs w:val="16"/>
          <w:shd w:val="clear" w:color="auto" w:fill="FFFFFF"/>
        </w:rPr>
        <w:t xml:space="preserve">378/2007 Sb. </w:t>
      </w:r>
      <w:r w:rsidRPr="00804766">
        <w:rPr>
          <w:rStyle w:val="normaltextrun"/>
          <w:rFonts w:ascii="Tahoma" w:hAnsi="Tahoma" w:cs="Tahoma"/>
          <w:color w:val="000000"/>
          <w:sz w:val="16"/>
          <w:szCs w:val="16"/>
          <w:shd w:val="clear" w:color="auto" w:fill="FFFFFF"/>
        </w:rPr>
        <w:t>o léčivech</w:t>
      </w:r>
      <w:r w:rsidR="001D0D7C">
        <w:rPr>
          <w:rStyle w:val="normaltextrun"/>
          <w:rFonts w:ascii="Tahoma" w:hAnsi="Tahoma" w:cs="Tahoma"/>
          <w:color w:val="000000"/>
          <w:sz w:val="16"/>
          <w:szCs w:val="16"/>
          <w:shd w:val="clear" w:color="auto" w:fill="FFFFFF"/>
        </w:rPr>
        <w:t xml:space="preserve"> </w:t>
      </w:r>
      <w:r w:rsidR="003F60B2">
        <w:rPr>
          <w:rStyle w:val="normaltextrun"/>
          <w:rFonts w:ascii="Tahoma" w:hAnsi="Tahoma" w:cs="Tahoma"/>
          <w:color w:val="000000"/>
          <w:sz w:val="16"/>
          <w:szCs w:val="16"/>
          <w:shd w:val="clear" w:color="auto" w:fill="FFFFFF"/>
        </w:rPr>
        <w:t>(</w:t>
      </w:r>
      <w:r w:rsidR="001D0D7C">
        <w:rPr>
          <w:rStyle w:val="normaltextrun"/>
          <w:rFonts w:ascii="Tahoma" w:hAnsi="Tahoma" w:cs="Tahoma"/>
          <w:color w:val="000000"/>
          <w:sz w:val="16"/>
          <w:szCs w:val="16"/>
          <w:shd w:val="clear" w:color="auto" w:fill="FFFFFF"/>
        </w:rPr>
        <w:t>dále jen „ZoL“</w:t>
      </w:r>
      <w:r w:rsidRPr="00804766">
        <w:rPr>
          <w:rStyle w:val="normaltextrun"/>
          <w:rFonts w:ascii="Tahoma" w:hAnsi="Tahoma" w:cs="Tahoma"/>
          <w:color w:val="000000"/>
          <w:sz w:val="16"/>
          <w:szCs w:val="16"/>
          <w:shd w:val="clear" w:color="auto" w:fill="FFFFFF"/>
        </w:rPr>
        <w:t>)</w:t>
      </w:r>
      <w:r w:rsidR="003F60B2">
        <w:rPr>
          <w:rStyle w:val="normaltextrun"/>
          <w:rFonts w:ascii="Tahoma" w:hAnsi="Tahoma" w:cs="Tahoma"/>
          <w:color w:val="000000"/>
          <w:sz w:val="16"/>
          <w:szCs w:val="16"/>
          <w:shd w:val="clear" w:color="auto" w:fill="FFFFFF"/>
        </w:rPr>
        <w:t>,</w:t>
      </w:r>
      <w:r w:rsidRPr="00804766">
        <w:rPr>
          <w:rStyle w:val="normaltextrun"/>
          <w:rFonts w:ascii="Tahoma" w:hAnsi="Tahoma" w:cs="Tahoma"/>
          <w:color w:val="000000"/>
          <w:sz w:val="16"/>
          <w:szCs w:val="16"/>
          <w:shd w:val="clear" w:color="auto" w:fill="FFFFFF"/>
        </w:rPr>
        <w:t xml:space="preserve"> doloženým potvrzením držitele rozhodnutí o registraci </w:t>
      </w:r>
      <w:r w:rsidR="00142E02">
        <w:rPr>
          <w:rStyle w:val="normaltextrun"/>
          <w:rFonts w:ascii="Tahoma" w:hAnsi="Tahoma" w:cs="Tahoma"/>
          <w:color w:val="000000"/>
          <w:sz w:val="16"/>
          <w:szCs w:val="16"/>
          <w:shd w:val="clear" w:color="auto" w:fill="FFFFFF"/>
        </w:rPr>
        <w:t xml:space="preserve">o </w:t>
      </w:r>
      <w:r w:rsidRPr="00804766">
        <w:rPr>
          <w:rStyle w:val="normaltextrun"/>
          <w:rFonts w:ascii="Tahoma" w:hAnsi="Tahoma" w:cs="Tahoma"/>
          <w:color w:val="000000"/>
          <w:sz w:val="16"/>
          <w:szCs w:val="16"/>
          <w:shd w:val="clear" w:color="auto" w:fill="FFFFFF"/>
        </w:rPr>
        <w:t xml:space="preserve">oznámení SÚKL </w:t>
      </w:r>
      <w:r w:rsidRPr="00804766">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tohoto odstavce. </w:t>
      </w:r>
      <w:r w:rsidR="00202A1F" w:rsidRPr="00804766">
        <w:rPr>
          <w:rFonts w:ascii="Tahoma" w:hAnsi="Tahoma" w:cs="Tahoma"/>
          <w:sz w:val="16"/>
          <w:szCs w:val="16"/>
        </w:rPr>
        <w:t xml:space="preserve">Prodávající je povinen doložit kupujícímu podklady prokazující výše </w:t>
      </w:r>
      <w:r w:rsidR="00202A1F" w:rsidRPr="00804766">
        <w:rPr>
          <w:rFonts w:ascii="Tahoma" w:hAnsi="Tahoma" w:cs="Tahoma"/>
          <w:sz w:val="16"/>
          <w:szCs w:val="16"/>
        </w:rPr>
        <w:lastRenderedPageBreak/>
        <w:t>uvedené důvody prodlení nejpozději do 48 hodin od uplynutí termínu pro dodání zboží dle této smlouvy, nedohodnou-li se smluvní strany jinak.</w:t>
      </w: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53"/>
      <w:r w:rsidRPr="004D53EB">
        <w:rPr>
          <w:rFonts w:ascii="Tahoma" w:hAnsi="Tahoma" w:cs="Tahoma"/>
          <w:b/>
          <w:bCs/>
          <w:sz w:val="16"/>
          <w:szCs w:val="16"/>
        </w:rPr>
        <w:t>Místo plnění</w:t>
      </w:r>
      <w:bookmarkEnd w:id="1"/>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64CF9EA2"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kontakt je pro účely této smlouvy</w:t>
      </w:r>
      <w:r w:rsidR="00156DE8">
        <w:rPr>
          <w:rFonts w:ascii="Tahoma" w:hAnsi="Tahoma" w:cs="Tahoma"/>
          <w:sz w:val="16"/>
          <w:szCs w:val="16"/>
        </w:rPr>
        <w:t>: xxxxx</w:t>
      </w:r>
      <w:r w:rsidR="004B0FD6" w:rsidRPr="00231BC6">
        <w:rPr>
          <w:rFonts w:ascii="Tahoma" w:hAnsi="Tahoma" w:cs="Tahoma"/>
          <w:sz w:val="16"/>
          <w:szCs w:val="16"/>
        </w:rPr>
        <w:t xml:space="preserve">, tel.: </w:t>
      </w:r>
      <w:r w:rsidR="00156DE8">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4D405A5E" w14:textId="7B28EB55"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156DE8">
        <w:rPr>
          <w:rFonts w:ascii="Tahoma" w:hAnsi="Tahoma" w:cs="Tahoma"/>
          <w:sz w:val="16"/>
          <w:szCs w:val="16"/>
        </w:rPr>
        <w:t>: xxxxx</w:t>
      </w:r>
      <w:r w:rsidR="004B0FD6" w:rsidRPr="00231BC6">
        <w:rPr>
          <w:rFonts w:ascii="Tahoma" w:hAnsi="Tahoma" w:cs="Tahoma"/>
          <w:sz w:val="16"/>
          <w:szCs w:val="16"/>
        </w:rPr>
        <w:t xml:space="preserve">, tel.: </w:t>
      </w:r>
      <w:r w:rsidR="00156DE8">
        <w:rPr>
          <w:rFonts w:ascii="Tahoma" w:hAnsi="Tahoma" w:cs="Tahoma"/>
          <w:sz w:val="16"/>
          <w:szCs w:val="16"/>
        </w:rPr>
        <w:t>xxxxx</w:t>
      </w:r>
      <w:r w:rsidR="0042769F">
        <w:rPr>
          <w:rFonts w:ascii="Tahoma" w:hAnsi="Tahoma" w:cs="Tahoma"/>
          <w:sz w:val="16"/>
          <w:szCs w:val="16"/>
        </w:rPr>
        <w:t>;</w:t>
      </w:r>
    </w:p>
    <w:p w14:paraId="278DFC8D" w14:textId="7EC4E2BA"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156DE8">
        <w:rPr>
          <w:rFonts w:ascii="Tahoma" w:hAnsi="Tahoma" w:cs="Tahoma"/>
          <w:sz w:val="16"/>
          <w:szCs w:val="16"/>
        </w:rPr>
        <w:t>: xxxxx</w:t>
      </w:r>
      <w:r w:rsidR="004B0FD6" w:rsidRPr="00231BC6">
        <w:rPr>
          <w:rFonts w:ascii="Tahoma" w:hAnsi="Tahoma" w:cs="Tahoma"/>
          <w:sz w:val="16"/>
          <w:szCs w:val="16"/>
        </w:rPr>
        <w:t xml:space="preserve">, tel.: </w:t>
      </w:r>
      <w:r w:rsidR="00156DE8">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710150AE"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smlouvy</w:t>
      </w:r>
      <w:r w:rsidR="00F87AE9" w:rsidRPr="00F87AE9">
        <w:rPr>
          <w:rFonts w:ascii="Tahoma" w:hAnsi="Tahoma" w:cs="Tahoma"/>
          <w:sz w:val="16"/>
          <w:szCs w:val="16"/>
        </w:rPr>
        <w:t>: xxxxx</w:t>
      </w:r>
      <w:r w:rsidR="004B0FD6" w:rsidRPr="00231BC6">
        <w:rPr>
          <w:rFonts w:ascii="Tahoma" w:hAnsi="Tahoma" w:cs="Tahoma"/>
          <w:sz w:val="16"/>
          <w:szCs w:val="16"/>
        </w:rPr>
        <w:t xml:space="preserve">, tel.: </w:t>
      </w:r>
      <w:r w:rsidR="00F87AE9">
        <w:rPr>
          <w:rFonts w:ascii="Tahoma" w:hAnsi="Tahoma" w:cs="Tahoma"/>
          <w:sz w:val="16"/>
          <w:szCs w:val="16"/>
        </w:rPr>
        <w:t>xxxxx</w:t>
      </w:r>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2" w:name="_Ref164170573"/>
      <w:r w:rsidRPr="004D53EB">
        <w:rPr>
          <w:rFonts w:ascii="Tahoma" w:hAnsi="Tahoma" w:cs="Tahoma"/>
          <w:b/>
          <w:bCs/>
          <w:sz w:val="16"/>
          <w:szCs w:val="16"/>
        </w:rPr>
        <w:t>Předání a převzetí zboží</w:t>
      </w:r>
      <w:bookmarkEnd w:id="2"/>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3"/>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4"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4"/>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5"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5"/>
    </w:p>
    <w:p w14:paraId="0B937FBE" w14:textId="47367AEF" w:rsidR="00C655CE" w:rsidRPr="00231BC6"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předpis</w:t>
      </w:r>
      <w:r w:rsidR="002363BB">
        <w:rPr>
          <w:rFonts w:ascii="Tahoma" w:hAnsi="Tahoma" w:cs="Tahoma"/>
          <w:sz w:val="16"/>
          <w:szCs w:val="16"/>
        </w:rPr>
        <w:t>em</w:t>
      </w:r>
      <w:r>
        <w:rPr>
          <w:rFonts w:ascii="Tahoma" w:hAnsi="Tahoma" w:cs="Tahoma"/>
          <w:sz w:val="16"/>
          <w:szCs w:val="16"/>
        </w:rPr>
        <w:t xml:space="preserve">, který ho nahrazuje), celní poplatky, dopravné, balné apod. </w:t>
      </w:r>
      <w:r w:rsidR="00C655CE" w:rsidRPr="00231BC6">
        <w:rPr>
          <w:rFonts w:ascii="Tahoma" w:hAnsi="Tahoma" w:cs="Tahoma"/>
          <w:sz w:val="16"/>
          <w:szCs w:val="16"/>
        </w:rPr>
        <w:t>K této ceně bude připočteno DPH ve výši platné v době dodávky zboží.</w:t>
      </w:r>
    </w:p>
    <w:p w14:paraId="677B4209" w14:textId="6A925AA6" w:rsidR="00140C2C" w:rsidRPr="003D0DE6" w:rsidRDefault="00C655CE" w:rsidP="002D0F06">
      <w:pPr>
        <w:pStyle w:val="Odstavecseseznamem"/>
        <w:numPr>
          <w:ilvl w:val="0"/>
          <w:numId w:val="5"/>
        </w:numPr>
        <w:ind w:left="357" w:hanging="357"/>
        <w:jc w:val="both"/>
        <w:rPr>
          <w:rFonts w:ascii="Tahoma" w:hAnsi="Tahoma" w:cs="Tahoma"/>
          <w:sz w:val="16"/>
          <w:szCs w:val="16"/>
          <w:lang w:bidi="en-US"/>
        </w:rPr>
      </w:pPr>
      <w:r w:rsidRPr="003D0DE6">
        <w:rPr>
          <w:rFonts w:ascii="Tahoma" w:hAnsi="Tahoma" w:cs="Tahoma"/>
          <w:sz w:val="16"/>
          <w:szCs w:val="16"/>
        </w:rPr>
        <w:t>Po dobu účinnosti této smlouvy se prodávající zavazuje, že nepřekročí cenu uvedenou v příloze č.1 smlouvy</w:t>
      </w:r>
      <w:r w:rsidR="00B22FCF" w:rsidRPr="003D0DE6">
        <w:rPr>
          <w:rFonts w:ascii="Tahoma" w:hAnsi="Tahoma" w:cs="Tahoma"/>
          <w:sz w:val="16"/>
          <w:szCs w:val="16"/>
        </w:rPr>
        <w:t>.</w:t>
      </w:r>
      <w:r w:rsidRPr="003D0DE6">
        <w:rPr>
          <w:rFonts w:ascii="Tahoma" w:hAnsi="Tahoma" w:cs="Tahoma"/>
          <w:sz w:val="16"/>
          <w:szCs w:val="16"/>
        </w:rPr>
        <w:t xml:space="preserve"> </w:t>
      </w:r>
      <w:r w:rsidR="00140C2C" w:rsidRPr="003D0DE6">
        <w:rPr>
          <w:rFonts w:ascii="Tahoma" w:hAnsi="Tahoma" w:cs="Tahoma"/>
          <w:sz w:val="16"/>
          <w:szCs w:val="16"/>
        </w:rPr>
        <w:t xml:space="preserve">Kupní cenu lze změnit při prokazatelné změně DPH, a to pouze ve výši shodné s tímto navýšením/snížením. Kupní cenu lze dále zvýšit pouze </w:t>
      </w:r>
      <w:bookmarkStart w:id="6" w:name="_Hlk163732903"/>
      <w:r w:rsidR="00140C2C" w:rsidRPr="003D0DE6">
        <w:rPr>
          <w:rFonts w:ascii="Tahoma" w:hAnsi="Tahoma" w:cs="Tahoma"/>
          <w:sz w:val="16"/>
          <w:szCs w:val="16"/>
        </w:rPr>
        <w:t>za podmínek stanovených v ust. § 222 ZZVZ.</w:t>
      </w:r>
    </w:p>
    <w:bookmarkEnd w:id="6"/>
    <w:p w14:paraId="50996568"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C71718">
        <w:rPr>
          <w:rFonts w:ascii="Tahoma" w:hAnsi="Tahoma" w:cs="Tahoma"/>
          <w:b/>
          <w:bCs/>
          <w:sz w:val="16"/>
          <w:szCs w:val="16"/>
        </w:rPr>
        <w:t>Kupní cena nesmí překročit aktuální úhradu pojišťovny</w:t>
      </w:r>
      <w:r w:rsidRPr="00231BC6">
        <w:rPr>
          <w:rFonts w:ascii="Tahoma" w:hAnsi="Tahoma" w:cs="Tahoma"/>
          <w:sz w:val="16"/>
          <w:szCs w:val="16"/>
        </w:rPr>
        <w:t>,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6213172B" w14:textId="2DF3C233" w:rsidR="00C655CE" w:rsidRPr="00D6043F" w:rsidRDefault="00C655CE" w:rsidP="008D019B">
      <w:pPr>
        <w:pStyle w:val="Odstavecseseznamem"/>
        <w:ind w:left="426"/>
        <w:jc w:val="both"/>
        <w:rPr>
          <w:rStyle w:val="normaltextrun"/>
          <w:rFonts w:ascii="Tahoma" w:hAnsi="Tahoma" w:cs="Tahoma"/>
          <w:color w:val="000000"/>
          <w:sz w:val="16"/>
          <w:szCs w:val="16"/>
          <w:highlight w:val="yellow"/>
          <w:shd w:val="clear" w:color="auto" w:fill="FFFFFF"/>
        </w:rPr>
      </w:pPr>
    </w:p>
    <w:p w14:paraId="765F111D" w14:textId="77777777" w:rsidR="002B09CD" w:rsidRPr="00CD2A4B" w:rsidRDefault="002B09CD" w:rsidP="0055278D">
      <w:pPr>
        <w:spacing w:after="0" w:line="240" w:lineRule="auto"/>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E2C4C48"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7"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elektronicky ve formátu PDF na adres</w:t>
      </w:r>
      <w:r w:rsidR="00F87AE9">
        <w:rPr>
          <w:rFonts w:ascii="Tahoma" w:hAnsi="Tahoma" w:cs="Tahoma"/>
          <w:sz w:val="16"/>
          <w:szCs w:val="16"/>
        </w:rPr>
        <w:t>u xxxxx</w:t>
      </w:r>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BC1EC5">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BC1EC5">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7"/>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5780F6E8"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BC1EC5">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8" w:name="_Ref164170706"/>
      <w:r w:rsidRPr="004D53EB">
        <w:rPr>
          <w:rFonts w:ascii="Tahoma" w:hAnsi="Tahoma" w:cs="Tahoma"/>
          <w:b/>
          <w:bCs/>
          <w:sz w:val="16"/>
          <w:szCs w:val="16"/>
        </w:rPr>
        <w:t>Dodání zboží</w:t>
      </w:r>
      <w:bookmarkEnd w:id="8"/>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9"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9"/>
    </w:p>
    <w:p w14:paraId="6C61A266" w14:textId="5DAB3E40"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_Ref164170573 \r \h </w:instrText>
      </w:r>
      <w:r w:rsidR="00A21C0B">
        <w:rPr>
          <w:rFonts w:ascii="Tahoma" w:hAnsi="Tahoma" w:cs="Tahoma"/>
          <w:sz w:val="16"/>
          <w:szCs w:val="16"/>
        </w:rPr>
      </w:r>
      <w:r w:rsidR="00A21C0B">
        <w:rPr>
          <w:rFonts w:ascii="Tahoma" w:hAnsi="Tahoma" w:cs="Tahoma"/>
          <w:sz w:val="16"/>
          <w:szCs w:val="16"/>
        </w:rPr>
        <w:fldChar w:fldCharType="separate"/>
      </w:r>
      <w:r w:rsidR="00BC1EC5">
        <w:rPr>
          <w:rFonts w:ascii="Tahoma" w:hAnsi="Tahoma" w:cs="Tahoma"/>
          <w:sz w:val="16"/>
          <w:szCs w:val="16"/>
        </w:rPr>
        <w:t>IV</w:t>
      </w:r>
      <w:r w:rsidR="00A21C0B">
        <w:rPr>
          <w:rFonts w:ascii="Tahoma" w:hAnsi="Tahoma" w:cs="Tahoma"/>
          <w:sz w:val="16"/>
          <w:szCs w:val="16"/>
        </w:rPr>
        <w:fldChar w:fldCharType="end"/>
      </w:r>
      <w:r w:rsidRPr="00231BC6">
        <w:rPr>
          <w:rFonts w:ascii="Tahoma" w:hAnsi="Tahoma" w:cs="Tahoma"/>
          <w:sz w:val="16"/>
          <w:szCs w:val="16"/>
        </w:rPr>
        <w:t xml:space="preserve"> odst. </w:t>
      </w:r>
      <w:r w:rsidR="00A21C0B">
        <w:rPr>
          <w:rFonts w:ascii="Tahoma" w:hAnsi="Tahoma" w:cs="Tahoma"/>
          <w:sz w:val="16"/>
          <w:szCs w:val="16"/>
        </w:rPr>
        <w:fldChar w:fldCharType="begin"/>
      </w:r>
      <w:r w:rsidR="00A21C0B">
        <w:rPr>
          <w:rFonts w:ascii="Tahoma" w:hAnsi="Tahoma" w:cs="Tahoma"/>
          <w:sz w:val="16"/>
          <w:szCs w:val="16"/>
        </w:rPr>
        <w:instrText xml:space="preserve"> REF _Ref164170801 \r \h </w:instrText>
      </w:r>
      <w:r w:rsidR="00A21C0B">
        <w:rPr>
          <w:rFonts w:ascii="Tahoma" w:hAnsi="Tahoma" w:cs="Tahoma"/>
          <w:sz w:val="16"/>
          <w:szCs w:val="16"/>
        </w:rPr>
      </w:r>
      <w:r w:rsidR="00A21C0B">
        <w:rPr>
          <w:rFonts w:ascii="Tahoma" w:hAnsi="Tahoma" w:cs="Tahoma"/>
          <w:sz w:val="16"/>
          <w:szCs w:val="16"/>
        </w:rPr>
        <w:fldChar w:fldCharType="separate"/>
      </w:r>
      <w:r w:rsidR="00BC1EC5">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smlouvy.</w:t>
      </w:r>
    </w:p>
    <w:p w14:paraId="1FFF9FA0" w14:textId="2FE42314" w:rsidR="008E6993" w:rsidRPr="003D0DE6" w:rsidRDefault="00C655CE" w:rsidP="002D0F06">
      <w:pPr>
        <w:pStyle w:val="Odstavecseseznamem"/>
        <w:numPr>
          <w:ilvl w:val="0"/>
          <w:numId w:val="7"/>
        </w:numPr>
        <w:jc w:val="both"/>
        <w:rPr>
          <w:rFonts w:ascii="Tahoma" w:hAnsi="Tahoma" w:cs="Tahoma"/>
          <w:sz w:val="16"/>
          <w:szCs w:val="16"/>
        </w:rPr>
      </w:pPr>
      <w:r w:rsidRPr="003D0DE6">
        <w:rPr>
          <w:rFonts w:ascii="Tahoma" w:hAnsi="Tahoma" w:cs="Tahoma"/>
          <w:sz w:val="16"/>
          <w:szCs w:val="16"/>
        </w:rPr>
        <w:t>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w:t>
      </w:r>
      <w:r w:rsidR="003D0DE6">
        <w:rPr>
          <w:rFonts w:ascii="Tahoma" w:hAnsi="Tahoma" w:cs="Tahoma"/>
          <w:sz w:val="16"/>
          <w:szCs w:val="16"/>
        </w:rPr>
        <w:t xml:space="preserve"> 6</w:t>
      </w:r>
      <w:r w:rsidR="00DE2579" w:rsidRPr="003D0DE6">
        <w:rPr>
          <w:rFonts w:ascii="Tahoma" w:hAnsi="Tahoma" w:cs="Tahoma"/>
          <w:sz w:val="16"/>
          <w:szCs w:val="16"/>
        </w:rPr>
        <w:t xml:space="preserve"> </w:t>
      </w:r>
      <w:r w:rsidRPr="003D0DE6">
        <w:rPr>
          <w:rFonts w:ascii="Tahoma" w:hAnsi="Tahoma" w:cs="Tahoma"/>
          <w:sz w:val="16"/>
          <w:szCs w:val="16"/>
        </w:rPr>
        <w:t>měsíců</w:t>
      </w:r>
      <w:r w:rsidR="006D1A03" w:rsidRPr="003D0DE6">
        <w:rPr>
          <w:rFonts w:ascii="Tahoma" w:hAnsi="Tahoma" w:cs="Tahoma"/>
          <w:sz w:val="16"/>
          <w:szCs w:val="16"/>
        </w:rPr>
        <w:t>,</w:t>
      </w:r>
      <w:r w:rsidRPr="003D0DE6">
        <w:rPr>
          <w:rFonts w:ascii="Tahoma" w:hAnsi="Tahoma" w:cs="Tahoma"/>
          <w:sz w:val="16"/>
          <w:szCs w:val="16"/>
        </w:rPr>
        <w:t xml:space="preserve"> a které nemá závady v jakosti ani porušený obal a jehož distribuce nebyla zakázána </w:t>
      </w:r>
      <w:r w:rsidR="001957FB" w:rsidRPr="003D0DE6">
        <w:rPr>
          <w:rFonts w:ascii="Tahoma" w:hAnsi="Tahoma" w:cs="Tahoma"/>
          <w:sz w:val="16"/>
          <w:szCs w:val="16"/>
        </w:rPr>
        <w:t>SÚKL.</w:t>
      </w:r>
      <w:r w:rsidRPr="003D0DE6">
        <w:rPr>
          <w:rFonts w:ascii="Tahoma" w:hAnsi="Tahoma" w:cs="Tahoma"/>
          <w:sz w:val="16"/>
          <w:szCs w:val="16"/>
        </w:rPr>
        <w:t xml:space="preserve"> Záruční doba zboží končí posledním dnem exspirační doby vyznačené na zboží.</w:t>
      </w:r>
      <w:r w:rsidR="008E6993" w:rsidRPr="003D0DE6">
        <w:rPr>
          <w:rFonts w:ascii="Tahoma" w:hAnsi="Tahoma" w:cs="Tahoma"/>
          <w:sz w:val="16"/>
          <w:szCs w:val="16"/>
        </w:rPr>
        <w:t xml:space="preserve"> </w:t>
      </w:r>
      <w:r w:rsidR="002874D9" w:rsidRPr="003D0DE6">
        <w:rPr>
          <w:rFonts w:ascii="Tahoma" w:hAnsi="Tahoma" w:cs="Tahoma"/>
          <w:sz w:val="16"/>
          <w:szCs w:val="16"/>
        </w:rPr>
        <w:t>Zboží, u něhož ke dni dodání uplynula více než 1/3 exspirační doby, není kupující povinen přijmout.</w:t>
      </w:r>
    </w:p>
    <w:p w14:paraId="31C614B0" w14:textId="77777777" w:rsidR="00C655CE" w:rsidRPr="003D0DE6" w:rsidRDefault="00C655CE">
      <w:pPr>
        <w:numPr>
          <w:ilvl w:val="0"/>
          <w:numId w:val="7"/>
        </w:numPr>
        <w:autoSpaceDE w:val="0"/>
        <w:autoSpaceDN w:val="0"/>
        <w:adjustRightInd w:val="0"/>
        <w:spacing w:after="0" w:line="240" w:lineRule="auto"/>
        <w:jc w:val="both"/>
        <w:rPr>
          <w:rFonts w:ascii="Tahoma" w:hAnsi="Tahoma" w:cs="Tahoma"/>
          <w:sz w:val="16"/>
          <w:szCs w:val="16"/>
        </w:rPr>
      </w:pPr>
      <w:r w:rsidRPr="003D0DE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001D0D7C">
        <w:rPr>
          <w:rFonts w:ascii="Tahoma" w:hAnsi="Tahoma" w:cs="Tahoma"/>
          <w:sz w:val="16"/>
          <w:szCs w:val="16"/>
        </w:rPr>
        <w:t>ZoL</w:t>
      </w:r>
      <w:r w:rsidRPr="00231BC6">
        <w:rPr>
          <w:rFonts w:ascii="Tahoma" w:hAnsi="Tahoma" w:cs="Tahoma"/>
          <w:sz w:val="16"/>
          <w:szCs w:val="16"/>
        </w:rPr>
        <w:t xml:space="preserve"> a vyhláškou č. 229/2008 Sb., o výrobě a distribuci léčiv.</w:t>
      </w:r>
    </w:p>
    <w:p w14:paraId="07A0132D" w14:textId="72C24C0E" w:rsidR="00C655CE" w:rsidRDefault="00E25645" w:rsidP="004D4651">
      <w:pPr>
        <w:numPr>
          <w:ilvl w:val="0"/>
          <w:numId w:val="7"/>
        </w:numPr>
        <w:autoSpaceDN w:val="0"/>
        <w:spacing w:after="0" w:line="240" w:lineRule="auto"/>
        <w:jc w:val="both"/>
        <w:rPr>
          <w:rFonts w:ascii="Tahoma" w:hAnsi="Tahoma" w:cs="Tahoma"/>
          <w:sz w:val="16"/>
          <w:szCs w:val="16"/>
        </w:rPr>
      </w:pPr>
      <w:bookmarkStart w:id="10" w:name="_Ref163651756"/>
      <w:bookmarkStart w:id="11" w:name="_Hlk163735430"/>
      <w:r w:rsidRPr="003B3766">
        <w:rPr>
          <w:rFonts w:ascii="Tahoma" w:hAnsi="Tahoma" w:cs="Tahoma"/>
          <w:sz w:val="16"/>
          <w:szCs w:val="16"/>
        </w:rPr>
        <w:t xml:space="preserve">Prodávající je povinen při každé změně skladovacích podmínek zboží zaslat kupujícímu </w:t>
      </w:r>
      <w:r>
        <w:rPr>
          <w:rFonts w:ascii="Tahoma" w:hAnsi="Tahoma" w:cs="Tahoma"/>
          <w:sz w:val="16"/>
          <w:szCs w:val="16"/>
        </w:rPr>
        <w:t>aktuální dokumentaci</w:t>
      </w:r>
      <w:r w:rsidR="001D4BEE">
        <w:rPr>
          <w:rFonts w:ascii="Tahoma" w:hAnsi="Tahoma" w:cs="Tahoma"/>
          <w:sz w:val="16"/>
          <w:szCs w:val="16"/>
        </w:rPr>
        <w:t xml:space="preserve"> (zpravidla SmPC)</w:t>
      </w:r>
      <w:r w:rsidR="00126518">
        <w:rPr>
          <w:rFonts w:ascii="Tahoma" w:hAnsi="Tahoma" w:cs="Tahoma"/>
          <w:sz w:val="16"/>
          <w:szCs w:val="16"/>
        </w:rPr>
        <w:t xml:space="preserve">, </w:t>
      </w:r>
      <w:r w:rsidRPr="003B3766">
        <w:rPr>
          <w:rFonts w:ascii="Tahoma" w:hAnsi="Tahoma" w:cs="Tahoma"/>
          <w:sz w:val="16"/>
          <w:szCs w:val="16"/>
        </w:rPr>
        <w:t>kter</w:t>
      </w:r>
      <w:r w:rsidR="00126518">
        <w:rPr>
          <w:rFonts w:ascii="Tahoma" w:hAnsi="Tahoma" w:cs="Tahoma"/>
          <w:sz w:val="16"/>
          <w:szCs w:val="16"/>
        </w:rPr>
        <w:t>ou</w:t>
      </w:r>
      <w:r w:rsidRPr="003B3766">
        <w:rPr>
          <w:rFonts w:ascii="Tahoma" w:hAnsi="Tahoma" w:cs="Tahoma"/>
          <w:sz w:val="16"/>
          <w:szCs w:val="16"/>
        </w:rPr>
        <w:t xml:space="preserve"> jsou stanoveny podmínky pro nakládání se zbožím (zejména podmínky skladování – teplota, vlhkost apod.) nejpozději ke dni účinnosti změny.</w:t>
      </w:r>
      <w:bookmarkEnd w:id="10"/>
      <w:bookmarkEnd w:id="11"/>
    </w:p>
    <w:p w14:paraId="6DEB09F1" w14:textId="77777777" w:rsidR="004D4651" w:rsidRPr="004D4651" w:rsidRDefault="004D4651" w:rsidP="004D4651">
      <w:pPr>
        <w:autoSpaceDN w:val="0"/>
        <w:spacing w:after="0" w:line="240" w:lineRule="auto"/>
        <w:ind w:left="360"/>
        <w:jc w:val="both"/>
        <w:rPr>
          <w:rFonts w:ascii="Tahoma" w:hAnsi="Tahoma" w:cs="Tahoma"/>
          <w:sz w:val="16"/>
          <w:szCs w:val="16"/>
        </w:rPr>
      </w:pPr>
    </w:p>
    <w:p w14:paraId="1AC65BD8" w14:textId="583897AA" w:rsidR="00F54E07" w:rsidRPr="003D0DE6"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9618462"/>
      <w:r w:rsidRPr="003D0DE6">
        <w:rPr>
          <w:rFonts w:ascii="Tahoma" w:hAnsi="Tahoma" w:cs="Tahoma"/>
          <w:b/>
          <w:bCs/>
          <w:sz w:val="16"/>
          <w:szCs w:val="16"/>
        </w:rPr>
        <w:lastRenderedPageBreak/>
        <w:t>Vyhrazená změna závazku</w:t>
      </w:r>
      <w:bookmarkEnd w:id="12"/>
    </w:p>
    <w:p w14:paraId="7CF78DC2" w14:textId="0649FCEE" w:rsidR="006D027B" w:rsidRPr="003D0DE6"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3D0DE6">
        <w:rPr>
          <w:rFonts w:ascii="Tahoma" w:hAnsi="Tahoma" w:cs="Tahoma"/>
          <w:color w:val="000000" w:themeColor="text1"/>
          <w:sz w:val="16"/>
          <w:szCs w:val="16"/>
        </w:rPr>
        <w:t xml:space="preserve">Kupující </w:t>
      </w:r>
      <w:r w:rsidRPr="003D0DE6">
        <w:rPr>
          <w:rFonts w:ascii="Tahoma" w:eastAsia="MS Mincho" w:hAnsi="Tahoma" w:cs="Tahoma"/>
          <w:sz w:val="16"/>
          <w:szCs w:val="16"/>
        </w:rPr>
        <w:t xml:space="preserve">si v souladu s ustanovením § 100 odst. 1 ZZVZ vyhrazuje změnu závazku ze smlouvy spočívající </w:t>
      </w:r>
      <w:r w:rsidRPr="003D0DE6">
        <w:rPr>
          <w:rFonts w:ascii="Tahoma" w:eastAsia="MS Mincho" w:hAnsi="Tahoma" w:cs="Tahoma"/>
          <w:b/>
          <w:bCs/>
          <w:sz w:val="16"/>
          <w:szCs w:val="16"/>
        </w:rPr>
        <w:t>v právu kupujícího</w:t>
      </w:r>
      <w:r w:rsidRPr="003D0DE6">
        <w:rPr>
          <w:rFonts w:ascii="Tahoma" w:eastAsia="MS Mincho" w:hAnsi="Tahoma" w:cs="Tahoma"/>
          <w:sz w:val="16"/>
          <w:szCs w:val="16"/>
        </w:rPr>
        <w:t xml:space="preserve"> namísto zboží specifikovaného v </w:t>
      </w:r>
      <w:r w:rsidRPr="003D0DE6">
        <w:rPr>
          <w:rFonts w:ascii="Tahoma" w:eastAsia="MS Mincho" w:hAnsi="Tahoma" w:cs="Tahoma"/>
          <w:sz w:val="16"/>
          <w:szCs w:val="16"/>
          <w:u w:val="single"/>
        </w:rPr>
        <w:t>příloze č. 1</w:t>
      </w:r>
      <w:r w:rsidRPr="003D0DE6">
        <w:rPr>
          <w:rFonts w:ascii="Tahoma" w:eastAsia="MS Mincho" w:hAnsi="Tahoma" w:cs="Tahoma"/>
          <w:sz w:val="16"/>
          <w:szCs w:val="16"/>
        </w:rPr>
        <w:t xml:space="preserve"> </w:t>
      </w:r>
      <w:r w:rsidR="6734F89C" w:rsidRPr="003D0DE6">
        <w:rPr>
          <w:rFonts w:ascii="Tahoma" w:eastAsia="MS Mincho" w:hAnsi="Tahoma" w:cs="Tahoma"/>
          <w:sz w:val="16"/>
          <w:szCs w:val="16"/>
        </w:rPr>
        <w:t>s</w:t>
      </w:r>
      <w:r w:rsidRPr="003D0DE6">
        <w:rPr>
          <w:rFonts w:ascii="Tahoma" w:eastAsia="MS Mincho" w:hAnsi="Tahoma" w:cs="Tahoma"/>
          <w:sz w:val="16"/>
          <w:szCs w:val="16"/>
        </w:rPr>
        <w:t>mlouvy, odebírat od prodávajícího jiné (náhradní) zboží při kumulativním splnění podmínek, že:</w:t>
      </w:r>
    </w:p>
    <w:p w14:paraId="40065844" w14:textId="794C3308" w:rsidR="006D027B" w:rsidRPr="003D0DE6"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3D0DE6">
        <w:rPr>
          <w:rFonts w:ascii="Tahoma" w:hAnsi="Tahoma" w:cs="Tahoma"/>
          <w:color w:val="000000" w:themeColor="text1"/>
          <w:sz w:val="16"/>
          <w:szCs w:val="16"/>
        </w:rPr>
        <w:t>se v případě náhradního léčivého přípravku bude jednat o</w:t>
      </w:r>
      <w:r w:rsidRPr="003D0DE6">
        <w:rPr>
          <w:rFonts w:ascii="Tahoma" w:eastAsia="MS Mincho" w:hAnsi="Tahoma" w:cs="Tahoma"/>
          <w:sz w:val="16"/>
          <w:szCs w:val="16"/>
        </w:rPr>
        <w:t xml:space="preserve"> léčivý přípravek plně náležející do stejné ATC skupiny jako původní léčivý přípravek dle Přílohy č. 1 </w:t>
      </w:r>
      <w:r w:rsidR="00A209A6" w:rsidRPr="003D0DE6">
        <w:rPr>
          <w:rFonts w:ascii="Tahoma" w:eastAsia="MS Mincho" w:hAnsi="Tahoma" w:cs="Tahoma"/>
          <w:sz w:val="16"/>
          <w:szCs w:val="16"/>
        </w:rPr>
        <w:t>s</w:t>
      </w:r>
      <w:r w:rsidRPr="003D0DE6">
        <w:rPr>
          <w:rFonts w:ascii="Tahoma" w:eastAsia="MS Mincho" w:hAnsi="Tahoma" w:cs="Tahoma"/>
          <w:sz w:val="16"/>
          <w:szCs w:val="16"/>
        </w:rPr>
        <w:t xml:space="preserve">mlouvy, </w:t>
      </w:r>
    </w:p>
    <w:p w14:paraId="4E750E3B" w14:textId="20B91A6F" w:rsidR="006D027B" w:rsidRPr="003D0DE6"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3D0DE6">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3D0DE6"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3D0DE6">
        <w:rPr>
          <w:rFonts w:ascii="Tahoma" w:eastAsia="MS Mincho" w:hAnsi="Tahoma" w:cs="Tahoma"/>
          <w:sz w:val="16"/>
          <w:szCs w:val="16"/>
        </w:rPr>
        <w:t>n</w:t>
      </w:r>
      <w:r w:rsidR="004F7989" w:rsidRPr="003D0DE6">
        <w:rPr>
          <w:rFonts w:ascii="Tahoma" w:eastAsia="MS Mincho" w:hAnsi="Tahoma" w:cs="Tahoma"/>
          <w:sz w:val="16"/>
          <w:szCs w:val="16"/>
        </w:rPr>
        <w:t>áhradní přípravek má stejná indikační kritéria jako původní léčivý přípravek,</w:t>
      </w:r>
    </w:p>
    <w:p w14:paraId="7BAFCBFD" w14:textId="2C0A8296" w:rsidR="006D027B" w:rsidRPr="003D0DE6"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3D0DE6">
        <w:rPr>
          <w:rFonts w:ascii="Tahoma" w:eastAsia="MS Mincho" w:hAnsi="Tahoma" w:cs="Tahoma"/>
          <w:sz w:val="16"/>
          <w:szCs w:val="16"/>
        </w:rPr>
        <w:t>náhradní léčivý přípravek je ve stejné lékové formě</w:t>
      </w:r>
      <w:r w:rsidR="004F7989" w:rsidRPr="003D0DE6">
        <w:rPr>
          <w:rFonts w:ascii="Tahoma" w:eastAsia="MS Mincho" w:hAnsi="Tahoma" w:cs="Tahoma"/>
          <w:sz w:val="16"/>
          <w:szCs w:val="16"/>
        </w:rPr>
        <w:t xml:space="preserve"> a bude dodáván ve stejném balení</w:t>
      </w:r>
      <w:r w:rsidRPr="003D0DE6">
        <w:rPr>
          <w:rFonts w:ascii="Tahoma" w:eastAsia="MS Mincho" w:hAnsi="Tahoma" w:cs="Tahoma"/>
          <w:sz w:val="16"/>
          <w:szCs w:val="16"/>
        </w:rPr>
        <w:t xml:space="preserve"> jako původní léčivý přípravek, </w:t>
      </w:r>
    </w:p>
    <w:p w14:paraId="2231B1F5" w14:textId="14132F45" w:rsidR="006D027B" w:rsidRPr="003D0DE6" w:rsidRDefault="006D027B" w:rsidP="00881AEE">
      <w:pPr>
        <w:pStyle w:val="Odstavecseseznamem1"/>
        <w:tabs>
          <w:tab w:val="left" w:pos="426"/>
        </w:tabs>
        <w:suppressAutoHyphens w:val="0"/>
        <w:ind w:left="425"/>
        <w:jc w:val="both"/>
        <w:rPr>
          <w:rFonts w:ascii="Tahoma" w:eastAsia="MS Mincho" w:hAnsi="Tahoma" w:cs="Tahoma"/>
          <w:sz w:val="16"/>
          <w:szCs w:val="16"/>
        </w:rPr>
      </w:pPr>
      <w:r w:rsidRPr="003D0DE6">
        <w:rPr>
          <w:rFonts w:ascii="Tahoma" w:eastAsia="MS Mincho" w:hAnsi="Tahoma" w:cs="Tahoma"/>
          <w:sz w:val="16"/>
          <w:szCs w:val="16"/>
        </w:rPr>
        <w:t xml:space="preserve">přičemž dále platí, že cena tohoto náhradního zboží nepřesáhne sjednanou cenu původního zboží dle </w:t>
      </w:r>
      <w:r w:rsidRPr="003D0DE6">
        <w:rPr>
          <w:rFonts w:ascii="Tahoma" w:eastAsia="MS Mincho" w:hAnsi="Tahoma" w:cs="Tahoma"/>
          <w:sz w:val="16"/>
          <w:szCs w:val="16"/>
          <w:u w:val="single"/>
        </w:rPr>
        <w:t>přílohy č. 1</w:t>
      </w:r>
      <w:r w:rsidRPr="003D0DE6">
        <w:rPr>
          <w:rFonts w:ascii="Tahoma" w:eastAsia="MS Mincho" w:hAnsi="Tahoma" w:cs="Tahoma"/>
          <w:sz w:val="16"/>
          <w:szCs w:val="16"/>
        </w:rPr>
        <w:t xml:space="preserve"> </w:t>
      </w:r>
      <w:r w:rsidR="00C460EF" w:rsidRPr="003D0DE6">
        <w:rPr>
          <w:rFonts w:ascii="Tahoma" w:hAnsi="Tahoma" w:cs="Tahoma"/>
          <w:sz w:val="16"/>
          <w:szCs w:val="16"/>
          <w:lang w:bidi="en-US"/>
        </w:rPr>
        <w:t>s</w:t>
      </w:r>
      <w:r w:rsidRPr="003D0DE6">
        <w:rPr>
          <w:rFonts w:ascii="Tahoma" w:eastAsia="MS Mincho" w:hAnsi="Tahoma" w:cs="Tahoma"/>
          <w:sz w:val="16"/>
          <w:szCs w:val="16"/>
        </w:rPr>
        <w:t>mlouvy, a u něhož prodávající k náhradnímu zboží doložil rozhodnutí SÚKLu o jeho registraci ve smyslu ZoL. Prodávající se současně zavazuje předložit kupujícímu bezodkladně veškeré podklady a informace, ze kterých bude vyplývat splnění veškerých výše uvedených podmínek ve vztahu k náhradnímu zboží.</w:t>
      </w:r>
    </w:p>
    <w:p w14:paraId="399AB08E" w14:textId="7A3B62AA" w:rsidR="00F54E07" w:rsidRPr="00B9201A" w:rsidRDefault="00E646F9" w:rsidP="00B9201A">
      <w:pPr>
        <w:pStyle w:val="Odstavecseseznamem"/>
        <w:numPr>
          <w:ilvl w:val="0"/>
          <w:numId w:val="30"/>
        </w:numPr>
        <w:autoSpaceDE w:val="0"/>
        <w:autoSpaceDN w:val="0"/>
        <w:ind w:left="425" w:hanging="357"/>
        <w:jc w:val="both"/>
        <w:rPr>
          <w:rFonts w:ascii="Tahoma" w:hAnsi="Tahoma" w:cs="Tahoma"/>
          <w:sz w:val="16"/>
          <w:szCs w:val="16"/>
        </w:rPr>
      </w:pPr>
      <w:r w:rsidRPr="003D0DE6">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3D0DE6">
        <w:rPr>
          <w:rFonts w:ascii="Tahoma" w:hAnsi="Tahoma" w:cs="Tahoma"/>
          <w:sz w:val="16"/>
          <w:szCs w:val="16"/>
        </w:rPr>
        <w:t>ZZVZ</w:t>
      </w:r>
      <w:r w:rsidRPr="003D0DE6">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3D0DE6">
        <w:rPr>
          <w:rFonts w:ascii="Tahoma" w:hAnsi="Tahoma" w:cs="Tahoma"/>
          <w:sz w:val="16"/>
          <w:szCs w:val="16"/>
        </w:rPr>
        <w:t xml:space="preserve">příslušného </w:t>
      </w:r>
      <w:r w:rsidRPr="003D0DE6">
        <w:rPr>
          <w:rFonts w:ascii="Tahoma" w:hAnsi="Tahoma" w:cs="Tahoma"/>
          <w:sz w:val="16"/>
          <w:szCs w:val="16"/>
        </w:rPr>
        <w:t>zadávacího řízení, který se umístil jako další v pořadí dle původních výsledků zadávacího řízení za vybraným dodavatelem</w:t>
      </w:r>
      <w:r w:rsidR="008D3A8D" w:rsidRPr="003D0DE6">
        <w:rPr>
          <w:rFonts w:ascii="Tahoma" w:hAnsi="Tahoma" w:cs="Tahoma"/>
          <w:sz w:val="16"/>
          <w:szCs w:val="16"/>
        </w:rPr>
        <w:t>,</w:t>
      </w:r>
      <w:r w:rsidR="00665B2E" w:rsidRPr="003D0DE6">
        <w:rPr>
          <w:rFonts w:ascii="Tahoma" w:hAnsi="Tahoma" w:cs="Tahoma"/>
          <w:sz w:val="16"/>
          <w:szCs w:val="16"/>
        </w:rPr>
        <w:t xml:space="preserve"> tj. prodávajícím dle této smlouvy</w:t>
      </w:r>
      <w:r w:rsidR="008D3A8D" w:rsidRPr="003D0DE6">
        <w:rPr>
          <w:rFonts w:ascii="Tahoma" w:hAnsi="Tahoma" w:cs="Tahoma"/>
          <w:sz w:val="16"/>
          <w:szCs w:val="16"/>
        </w:rPr>
        <w:t>,</w:t>
      </w:r>
      <w:r w:rsidRPr="003D0DE6">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3D0DE6">
        <w:rPr>
          <w:rFonts w:ascii="Tahoma" w:hAnsi="Tahoma" w:cs="Tahoma"/>
          <w:sz w:val="16"/>
          <w:szCs w:val="16"/>
        </w:rPr>
        <w:t xml:space="preserve">příslušného </w:t>
      </w:r>
      <w:r w:rsidRPr="003D0DE6">
        <w:rPr>
          <w:rFonts w:ascii="Tahoma" w:hAnsi="Tahoma" w:cs="Tahoma"/>
          <w:sz w:val="16"/>
          <w:szCs w:val="16"/>
        </w:rPr>
        <w:t xml:space="preserve">zadávacího řízení do 5 pracovních dnů ode dne předčasného ukončení účinnosti </w:t>
      </w:r>
      <w:r w:rsidR="005209E2" w:rsidRPr="003D0DE6">
        <w:rPr>
          <w:rFonts w:ascii="Tahoma" w:hAnsi="Tahoma" w:cs="Tahoma"/>
          <w:sz w:val="16"/>
          <w:szCs w:val="16"/>
        </w:rPr>
        <w:t xml:space="preserve">této </w:t>
      </w:r>
      <w:r w:rsidRPr="003D0DE6">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3D0DE6">
        <w:rPr>
          <w:rFonts w:ascii="Tahoma" w:hAnsi="Tahoma" w:cs="Tahoma"/>
          <w:sz w:val="16"/>
          <w:szCs w:val="16"/>
        </w:rPr>
        <w:t xml:space="preserve">kupujícího </w:t>
      </w:r>
      <w:r w:rsidRPr="003D0DE6">
        <w:rPr>
          <w:rFonts w:ascii="Tahoma" w:hAnsi="Tahoma" w:cs="Tahoma"/>
          <w:sz w:val="16"/>
          <w:szCs w:val="16"/>
        </w:rPr>
        <w:t>na uzavření smlouvy na veřejnou zakázku, stává se vybraným dodavatelem.</w:t>
      </w:r>
      <w:r w:rsidR="00046FC9" w:rsidRPr="003D0DE6">
        <w:rPr>
          <w:rFonts w:ascii="Tahoma" w:hAnsi="Tahoma" w:cs="Tahoma"/>
          <w:sz w:val="16"/>
          <w:szCs w:val="16"/>
        </w:rPr>
        <w:t xml:space="preserve"> </w:t>
      </w:r>
      <w:r w:rsidRPr="003D0DE6">
        <w:rPr>
          <w:rFonts w:ascii="Tahoma" w:hAnsi="Tahoma" w:cs="Tahoma"/>
          <w:sz w:val="16"/>
          <w:szCs w:val="16"/>
        </w:rPr>
        <w:t>Ve vztahu k</w:t>
      </w:r>
      <w:r w:rsidR="00B27D1E" w:rsidRPr="003D0DE6">
        <w:rPr>
          <w:rFonts w:ascii="Tahoma" w:hAnsi="Tahoma" w:cs="Tahoma"/>
          <w:sz w:val="16"/>
          <w:szCs w:val="16"/>
        </w:rPr>
        <w:t>e</w:t>
      </w:r>
      <w:r w:rsidRPr="003D0DE6">
        <w:rPr>
          <w:rFonts w:ascii="Tahoma" w:hAnsi="Tahoma" w:cs="Tahoma"/>
          <w:sz w:val="16"/>
          <w:szCs w:val="16"/>
        </w:rPr>
        <w:t> kupní ceně tato nesmí být vyšší, než byla nabídková cena obsažena v nabídce kupujícím osloveného</w:t>
      </w:r>
      <w:r w:rsidR="00BC557D" w:rsidRPr="003D0DE6">
        <w:rPr>
          <w:rFonts w:ascii="Tahoma" w:hAnsi="Tahoma" w:cs="Tahoma"/>
          <w:sz w:val="16"/>
          <w:szCs w:val="16"/>
        </w:rPr>
        <w:t xml:space="preserve"> v pořadí</w:t>
      </w:r>
      <w:r w:rsidRPr="003D0DE6">
        <w:rPr>
          <w:rFonts w:ascii="Tahoma" w:hAnsi="Tahoma" w:cs="Tahoma"/>
          <w:sz w:val="16"/>
          <w:szCs w:val="16"/>
        </w:rPr>
        <w:t xml:space="preserve"> dalšího </w:t>
      </w:r>
      <w:r w:rsidR="00BC557D" w:rsidRPr="003D0DE6">
        <w:rPr>
          <w:rFonts w:ascii="Tahoma" w:hAnsi="Tahoma" w:cs="Tahoma"/>
          <w:sz w:val="16"/>
          <w:szCs w:val="16"/>
        </w:rPr>
        <w:t xml:space="preserve">účastníka </w:t>
      </w:r>
      <w:r w:rsidRPr="003D0DE6">
        <w:rPr>
          <w:rFonts w:ascii="Tahoma" w:hAnsi="Tahoma" w:cs="Tahoma"/>
          <w:sz w:val="16"/>
          <w:szCs w:val="16"/>
        </w:rPr>
        <w:t xml:space="preserve">řízení na </w:t>
      </w:r>
      <w:r w:rsidR="00BC557D" w:rsidRPr="003D0DE6">
        <w:rPr>
          <w:rFonts w:ascii="Tahoma" w:hAnsi="Tahoma" w:cs="Tahoma"/>
          <w:sz w:val="16"/>
          <w:szCs w:val="16"/>
        </w:rPr>
        <w:t xml:space="preserve">předmětnou </w:t>
      </w:r>
      <w:r w:rsidRPr="003D0DE6">
        <w:rPr>
          <w:rFonts w:ascii="Tahoma" w:hAnsi="Tahoma" w:cs="Tahoma"/>
          <w:sz w:val="16"/>
          <w:szCs w:val="16"/>
        </w:rPr>
        <w:t>veřejnou zakázku</w:t>
      </w:r>
      <w:r w:rsidR="00BC557D" w:rsidRPr="003D0DE6">
        <w:rPr>
          <w:rFonts w:ascii="Tahoma" w:hAnsi="Tahoma" w:cs="Tahoma"/>
          <w:sz w:val="16"/>
          <w:szCs w:val="16"/>
        </w:rPr>
        <w:t xml:space="preserve"> v</w:t>
      </w:r>
      <w:r w:rsidR="007B4F51" w:rsidRPr="003D0DE6">
        <w:rPr>
          <w:rFonts w:ascii="Tahoma" w:hAnsi="Tahoma" w:cs="Tahoma"/>
          <w:sz w:val="16"/>
          <w:szCs w:val="16"/>
        </w:rPr>
        <w:t> </w:t>
      </w:r>
      <w:r w:rsidR="00BC557D" w:rsidRPr="003D0DE6">
        <w:rPr>
          <w:rFonts w:ascii="Tahoma" w:hAnsi="Tahoma" w:cs="Tahoma"/>
          <w:sz w:val="16"/>
          <w:szCs w:val="16"/>
        </w:rPr>
        <w:t>zavedené</w:t>
      </w:r>
      <w:r w:rsidR="007B4F51" w:rsidRPr="003D0DE6">
        <w:rPr>
          <w:rFonts w:ascii="Tahoma" w:hAnsi="Tahoma" w:cs="Tahoma"/>
          <w:sz w:val="16"/>
          <w:szCs w:val="16"/>
        </w:rPr>
        <w:t>m DNS</w:t>
      </w:r>
      <w:r w:rsidRPr="003D0DE6">
        <w:rPr>
          <w:rFonts w:ascii="Tahoma" w:hAnsi="Tahoma" w:cs="Tahoma"/>
          <w:sz w:val="16"/>
          <w:szCs w:val="16"/>
        </w:rPr>
        <w:t xml:space="preserve">. </w:t>
      </w:r>
    </w:p>
    <w:p w14:paraId="2CD455C7" w14:textId="77777777" w:rsidR="00F54E07"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3" w:name="_Ref165622700"/>
      <w:r w:rsidRPr="004D53EB">
        <w:rPr>
          <w:rFonts w:ascii="Tahoma" w:hAnsi="Tahoma" w:cs="Tahoma"/>
          <w:b/>
          <w:bCs/>
          <w:sz w:val="16"/>
          <w:szCs w:val="16"/>
        </w:rPr>
        <w:t>Pojištění odpovědnosti</w:t>
      </w:r>
      <w:bookmarkEnd w:id="13"/>
    </w:p>
    <w:p w14:paraId="2C8D1EC1" w14:textId="6167D9E3"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4" w:name="_Ref164170838"/>
      <w:r w:rsidRPr="00231BC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3D0DE6">
        <w:rPr>
          <w:rFonts w:ascii="Tahoma" w:hAnsi="Tahoma" w:cs="Tahoma"/>
          <w:sz w:val="16"/>
          <w:szCs w:val="16"/>
        </w:rPr>
        <w:t xml:space="preserve">výši </w:t>
      </w:r>
      <w:r w:rsidR="00551769" w:rsidRPr="003D0DE6">
        <w:rPr>
          <w:rFonts w:ascii="Tahoma" w:hAnsi="Tahoma" w:cs="Tahoma"/>
          <w:sz w:val="16"/>
          <w:szCs w:val="16"/>
        </w:rPr>
        <w:t>10</w:t>
      </w:r>
      <w:r w:rsidR="004D4512" w:rsidRPr="003D0DE6">
        <w:rPr>
          <w:rFonts w:ascii="Tahoma" w:hAnsi="Tahoma" w:cs="Tahoma"/>
          <w:sz w:val="16"/>
          <w:szCs w:val="16"/>
        </w:rPr>
        <w:t>.</w:t>
      </w:r>
      <w:r w:rsidR="00551769" w:rsidRPr="003D0DE6">
        <w:rPr>
          <w:rFonts w:ascii="Tahoma" w:hAnsi="Tahoma" w:cs="Tahoma"/>
          <w:sz w:val="16"/>
          <w:szCs w:val="16"/>
        </w:rPr>
        <w:t>000</w:t>
      </w:r>
      <w:r w:rsidR="0059792E" w:rsidRPr="003D0DE6">
        <w:rPr>
          <w:rFonts w:ascii="Tahoma" w:hAnsi="Tahoma" w:cs="Tahoma"/>
          <w:sz w:val="16"/>
          <w:szCs w:val="16"/>
        </w:rPr>
        <w:t>.</w:t>
      </w:r>
      <w:r w:rsidR="00551769" w:rsidRPr="003D0DE6">
        <w:rPr>
          <w:rFonts w:ascii="Tahoma" w:hAnsi="Tahoma" w:cs="Tahoma"/>
          <w:sz w:val="16"/>
          <w:szCs w:val="16"/>
        </w:rPr>
        <w:t xml:space="preserve">000,- </w:t>
      </w:r>
      <w:r w:rsidRPr="003D0DE6">
        <w:rPr>
          <w:rFonts w:ascii="Tahoma" w:hAnsi="Tahoma" w:cs="Tahoma"/>
          <w:sz w:val="16"/>
          <w:szCs w:val="16"/>
        </w:rPr>
        <w:t>Kč</w:t>
      </w:r>
      <w:r w:rsidR="00942795" w:rsidRPr="003D0DE6">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003D0DE6">
        <w:rPr>
          <w:rFonts w:ascii="Tahoma" w:hAnsi="Tahoma" w:cs="Tahoma"/>
          <w:sz w:val="16"/>
          <w:szCs w:val="16"/>
        </w:rPr>
        <w:t>.</w:t>
      </w:r>
      <w:bookmarkEnd w:id="14"/>
    </w:p>
    <w:p w14:paraId="06EB4704" w14:textId="045BDAD2"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 xml:space="preserve">udržovat 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BC1EC5">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28EDC9B8"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5"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je kupující oprávněn požadovat zaplacení jednorázové smluvní pokuty ve výši 10.000,- Kč za první započatý den prodlení, a dále zaplacení smluvní pokuty ve výši 0,5</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5"/>
      <w:r w:rsidRPr="006E7D78">
        <w:rPr>
          <w:rFonts w:ascii="Tahoma" w:hAnsi="Tahoma" w:cs="Tahoma"/>
          <w:sz w:val="16"/>
          <w:szCs w:val="16"/>
        </w:rPr>
        <w:t xml:space="preserve"> </w:t>
      </w:r>
    </w:p>
    <w:p w14:paraId="6C5F7476" w14:textId="6A23BFD2"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w:t>
      </w:r>
      <w:r w:rsidR="001D0D7C">
        <w:rPr>
          <w:rStyle w:val="normaltextrun"/>
          <w:rFonts w:ascii="Tahoma" w:hAnsi="Tahoma" w:cs="Tahoma"/>
          <w:color w:val="000000"/>
          <w:sz w:val="16"/>
          <w:szCs w:val="16"/>
          <w:shd w:val="clear" w:color="auto" w:fill="FFFFFF"/>
        </w:rPr>
        <w:t>ZoL</w:t>
      </w:r>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BC1EC5">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4EC3C71A"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BC1EC5">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0D8CE86E"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BC1EC5">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BC1EC5">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5CF61650" w14:textId="7161ADED" w:rsidR="00C655CE"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p w14:paraId="373C8F60" w14:textId="3ABAD1DF"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6" w:name="_Hlk164176981"/>
      <w:r w:rsidRPr="003B3766">
        <w:rPr>
          <w:rFonts w:ascii="Tahoma" w:hAnsi="Tahoma" w:cs="Tahoma"/>
          <w:sz w:val="16"/>
          <w:szCs w:val="16"/>
        </w:rPr>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BC1EC5">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BC1EC5">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nebo čl. </w:t>
      </w:r>
      <w:r w:rsidR="00D54FCC">
        <w:rPr>
          <w:rFonts w:ascii="Tahoma" w:hAnsi="Tahoma" w:cs="Tahoma"/>
          <w:sz w:val="16"/>
          <w:szCs w:val="16"/>
        </w:rPr>
        <w:fldChar w:fldCharType="begin"/>
      </w:r>
      <w:r w:rsidR="00D54FCC">
        <w:rPr>
          <w:rFonts w:ascii="Tahoma" w:hAnsi="Tahoma" w:cs="Tahoma"/>
          <w:sz w:val="16"/>
          <w:szCs w:val="16"/>
        </w:rPr>
        <w:instrText xml:space="preserve"> REF _Ref164170882 \r \h </w:instrText>
      </w:r>
      <w:r w:rsidR="00D54FCC">
        <w:rPr>
          <w:rFonts w:ascii="Tahoma" w:hAnsi="Tahoma" w:cs="Tahoma"/>
          <w:sz w:val="16"/>
          <w:szCs w:val="16"/>
        </w:rPr>
      </w:r>
      <w:r w:rsidR="00D54FCC">
        <w:rPr>
          <w:rFonts w:ascii="Tahoma" w:hAnsi="Tahoma" w:cs="Tahoma"/>
          <w:sz w:val="16"/>
          <w:szCs w:val="16"/>
        </w:rPr>
        <w:fldChar w:fldCharType="separate"/>
      </w:r>
      <w:r w:rsidR="00BC1EC5">
        <w:rPr>
          <w:rFonts w:ascii="Tahoma" w:hAnsi="Tahoma" w:cs="Tahoma"/>
          <w:sz w:val="16"/>
          <w:szCs w:val="16"/>
        </w:rPr>
        <w:t>XII</w:t>
      </w:r>
      <w:r w:rsidR="00D54FCC">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_Ref165623169 \r \h </w:instrText>
      </w:r>
      <w:r w:rsidR="00D54FCC">
        <w:rPr>
          <w:rFonts w:ascii="Tahoma" w:hAnsi="Tahoma" w:cs="Tahoma"/>
          <w:sz w:val="16"/>
          <w:szCs w:val="16"/>
        </w:rPr>
      </w:r>
      <w:r w:rsidR="00D54FCC">
        <w:rPr>
          <w:rFonts w:ascii="Tahoma" w:hAnsi="Tahoma" w:cs="Tahoma"/>
          <w:sz w:val="16"/>
          <w:szCs w:val="16"/>
        </w:rPr>
        <w:fldChar w:fldCharType="separate"/>
      </w:r>
      <w:r w:rsidR="00BC1EC5">
        <w:rPr>
          <w:rFonts w:ascii="Tahoma" w:hAnsi="Tahoma" w:cs="Tahoma"/>
          <w:sz w:val="16"/>
          <w:szCs w:val="16"/>
        </w:rPr>
        <w:t>9</w:t>
      </w:r>
      <w:r w:rsidR="00D54FCC">
        <w:rPr>
          <w:rFonts w:ascii="Tahoma" w:hAnsi="Tahoma" w:cs="Tahoma"/>
          <w:sz w:val="16"/>
          <w:szCs w:val="16"/>
        </w:rPr>
        <w:fldChar w:fldCharType="end"/>
      </w:r>
      <w:r w:rsidRPr="003B3766">
        <w:rPr>
          <w:rFonts w:ascii="Tahoma" w:hAnsi="Tahoma" w:cs="Tahoma"/>
          <w:sz w:val="16"/>
          <w:szCs w:val="16"/>
        </w:rPr>
        <w:t xml:space="preserve"> je kupující oprávněn požadovat zaplacení smluvní pokuty ve výši </w:t>
      </w:r>
      <w:r w:rsidRPr="004C73B8">
        <w:rPr>
          <w:rFonts w:ascii="Tahoma" w:hAnsi="Tahoma" w:cs="Tahoma"/>
          <w:sz w:val="16"/>
          <w:szCs w:val="16"/>
        </w:rPr>
        <w:t>10</w:t>
      </w:r>
      <w:r w:rsidR="001E7DD6" w:rsidRPr="004C73B8">
        <w:rPr>
          <w:rFonts w:ascii="Tahoma" w:hAnsi="Tahoma" w:cs="Tahoma"/>
          <w:sz w:val="16"/>
          <w:szCs w:val="16"/>
        </w:rPr>
        <w:t>.</w:t>
      </w:r>
      <w:r w:rsidRPr="004C73B8">
        <w:rPr>
          <w:rFonts w:ascii="Tahoma" w:hAnsi="Tahoma" w:cs="Tahoma"/>
          <w:sz w:val="16"/>
          <w:szCs w:val="16"/>
        </w:rPr>
        <w:t>000 Kč</w:t>
      </w:r>
      <w:r>
        <w:rPr>
          <w:rFonts w:ascii="Tahoma" w:hAnsi="Tahoma" w:cs="Tahoma"/>
          <w:sz w:val="16"/>
          <w:szCs w:val="16"/>
        </w:rPr>
        <w:t xml:space="preserve"> za každé jednotlivé porušení povinnosti</w:t>
      </w:r>
      <w:r w:rsidRPr="003B3766">
        <w:rPr>
          <w:rFonts w:ascii="Tahoma" w:hAnsi="Tahoma" w:cs="Tahoma"/>
          <w:sz w:val="16"/>
          <w:szCs w:val="16"/>
        </w:rPr>
        <w:t>.</w:t>
      </w:r>
    </w:p>
    <w:bookmarkEnd w:id="16"/>
    <w:p w14:paraId="7102B715" w14:textId="11E72612" w:rsidR="004C73B8" w:rsidRDefault="00F87B73" w:rsidP="00884AEF">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3B326E0A" w14:textId="77777777" w:rsidR="00E25535" w:rsidRDefault="00E25535" w:rsidP="00E25535">
      <w:pPr>
        <w:pStyle w:val="Odstavecseseznamem"/>
        <w:ind w:left="357"/>
        <w:jc w:val="both"/>
        <w:rPr>
          <w:rFonts w:ascii="Tahoma" w:hAnsi="Tahoma" w:cs="Tahoma"/>
          <w:sz w:val="16"/>
          <w:szCs w:val="16"/>
        </w:rPr>
      </w:pPr>
    </w:p>
    <w:p w14:paraId="47CA5555" w14:textId="77777777" w:rsidR="00884AEF" w:rsidRPr="00884AEF" w:rsidRDefault="00884AEF" w:rsidP="00884AEF">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lastRenderedPageBreak/>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7" w:name="_Ref164170882"/>
      <w:r w:rsidRPr="004D53EB">
        <w:rPr>
          <w:rFonts w:ascii="Tahoma" w:hAnsi="Tahoma" w:cs="Tahoma"/>
          <w:b/>
          <w:bCs/>
          <w:sz w:val="16"/>
          <w:szCs w:val="16"/>
        </w:rPr>
        <w:t>Ostatní ujednání</w:t>
      </w:r>
      <w:bookmarkEnd w:id="17"/>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8"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8"/>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9"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9"/>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B0D1160" w14:textId="77777777" w:rsidR="003F5E18" w:rsidRPr="00BD6890" w:rsidRDefault="003F5E18" w:rsidP="003F5E18">
      <w:pPr>
        <w:numPr>
          <w:ilvl w:val="0"/>
          <w:numId w:val="11"/>
        </w:numPr>
        <w:autoSpaceDE w:val="0"/>
        <w:autoSpaceDN w:val="0"/>
        <w:spacing w:after="0" w:line="240" w:lineRule="auto"/>
        <w:jc w:val="both"/>
        <w:rPr>
          <w:rFonts w:ascii="Tahoma" w:hAnsi="Tahoma" w:cs="Tahoma"/>
          <w:sz w:val="16"/>
          <w:szCs w:val="16"/>
        </w:rPr>
      </w:pPr>
      <w:bookmarkStart w:id="20" w:name="_Ref163812541"/>
      <w:bookmarkStart w:id="21" w:name="_Ref164170941"/>
      <w:bookmarkStart w:id="22" w:name="_Ref165623169"/>
      <w:r>
        <w:rPr>
          <w:rFonts w:ascii="Tahoma" w:hAnsi="Tahoma" w:cs="Tahoma"/>
          <w:sz w:val="16"/>
          <w:szCs w:val="16"/>
        </w:rPr>
        <w:t>V případě, že výroba zboží bude ukončena bez náhrady, je prodávající povinen kupujícího na tuto skutečnost upozornit nejpozději 6 měsíců před ukončením výroby.</w:t>
      </w:r>
      <w:bookmarkEnd w:id="20"/>
      <w:bookmarkEnd w:id="21"/>
      <w:bookmarkEnd w:id="22"/>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23" w:name="_Ref164170872"/>
      <w:r w:rsidRPr="004D53EB">
        <w:rPr>
          <w:rFonts w:ascii="Tahoma" w:hAnsi="Tahoma" w:cs="Tahoma"/>
          <w:b/>
          <w:bCs/>
          <w:sz w:val="16"/>
          <w:szCs w:val="16"/>
        </w:rPr>
        <w:t>Závěrečná ustanovení</w:t>
      </w:r>
      <w:bookmarkEnd w:id="23"/>
    </w:p>
    <w:p w14:paraId="4BAF89D7" w14:textId="4CD7F739" w:rsidR="00C655CE" w:rsidRPr="003D0DE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509B7B9C">
        <w:rPr>
          <w:rFonts w:ascii="Tahoma" w:hAnsi="Tahoma" w:cs="Tahoma"/>
          <w:sz w:val="16"/>
          <w:szCs w:val="16"/>
        </w:rPr>
        <w:t xml:space="preserve">Smlouva se </w:t>
      </w:r>
      <w:r w:rsidRPr="003D0DE6">
        <w:rPr>
          <w:rFonts w:ascii="Tahoma" w:hAnsi="Tahoma" w:cs="Tahoma"/>
          <w:sz w:val="16"/>
          <w:szCs w:val="16"/>
        </w:rPr>
        <w:t>uzavírá na dobu</w:t>
      </w:r>
      <w:r w:rsidR="003D0DE6">
        <w:rPr>
          <w:rFonts w:ascii="Tahoma" w:hAnsi="Tahoma" w:cs="Tahoma"/>
          <w:sz w:val="16"/>
          <w:szCs w:val="16"/>
        </w:rPr>
        <w:t xml:space="preserve"> </w:t>
      </w:r>
      <w:r w:rsidR="00097DC4" w:rsidRPr="003D0DE6">
        <w:rPr>
          <w:rFonts w:ascii="Tahoma" w:hAnsi="Tahoma" w:cs="Tahoma"/>
          <w:sz w:val="16"/>
          <w:szCs w:val="16"/>
        </w:rPr>
        <w:t xml:space="preserve">3 </w:t>
      </w:r>
      <w:r w:rsidR="00DD7421" w:rsidRPr="003D0DE6">
        <w:rPr>
          <w:rFonts w:ascii="Tahoma" w:hAnsi="Tahoma" w:cs="Tahoma"/>
          <w:sz w:val="16"/>
          <w:szCs w:val="16"/>
        </w:rPr>
        <w:t>let ode dne účinnosti smlouvy</w:t>
      </w:r>
      <w:r w:rsidRPr="003D0DE6">
        <w:rPr>
          <w:rFonts w:ascii="Tahoma" w:hAnsi="Tahoma" w:cs="Tahoma"/>
          <w:sz w:val="16"/>
          <w:szCs w:val="16"/>
        </w:rPr>
        <w:t>.</w:t>
      </w:r>
    </w:p>
    <w:p w14:paraId="2847EBA0" w14:textId="3226CE64"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Smlouvu lze ukončit písemnou dohodou nebo výpovědí kterékoliv strany, a to i bez udání důvodu s výpovědní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4"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4"/>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C1B73F9" w14:textId="77777777" w:rsidR="00EC40DF" w:rsidRDefault="00EC40DF" w:rsidP="00EC40DF">
      <w:pPr>
        <w:spacing w:after="0"/>
        <w:ind w:left="357"/>
        <w:rPr>
          <w:rFonts w:ascii="Tahoma" w:hAnsi="Tahoma" w:cs="Tahoma"/>
          <w:sz w:val="16"/>
          <w:szCs w:val="16"/>
        </w:rPr>
      </w:pPr>
    </w:p>
    <w:p w14:paraId="41931D8B" w14:textId="18E88EAD" w:rsidR="00DA784F" w:rsidRPr="00231BC6" w:rsidRDefault="00C655CE" w:rsidP="00DA784F">
      <w:pPr>
        <w:ind w:left="360"/>
        <w:rPr>
          <w:rFonts w:ascii="Tahoma" w:hAnsi="Tahoma" w:cs="Tahoma"/>
          <w:sz w:val="16"/>
          <w:szCs w:val="16"/>
        </w:rPr>
      </w:pPr>
      <w:r w:rsidRPr="00231BC6">
        <w:rPr>
          <w:rFonts w:ascii="Tahoma" w:hAnsi="Tahoma" w:cs="Tahoma"/>
          <w:sz w:val="16"/>
          <w:szCs w:val="16"/>
        </w:rPr>
        <w:t>Příloha č. 1 – Položkový ceník</w:t>
      </w:r>
      <w:r w:rsidR="00DA784F">
        <w:rPr>
          <w:rFonts w:ascii="Tahoma" w:hAnsi="Tahoma" w:cs="Tahoma"/>
          <w:sz w:val="16"/>
          <w:szCs w:val="16"/>
        </w:rPr>
        <w:t xml:space="preserve"> </w:t>
      </w:r>
    </w:p>
    <w:p w14:paraId="2CDEF9D3" w14:textId="43E13550" w:rsidR="00C655CE" w:rsidRPr="00231BC6" w:rsidRDefault="00C655CE" w:rsidP="00C655CE">
      <w:pPr>
        <w:ind w:left="360"/>
        <w:rPr>
          <w:rFonts w:ascii="Tahoma" w:hAnsi="Tahoma" w:cs="Tahoma"/>
          <w:sz w:val="16"/>
          <w:szCs w:val="16"/>
        </w:rPr>
      </w:pP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18E7B926"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 </w:t>
      </w:r>
      <w:r w:rsidR="001F6B24">
        <w:rPr>
          <w:rFonts w:ascii="Tahoma" w:hAnsi="Tahoma" w:cs="Tahoma"/>
          <w:sz w:val="16"/>
          <w:szCs w:val="16"/>
        </w:rPr>
        <w:t>Praze</w:t>
      </w:r>
      <w:r w:rsidR="009D05E4">
        <w:rPr>
          <w:rFonts w:ascii="Tahoma" w:hAnsi="Tahoma" w:cs="Tahoma"/>
          <w:sz w:val="16"/>
          <w:szCs w:val="16"/>
        </w:rPr>
        <w:t xml:space="preserve"> </w:t>
      </w:r>
      <w:r w:rsidRPr="00231BC6">
        <w:rPr>
          <w:rFonts w:ascii="Tahoma" w:hAnsi="Tahoma" w:cs="Tahoma"/>
          <w:sz w:val="16"/>
          <w:szCs w:val="16"/>
        </w:rPr>
        <w:t xml:space="preserve">dne: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V Praze dne:</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Default="00C655CE" w:rsidP="00C655CE">
      <w:pPr>
        <w:autoSpaceDE w:val="0"/>
        <w:autoSpaceDN w:val="0"/>
        <w:adjustRightInd w:val="0"/>
        <w:jc w:val="both"/>
        <w:rPr>
          <w:rFonts w:ascii="Tahoma" w:hAnsi="Tahoma" w:cs="Tahoma"/>
          <w:sz w:val="16"/>
          <w:szCs w:val="16"/>
        </w:rPr>
      </w:pPr>
    </w:p>
    <w:p w14:paraId="6F8D4407" w14:textId="77777777" w:rsidR="001F6B24" w:rsidRDefault="001F6B24" w:rsidP="00C655CE">
      <w:pPr>
        <w:autoSpaceDE w:val="0"/>
        <w:autoSpaceDN w:val="0"/>
        <w:adjustRightInd w:val="0"/>
        <w:jc w:val="both"/>
        <w:rPr>
          <w:rFonts w:ascii="Tahoma" w:hAnsi="Tahoma" w:cs="Tahoma"/>
          <w:sz w:val="16"/>
          <w:szCs w:val="16"/>
        </w:rPr>
      </w:pPr>
    </w:p>
    <w:p w14:paraId="20F97ED8" w14:textId="77777777" w:rsidR="001F6B24" w:rsidRDefault="001F6B24" w:rsidP="00C655CE">
      <w:pPr>
        <w:autoSpaceDE w:val="0"/>
        <w:autoSpaceDN w:val="0"/>
        <w:adjustRightInd w:val="0"/>
        <w:jc w:val="both"/>
        <w:rPr>
          <w:rFonts w:ascii="Tahoma" w:hAnsi="Tahoma" w:cs="Tahoma"/>
          <w:sz w:val="16"/>
          <w:szCs w:val="16"/>
        </w:rPr>
      </w:pPr>
    </w:p>
    <w:p w14:paraId="46336BBA" w14:textId="77777777" w:rsidR="001F6B24" w:rsidRPr="00231BC6" w:rsidRDefault="001F6B24" w:rsidP="00C655CE">
      <w:pPr>
        <w:autoSpaceDE w:val="0"/>
        <w:autoSpaceDN w:val="0"/>
        <w:adjustRightInd w:val="0"/>
        <w:jc w:val="both"/>
        <w:rPr>
          <w:rFonts w:ascii="Tahoma" w:hAnsi="Tahoma" w:cs="Tahoma"/>
          <w:sz w:val="16"/>
          <w:szCs w:val="16"/>
        </w:rPr>
      </w:pPr>
    </w:p>
    <w:p w14:paraId="45918810" w14:textId="29ADF373" w:rsidR="00DD2863" w:rsidRPr="00231BC6"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1F6B24">
        <w:rPr>
          <w:rFonts w:ascii="Tahoma" w:hAnsi="Tahoma" w:cs="Tahoma"/>
          <w:sz w:val="16"/>
          <w:szCs w:val="16"/>
        </w:rPr>
        <w:t>Ing. Jan Rohrbacher a Ing. Michal Kadleček</w:t>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A821BD">
        <w:rPr>
          <w:rFonts w:ascii="Tahoma" w:hAnsi="Tahoma" w:cs="Tahoma"/>
          <w:sz w:val="16"/>
          <w:szCs w:val="16"/>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31D5C736" w14:textId="4E458589" w:rsidR="00C655CE" w:rsidRPr="00231BC6" w:rsidRDefault="001F6B24" w:rsidP="001F6B24">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jednatelé</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CC6C9C" w:rsidRPr="00231BC6">
        <w:rPr>
          <w:rFonts w:ascii="Tahoma" w:hAnsi="Tahoma" w:cs="Tahoma"/>
          <w:sz w:val="16"/>
          <w:szCs w:val="16"/>
        </w:rPr>
        <w:t>ředitel</w:t>
      </w:r>
    </w:p>
    <w:p w14:paraId="6F6F37DF" w14:textId="10A70AB2" w:rsidR="00B16C78" w:rsidRPr="00231BC6" w:rsidRDefault="00B16C78" w:rsidP="00C655CE">
      <w:pPr>
        <w:rPr>
          <w:rFonts w:ascii="Tahoma" w:hAnsi="Tahoma" w:cs="Tahoma"/>
          <w:sz w:val="16"/>
          <w:szCs w:val="16"/>
        </w:rPr>
      </w:pPr>
    </w:p>
    <w:p w14:paraId="735212D9" w14:textId="77777777" w:rsidR="000B5F26" w:rsidRPr="00231BC6" w:rsidRDefault="000B5F26" w:rsidP="00C655CE">
      <w:pPr>
        <w:rPr>
          <w:rFonts w:ascii="Tahoma" w:hAnsi="Tahoma" w:cs="Tahoma"/>
          <w:sz w:val="16"/>
          <w:szCs w:val="16"/>
        </w:rPr>
      </w:pPr>
    </w:p>
    <w:p w14:paraId="7F76B81B" w14:textId="0881E73D" w:rsidR="00B16C78" w:rsidRPr="00231BC6" w:rsidRDefault="00B16C78" w:rsidP="00C655CE">
      <w:pPr>
        <w:rPr>
          <w:rFonts w:ascii="Tahoma" w:hAnsi="Tahoma" w:cs="Tahoma"/>
          <w:sz w:val="16"/>
          <w:szCs w:val="16"/>
        </w:rPr>
      </w:pPr>
    </w:p>
    <w:p w14:paraId="77B0544E" w14:textId="65CEC152" w:rsidR="00B16C78" w:rsidRDefault="00B16C78" w:rsidP="00C655CE">
      <w:pPr>
        <w:rPr>
          <w:rFonts w:ascii="Tahoma" w:hAnsi="Tahoma" w:cs="Tahoma"/>
          <w:sz w:val="16"/>
          <w:szCs w:val="16"/>
        </w:rPr>
      </w:pPr>
    </w:p>
    <w:p w14:paraId="7B39C7AD" w14:textId="77777777" w:rsidR="00BC1EC5" w:rsidRDefault="00BC1EC5" w:rsidP="00C655CE">
      <w:pPr>
        <w:rPr>
          <w:rFonts w:ascii="Tahoma" w:hAnsi="Tahoma" w:cs="Tahoma"/>
          <w:sz w:val="16"/>
          <w:szCs w:val="16"/>
        </w:rPr>
      </w:pPr>
    </w:p>
    <w:p w14:paraId="23FB19D2" w14:textId="184501DE" w:rsidR="00BC1EC5" w:rsidRDefault="00BC1EC5" w:rsidP="00C655CE">
      <w:pPr>
        <w:rPr>
          <w:rFonts w:ascii="Tahoma" w:hAnsi="Tahoma" w:cs="Tahoma"/>
          <w:sz w:val="16"/>
          <w:szCs w:val="16"/>
        </w:rPr>
      </w:pPr>
      <w:r>
        <w:rPr>
          <w:rFonts w:ascii="Tahoma" w:hAnsi="Tahoma" w:cs="Tahoma"/>
          <w:sz w:val="16"/>
          <w:szCs w:val="16"/>
        </w:rPr>
        <w:t>Příloha č. 1 – Položkový ceník</w:t>
      </w:r>
    </w:p>
    <w:tbl>
      <w:tblPr>
        <w:tblStyle w:val="Mkatabulky"/>
        <w:tblW w:w="0" w:type="auto"/>
        <w:tblInd w:w="-792" w:type="dxa"/>
        <w:tblLook w:val="04A0" w:firstRow="1" w:lastRow="0" w:firstColumn="1" w:lastColumn="0" w:noHBand="0" w:noVBand="1"/>
      </w:tblPr>
      <w:tblGrid>
        <w:gridCol w:w="1061"/>
        <w:gridCol w:w="952"/>
        <w:gridCol w:w="266"/>
        <w:gridCol w:w="2970"/>
        <w:gridCol w:w="925"/>
        <w:gridCol w:w="1634"/>
        <w:gridCol w:w="1285"/>
        <w:gridCol w:w="615"/>
      </w:tblGrid>
      <w:tr w:rsidR="00D8311E" w:rsidRPr="00D8311E" w14:paraId="27291266" w14:textId="77777777" w:rsidTr="00D8311E">
        <w:trPr>
          <w:trHeight w:val="315"/>
        </w:trPr>
        <w:tc>
          <w:tcPr>
            <w:tcW w:w="1061" w:type="dxa"/>
            <w:hideMark/>
          </w:tcPr>
          <w:p w14:paraId="17DBB687" w14:textId="77777777" w:rsidR="00D8311E" w:rsidRPr="00D8311E" w:rsidRDefault="00D8311E" w:rsidP="00D8311E">
            <w:pPr>
              <w:rPr>
                <w:rFonts w:ascii="Tahoma" w:hAnsi="Tahoma" w:cs="Tahoma"/>
                <w:sz w:val="16"/>
                <w:szCs w:val="16"/>
              </w:rPr>
            </w:pPr>
            <w:r w:rsidRPr="00D8311E">
              <w:rPr>
                <w:rFonts w:ascii="Tahoma" w:hAnsi="Tahoma" w:cs="Tahoma"/>
                <w:sz w:val="16"/>
                <w:szCs w:val="16"/>
              </w:rPr>
              <w:t>ATC</w:t>
            </w:r>
          </w:p>
        </w:tc>
        <w:tc>
          <w:tcPr>
            <w:tcW w:w="504" w:type="dxa"/>
            <w:noWrap/>
            <w:hideMark/>
          </w:tcPr>
          <w:p w14:paraId="62F61C07" w14:textId="77777777" w:rsidR="00D8311E" w:rsidRPr="00D8311E" w:rsidRDefault="00D8311E">
            <w:pPr>
              <w:rPr>
                <w:rFonts w:ascii="Tahoma" w:hAnsi="Tahoma" w:cs="Tahoma"/>
                <w:sz w:val="16"/>
                <w:szCs w:val="16"/>
              </w:rPr>
            </w:pPr>
            <w:r w:rsidRPr="00D8311E">
              <w:rPr>
                <w:rFonts w:ascii="Tahoma" w:hAnsi="Tahoma" w:cs="Tahoma"/>
                <w:sz w:val="16"/>
                <w:szCs w:val="16"/>
              </w:rPr>
              <w:t>Název</w:t>
            </w:r>
          </w:p>
        </w:tc>
        <w:tc>
          <w:tcPr>
            <w:tcW w:w="230" w:type="dxa"/>
            <w:noWrap/>
            <w:hideMark/>
          </w:tcPr>
          <w:p w14:paraId="169E2138" w14:textId="77777777" w:rsidR="00D8311E" w:rsidRPr="00D8311E" w:rsidRDefault="00D8311E">
            <w:pPr>
              <w:rPr>
                <w:rFonts w:ascii="Tahoma" w:hAnsi="Tahoma" w:cs="Tahoma"/>
                <w:sz w:val="16"/>
                <w:szCs w:val="16"/>
              </w:rPr>
            </w:pPr>
            <w:r w:rsidRPr="00D8311E">
              <w:rPr>
                <w:rFonts w:ascii="Tahoma" w:hAnsi="Tahoma" w:cs="Tahoma"/>
                <w:sz w:val="16"/>
                <w:szCs w:val="16"/>
              </w:rPr>
              <w:t> </w:t>
            </w:r>
          </w:p>
        </w:tc>
        <w:tc>
          <w:tcPr>
            <w:tcW w:w="2970" w:type="dxa"/>
            <w:hideMark/>
          </w:tcPr>
          <w:p w14:paraId="4B6D31AB" w14:textId="77777777" w:rsidR="00D8311E" w:rsidRPr="00D8311E" w:rsidRDefault="00D8311E" w:rsidP="00D8311E">
            <w:pPr>
              <w:rPr>
                <w:rFonts w:ascii="Tahoma" w:hAnsi="Tahoma" w:cs="Tahoma"/>
                <w:sz w:val="16"/>
                <w:szCs w:val="16"/>
              </w:rPr>
            </w:pPr>
            <w:r w:rsidRPr="00D8311E">
              <w:rPr>
                <w:rFonts w:ascii="Tahoma" w:hAnsi="Tahoma" w:cs="Tahoma"/>
                <w:sz w:val="16"/>
                <w:szCs w:val="16"/>
              </w:rPr>
              <w:t>Účinná látka</w:t>
            </w:r>
          </w:p>
        </w:tc>
        <w:tc>
          <w:tcPr>
            <w:tcW w:w="925" w:type="dxa"/>
            <w:hideMark/>
          </w:tcPr>
          <w:p w14:paraId="37173C2C" w14:textId="77777777" w:rsidR="00D8311E" w:rsidRPr="00D8311E" w:rsidRDefault="00D8311E" w:rsidP="00D8311E">
            <w:pPr>
              <w:rPr>
                <w:rFonts w:ascii="Tahoma" w:hAnsi="Tahoma" w:cs="Tahoma"/>
                <w:sz w:val="16"/>
                <w:szCs w:val="16"/>
              </w:rPr>
            </w:pPr>
            <w:r w:rsidRPr="00D8311E">
              <w:rPr>
                <w:rFonts w:ascii="Tahoma" w:hAnsi="Tahoma" w:cs="Tahoma"/>
                <w:sz w:val="16"/>
                <w:szCs w:val="16"/>
              </w:rPr>
              <w:t>SÚKL kód</w:t>
            </w:r>
          </w:p>
        </w:tc>
        <w:tc>
          <w:tcPr>
            <w:tcW w:w="1634" w:type="dxa"/>
            <w:hideMark/>
          </w:tcPr>
          <w:p w14:paraId="116C2FAA" w14:textId="77777777" w:rsidR="00D8311E" w:rsidRPr="00D8311E" w:rsidRDefault="00D8311E" w:rsidP="00D8311E">
            <w:pPr>
              <w:rPr>
                <w:rFonts w:ascii="Tahoma" w:hAnsi="Tahoma" w:cs="Tahoma"/>
                <w:sz w:val="16"/>
                <w:szCs w:val="16"/>
              </w:rPr>
            </w:pPr>
            <w:r w:rsidRPr="00D8311E">
              <w:rPr>
                <w:rFonts w:ascii="Tahoma" w:hAnsi="Tahoma" w:cs="Tahoma"/>
                <w:sz w:val="16"/>
                <w:szCs w:val="16"/>
              </w:rPr>
              <w:t>Velikost balení</w:t>
            </w:r>
          </w:p>
        </w:tc>
        <w:tc>
          <w:tcPr>
            <w:tcW w:w="1285" w:type="dxa"/>
            <w:hideMark/>
          </w:tcPr>
          <w:p w14:paraId="7E6D51C3" w14:textId="77777777" w:rsidR="00D8311E" w:rsidRPr="00D8311E" w:rsidRDefault="00D8311E" w:rsidP="00D8311E">
            <w:pPr>
              <w:rPr>
                <w:rFonts w:ascii="Tahoma" w:hAnsi="Tahoma" w:cs="Tahoma"/>
                <w:sz w:val="16"/>
                <w:szCs w:val="16"/>
              </w:rPr>
            </w:pPr>
            <w:r w:rsidRPr="00D8311E">
              <w:rPr>
                <w:rFonts w:ascii="Tahoma" w:hAnsi="Tahoma" w:cs="Tahoma"/>
                <w:sz w:val="16"/>
                <w:szCs w:val="16"/>
              </w:rPr>
              <w:t>Cena v Kč bez DPH/bal.</w:t>
            </w:r>
          </w:p>
        </w:tc>
        <w:tc>
          <w:tcPr>
            <w:tcW w:w="453" w:type="dxa"/>
            <w:hideMark/>
          </w:tcPr>
          <w:p w14:paraId="42E6B135" w14:textId="77777777" w:rsidR="00D8311E" w:rsidRPr="00D8311E" w:rsidRDefault="00D8311E" w:rsidP="00D8311E">
            <w:pPr>
              <w:rPr>
                <w:rFonts w:ascii="Tahoma" w:hAnsi="Tahoma" w:cs="Tahoma"/>
                <w:sz w:val="16"/>
                <w:szCs w:val="16"/>
              </w:rPr>
            </w:pPr>
            <w:r w:rsidRPr="00D8311E">
              <w:rPr>
                <w:rFonts w:ascii="Tahoma" w:hAnsi="Tahoma" w:cs="Tahoma"/>
                <w:sz w:val="16"/>
                <w:szCs w:val="16"/>
              </w:rPr>
              <w:t>sazba DPH</w:t>
            </w:r>
          </w:p>
        </w:tc>
      </w:tr>
      <w:tr w:rsidR="00D8311E" w:rsidRPr="00D8311E" w14:paraId="7FA5C27B" w14:textId="77777777" w:rsidTr="00D8311E">
        <w:trPr>
          <w:trHeight w:val="315"/>
        </w:trPr>
        <w:tc>
          <w:tcPr>
            <w:tcW w:w="1061" w:type="dxa"/>
            <w:noWrap/>
            <w:hideMark/>
          </w:tcPr>
          <w:p w14:paraId="6DB3AC38" w14:textId="77777777" w:rsidR="00D8311E" w:rsidRPr="00D8311E" w:rsidRDefault="00D8311E">
            <w:pPr>
              <w:rPr>
                <w:rFonts w:ascii="Tahoma" w:hAnsi="Tahoma" w:cs="Tahoma"/>
                <w:b/>
                <w:bCs/>
                <w:sz w:val="16"/>
                <w:szCs w:val="16"/>
              </w:rPr>
            </w:pPr>
            <w:r w:rsidRPr="00D8311E">
              <w:rPr>
                <w:rFonts w:ascii="Tahoma" w:hAnsi="Tahoma" w:cs="Tahoma"/>
                <w:b/>
                <w:bCs/>
                <w:sz w:val="16"/>
                <w:szCs w:val="16"/>
              </w:rPr>
              <w:t>L04AG05</w:t>
            </w:r>
          </w:p>
        </w:tc>
        <w:tc>
          <w:tcPr>
            <w:tcW w:w="504" w:type="dxa"/>
            <w:noWrap/>
            <w:hideMark/>
          </w:tcPr>
          <w:p w14:paraId="20E2C008" w14:textId="77777777" w:rsidR="00D8311E" w:rsidRPr="00D8311E" w:rsidRDefault="00D8311E">
            <w:pPr>
              <w:rPr>
                <w:rFonts w:ascii="Tahoma" w:hAnsi="Tahoma" w:cs="Tahoma"/>
                <w:b/>
                <w:bCs/>
                <w:sz w:val="16"/>
                <w:szCs w:val="16"/>
              </w:rPr>
            </w:pPr>
            <w:r w:rsidRPr="00D8311E">
              <w:rPr>
                <w:rFonts w:ascii="Tahoma" w:hAnsi="Tahoma" w:cs="Tahoma"/>
                <w:b/>
                <w:bCs/>
                <w:sz w:val="16"/>
                <w:szCs w:val="16"/>
              </w:rPr>
              <w:t>ENTYVIO</w:t>
            </w:r>
          </w:p>
        </w:tc>
        <w:tc>
          <w:tcPr>
            <w:tcW w:w="230" w:type="dxa"/>
            <w:noWrap/>
            <w:hideMark/>
          </w:tcPr>
          <w:p w14:paraId="35EDA4BC" w14:textId="77777777" w:rsidR="00D8311E" w:rsidRPr="00D8311E" w:rsidRDefault="00D8311E">
            <w:pPr>
              <w:rPr>
                <w:rFonts w:ascii="Tahoma" w:hAnsi="Tahoma" w:cs="Tahoma"/>
                <w:b/>
                <w:bCs/>
                <w:sz w:val="16"/>
                <w:szCs w:val="16"/>
              </w:rPr>
            </w:pPr>
            <w:r w:rsidRPr="00D8311E">
              <w:rPr>
                <w:rFonts w:ascii="Tahoma" w:hAnsi="Tahoma" w:cs="Tahoma"/>
                <w:b/>
                <w:bCs/>
                <w:sz w:val="16"/>
                <w:szCs w:val="16"/>
              </w:rPr>
              <w:t> </w:t>
            </w:r>
          </w:p>
        </w:tc>
        <w:tc>
          <w:tcPr>
            <w:tcW w:w="2970" w:type="dxa"/>
            <w:noWrap/>
            <w:hideMark/>
          </w:tcPr>
          <w:p w14:paraId="78D5921E" w14:textId="77777777" w:rsidR="00D8311E" w:rsidRPr="00D8311E" w:rsidRDefault="00D8311E" w:rsidP="00D8311E">
            <w:pPr>
              <w:rPr>
                <w:rFonts w:ascii="Tahoma" w:hAnsi="Tahoma" w:cs="Tahoma"/>
                <w:b/>
                <w:bCs/>
                <w:sz w:val="16"/>
                <w:szCs w:val="16"/>
              </w:rPr>
            </w:pPr>
            <w:r w:rsidRPr="00D8311E">
              <w:rPr>
                <w:rFonts w:ascii="Tahoma" w:hAnsi="Tahoma" w:cs="Tahoma"/>
                <w:b/>
                <w:bCs/>
                <w:sz w:val="16"/>
                <w:szCs w:val="16"/>
              </w:rPr>
              <w:t xml:space="preserve"> VEDOLIZUMAB</w:t>
            </w:r>
          </w:p>
        </w:tc>
        <w:tc>
          <w:tcPr>
            <w:tcW w:w="925" w:type="dxa"/>
            <w:noWrap/>
            <w:hideMark/>
          </w:tcPr>
          <w:p w14:paraId="3453703A" w14:textId="77777777" w:rsidR="00D8311E" w:rsidRPr="00D8311E" w:rsidRDefault="00D8311E" w:rsidP="00D8311E">
            <w:pPr>
              <w:rPr>
                <w:rFonts w:ascii="Tahoma" w:hAnsi="Tahoma" w:cs="Tahoma"/>
                <w:sz w:val="16"/>
                <w:szCs w:val="16"/>
              </w:rPr>
            </w:pPr>
            <w:r w:rsidRPr="00D8311E">
              <w:rPr>
                <w:rFonts w:ascii="Tahoma" w:hAnsi="Tahoma" w:cs="Tahoma"/>
                <w:sz w:val="16"/>
                <w:szCs w:val="16"/>
              </w:rPr>
              <w:t>0210049</w:t>
            </w:r>
          </w:p>
        </w:tc>
        <w:tc>
          <w:tcPr>
            <w:tcW w:w="1634" w:type="dxa"/>
            <w:noWrap/>
            <w:hideMark/>
          </w:tcPr>
          <w:p w14:paraId="00052722" w14:textId="77777777" w:rsidR="00D8311E" w:rsidRPr="00D8311E" w:rsidRDefault="00D8311E">
            <w:pPr>
              <w:rPr>
                <w:rFonts w:ascii="Tahoma" w:hAnsi="Tahoma" w:cs="Tahoma"/>
                <w:sz w:val="16"/>
                <w:szCs w:val="16"/>
              </w:rPr>
            </w:pPr>
            <w:r w:rsidRPr="00D8311E">
              <w:rPr>
                <w:rFonts w:ascii="Tahoma" w:hAnsi="Tahoma" w:cs="Tahoma"/>
                <w:sz w:val="16"/>
                <w:szCs w:val="16"/>
              </w:rPr>
              <w:t>300MG INF PLV CSL 1</w:t>
            </w:r>
          </w:p>
        </w:tc>
        <w:tc>
          <w:tcPr>
            <w:tcW w:w="1285" w:type="dxa"/>
            <w:noWrap/>
            <w:hideMark/>
          </w:tcPr>
          <w:p w14:paraId="60BAF075" w14:textId="77777777" w:rsidR="00D8311E" w:rsidRPr="00D8311E" w:rsidRDefault="00D8311E" w:rsidP="00D8311E">
            <w:pPr>
              <w:rPr>
                <w:rFonts w:ascii="Tahoma" w:hAnsi="Tahoma" w:cs="Tahoma"/>
                <w:sz w:val="16"/>
                <w:szCs w:val="16"/>
              </w:rPr>
            </w:pPr>
            <w:r w:rsidRPr="00D8311E">
              <w:rPr>
                <w:rFonts w:ascii="Tahoma" w:hAnsi="Tahoma" w:cs="Tahoma"/>
                <w:sz w:val="16"/>
                <w:szCs w:val="16"/>
              </w:rPr>
              <w:t>29145,30</w:t>
            </w:r>
          </w:p>
        </w:tc>
        <w:tc>
          <w:tcPr>
            <w:tcW w:w="453" w:type="dxa"/>
            <w:noWrap/>
            <w:hideMark/>
          </w:tcPr>
          <w:p w14:paraId="7EA79FAE" w14:textId="77777777" w:rsidR="00D8311E" w:rsidRPr="00D8311E" w:rsidRDefault="00D8311E" w:rsidP="00D8311E">
            <w:pPr>
              <w:rPr>
                <w:rFonts w:ascii="Tahoma" w:hAnsi="Tahoma" w:cs="Tahoma"/>
                <w:sz w:val="16"/>
                <w:szCs w:val="16"/>
              </w:rPr>
            </w:pPr>
            <w:r w:rsidRPr="00D8311E">
              <w:rPr>
                <w:rFonts w:ascii="Tahoma" w:hAnsi="Tahoma" w:cs="Tahoma"/>
                <w:sz w:val="16"/>
                <w:szCs w:val="16"/>
              </w:rPr>
              <w:t>12%</w:t>
            </w:r>
          </w:p>
        </w:tc>
      </w:tr>
      <w:tr w:rsidR="00D8311E" w:rsidRPr="00D8311E" w14:paraId="3A7F12C5" w14:textId="77777777" w:rsidTr="00D8311E">
        <w:trPr>
          <w:trHeight w:val="315"/>
        </w:trPr>
        <w:tc>
          <w:tcPr>
            <w:tcW w:w="1061" w:type="dxa"/>
            <w:noWrap/>
            <w:hideMark/>
          </w:tcPr>
          <w:p w14:paraId="1522D4A9" w14:textId="77777777" w:rsidR="00D8311E" w:rsidRPr="00D8311E" w:rsidRDefault="00D8311E">
            <w:pPr>
              <w:rPr>
                <w:rFonts w:ascii="Tahoma" w:hAnsi="Tahoma" w:cs="Tahoma"/>
                <w:b/>
                <w:bCs/>
                <w:sz w:val="16"/>
                <w:szCs w:val="16"/>
              </w:rPr>
            </w:pPr>
            <w:r w:rsidRPr="00D8311E">
              <w:rPr>
                <w:rFonts w:ascii="Tahoma" w:hAnsi="Tahoma" w:cs="Tahoma"/>
                <w:b/>
                <w:bCs/>
                <w:sz w:val="16"/>
                <w:szCs w:val="16"/>
              </w:rPr>
              <w:t>L04AG05</w:t>
            </w:r>
          </w:p>
        </w:tc>
        <w:tc>
          <w:tcPr>
            <w:tcW w:w="504" w:type="dxa"/>
            <w:noWrap/>
            <w:hideMark/>
          </w:tcPr>
          <w:p w14:paraId="74450120" w14:textId="77777777" w:rsidR="00D8311E" w:rsidRPr="00D8311E" w:rsidRDefault="00D8311E">
            <w:pPr>
              <w:rPr>
                <w:rFonts w:ascii="Tahoma" w:hAnsi="Tahoma" w:cs="Tahoma"/>
                <w:b/>
                <w:bCs/>
                <w:sz w:val="16"/>
                <w:szCs w:val="16"/>
              </w:rPr>
            </w:pPr>
            <w:r w:rsidRPr="00D8311E">
              <w:rPr>
                <w:rFonts w:ascii="Tahoma" w:hAnsi="Tahoma" w:cs="Tahoma"/>
                <w:b/>
                <w:bCs/>
                <w:sz w:val="16"/>
                <w:szCs w:val="16"/>
              </w:rPr>
              <w:t>ENTYVIO</w:t>
            </w:r>
          </w:p>
        </w:tc>
        <w:tc>
          <w:tcPr>
            <w:tcW w:w="230" w:type="dxa"/>
            <w:noWrap/>
            <w:hideMark/>
          </w:tcPr>
          <w:p w14:paraId="16492F80" w14:textId="77777777" w:rsidR="00D8311E" w:rsidRPr="00D8311E" w:rsidRDefault="00D8311E">
            <w:pPr>
              <w:rPr>
                <w:rFonts w:ascii="Tahoma" w:hAnsi="Tahoma" w:cs="Tahoma"/>
                <w:b/>
                <w:bCs/>
                <w:sz w:val="16"/>
                <w:szCs w:val="16"/>
              </w:rPr>
            </w:pPr>
            <w:r w:rsidRPr="00D8311E">
              <w:rPr>
                <w:rFonts w:ascii="Tahoma" w:hAnsi="Tahoma" w:cs="Tahoma"/>
                <w:b/>
                <w:bCs/>
                <w:sz w:val="16"/>
                <w:szCs w:val="16"/>
              </w:rPr>
              <w:t> </w:t>
            </w:r>
          </w:p>
        </w:tc>
        <w:tc>
          <w:tcPr>
            <w:tcW w:w="2970" w:type="dxa"/>
            <w:noWrap/>
            <w:hideMark/>
          </w:tcPr>
          <w:p w14:paraId="10AFF32E" w14:textId="77777777" w:rsidR="00D8311E" w:rsidRPr="00D8311E" w:rsidRDefault="00D8311E" w:rsidP="00D8311E">
            <w:pPr>
              <w:rPr>
                <w:rFonts w:ascii="Tahoma" w:hAnsi="Tahoma" w:cs="Tahoma"/>
                <w:b/>
                <w:bCs/>
                <w:sz w:val="16"/>
                <w:szCs w:val="16"/>
              </w:rPr>
            </w:pPr>
            <w:r w:rsidRPr="00D8311E">
              <w:rPr>
                <w:rFonts w:ascii="Tahoma" w:hAnsi="Tahoma" w:cs="Tahoma"/>
                <w:b/>
                <w:bCs/>
                <w:sz w:val="16"/>
                <w:szCs w:val="16"/>
              </w:rPr>
              <w:t xml:space="preserve"> VEDOLIZUMAB</w:t>
            </w:r>
          </w:p>
        </w:tc>
        <w:tc>
          <w:tcPr>
            <w:tcW w:w="925" w:type="dxa"/>
            <w:noWrap/>
            <w:hideMark/>
          </w:tcPr>
          <w:p w14:paraId="4910EF99" w14:textId="77777777" w:rsidR="00D8311E" w:rsidRPr="00D8311E" w:rsidRDefault="00D8311E" w:rsidP="00D8311E">
            <w:pPr>
              <w:rPr>
                <w:rFonts w:ascii="Tahoma" w:hAnsi="Tahoma" w:cs="Tahoma"/>
                <w:sz w:val="16"/>
                <w:szCs w:val="16"/>
              </w:rPr>
            </w:pPr>
            <w:r w:rsidRPr="00D8311E">
              <w:rPr>
                <w:rFonts w:ascii="Tahoma" w:hAnsi="Tahoma" w:cs="Tahoma"/>
                <w:sz w:val="16"/>
                <w:szCs w:val="16"/>
              </w:rPr>
              <w:t>0238960</w:t>
            </w:r>
          </w:p>
        </w:tc>
        <w:tc>
          <w:tcPr>
            <w:tcW w:w="1634" w:type="dxa"/>
            <w:noWrap/>
            <w:hideMark/>
          </w:tcPr>
          <w:p w14:paraId="29C489CA" w14:textId="77777777" w:rsidR="00D8311E" w:rsidRPr="00D8311E" w:rsidRDefault="00D8311E">
            <w:pPr>
              <w:rPr>
                <w:rFonts w:ascii="Tahoma" w:hAnsi="Tahoma" w:cs="Tahoma"/>
                <w:sz w:val="16"/>
                <w:szCs w:val="16"/>
              </w:rPr>
            </w:pPr>
            <w:r w:rsidRPr="00D8311E">
              <w:rPr>
                <w:rFonts w:ascii="Tahoma" w:hAnsi="Tahoma" w:cs="Tahoma"/>
                <w:sz w:val="16"/>
                <w:szCs w:val="16"/>
              </w:rPr>
              <w:t>108MG INJ SOL PEP 1X0,68ML</w:t>
            </w:r>
          </w:p>
        </w:tc>
        <w:tc>
          <w:tcPr>
            <w:tcW w:w="1285" w:type="dxa"/>
            <w:noWrap/>
            <w:hideMark/>
          </w:tcPr>
          <w:p w14:paraId="73E6CF9D" w14:textId="77777777" w:rsidR="00D8311E" w:rsidRPr="00D8311E" w:rsidRDefault="00D8311E" w:rsidP="00D8311E">
            <w:pPr>
              <w:rPr>
                <w:rFonts w:ascii="Tahoma" w:hAnsi="Tahoma" w:cs="Tahoma"/>
                <w:sz w:val="16"/>
                <w:szCs w:val="16"/>
              </w:rPr>
            </w:pPr>
            <w:r w:rsidRPr="00D8311E">
              <w:rPr>
                <w:rFonts w:ascii="Tahoma" w:hAnsi="Tahoma" w:cs="Tahoma"/>
                <w:sz w:val="16"/>
                <w:szCs w:val="16"/>
              </w:rPr>
              <w:t>7286,26</w:t>
            </w:r>
          </w:p>
        </w:tc>
        <w:tc>
          <w:tcPr>
            <w:tcW w:w="453" w:type="dxa"/>
            <w:noWrap/>
            <w:hideMark/>
          </w:tcPr>
          <w:p w14:paraId="78B7B3F1" w14:textId="77777777" w:rsidR="00D8311E" w:rsidRPr="00D8311E" w:rsidRDefault="00D8311E" w:rsidP="00D8311E">
            <w:pPr>
              <w:rPr>
                <w:rFonts w:ascii="Tahoma" w:hAnsi="Tahoma" w:cs="Tahoma"/>
                <w:sz w:val="16"/>
                <w:szCs w:val="16"/>
              </w:rPr>
            </w:pPr>
            <w:r w:rsidRPr="00D8311E">
              <w:rPr>
                <w:rFonts w:ascii="Tahoma" w:hAnsi="Tahoma" w:cs="Tahoma"/>
                <w:sz w:val="16"/>
                <w:szCs w:val="16"/>
              </w:rPr>
              <w:t>12%</w:t>
            </w:r>
          </w:p>
        </w:tc>
      </w:tr>
    </w:tbl>
    <w:p w14:paraId="47DB609F" w14:textId="77777777" w:rsidR="00D8311E" w:rsidRPr="00231BC6" w:rsidRDefault="00D8311E" w:rsidP="00C655CE">
      <w:pPr>
        <w:rPr>
          <w:rFonts w:ascii="Tahoma" w:hAnsi="Tahoma" w:cs="Tahoma"/>
          <w:sz w:val="16"/>
          <w:szCs w:val="16"/>
        </w:rPr>
      </w:pPr>
    </w:p>
    <w:sectPr w:rsidR="00D8311E" w:rsidRPr="00231BC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E8FF" w14:textId="77777777" w:rsidR="004A44DD" w:rsidRDefault="004A44DD" w:rsidP="00C655CE">
      <w:pPr>
        <w:spacing w:after="0" w:line="240" w:lineRule="auto"/>
      </w:pPr>
      <w:r>
        <w:separator/>
      </w:r>
    </w:p>
  </w:endnote>
  <w:endnote w:type="continuationSeparator" w:id="0">
    <w:p w14:paraId="2F2F6934" w14:textId="77777777" w:rsidR="004A44DD" w:rsidRDefault="004A44DD" w:rsidP="00C655CE">
      <w:pPr>
        <w:spacing w:after="0" w:line="240" w:lineRule="auto"/>
      </w:pPr>
      <w:r>
        <w:continuationSeparator/>
      </w:r>
    </w:p>
  </w:endnote>
  <w:endnote w:type="continuationNotice" w:id="1">
    <w:p w14:paraId="6149AFF2" w14:textId="77777777" w:rsidR="004A44DD" w:rsidRDefault="004A4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57EB1" w14:textId="77777777" w:rsidR="004A44DD" w:rsidRDefault="004A44DD" w:rsidP="00C655CE">
      <w:pPr>
        <w:spacing w:after="0" w:line="240" w:lineRule="auto"/>
      </w:pPr>
      <w:r>
        <w:separator/>
      </w:r>
    </w:p>
  </w:footnote>
  <w:footnote w:type="continuationSeparator" w:id="0">
    <w:p w14:paraId="69BE537E" w14:textId="77777777" w:rsidR="004A44DD" w:rsidRDefault="004A44DD" w:rsidP="00C655CE">
      <w:pPr>
        <w:spacing w:after="0" w:line="240" w:lineRule="auto"/>
      </w:pPr>
      <w:r>
        <w:continuationSeparator/>
      </w:r>
    </w:p>
  </w:footnote>
  <w:footnote w:type="continuationNotice" w:id="1">
    <w:p w14:paraId="237C6331" w14:textId="77777777" w:rsidR="004A44DD" w:rsidRDefault="004A4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439032A5"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B44EB1">
      <w:rPr>
        <w:rFonts w:ascii="Arial" w:hAnsi="Arial" w:cs="Arial"/>
        <w:b/>
        <w:sz w:val="18"/>
        <w:szCs w:val="18"/>
        <w:lang w:val="cs-CZ"/>
      </w:rPr>
      <w:t>770</w:t>
    </w:r>
    <w:r w:rsidRPr="001859F3">
      <w:rPr>
        <w:rFonts w:ascii="Arial" w:hAnsi="Arial" w:cs="Arial"/>
        <w:b/>
        <w:sz w:val="18"/>
        <w:szCs w:val="18"/>
        <w:lang w:val="cs-CZ"/>
      </w:rPr>
      <w:t>/S/</w:t>
    </w:r>
    <w:r w:rsidR="001105EE">
      <w:rPr>
        <w:rFonts w:ascii="Arial" w:hAnsi="Arial" w:cs="Arial"/>
        <w:b/>
        <w:sz w:val="18"/>
        <w:szCs w:val="18"/>
        <w:lang w:val="cs-CZ"/>
      </w:rPr>
      <w:t>2</w:t>
    </w:r>
    <w:r w:rsidR="00F85160">
      <w:rPr>
        <w:rFonts w:ascii="Arial" w:hAnsi="Arial" w:cs="Arial"/>
        <w:b/>
        <w:sz w:val="18"/>
        <w:szCs w:val="18"/>
        <w:lang w:val="cs-CZ"/>
      </w:rPr>
      <w:t>4</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0"/>
  </w:num>
  <w:num w:numId="3">
    <w:abstractNumId w:val="3"/>
  </w:num>
  <w:num w:numId="4">
    <w:abstractNumId w:val="18"/>
  </w:num>
  <w:num w:numId="5">
    <w:abstractNumId w:val="13"/>
  </w:num>
  <w:num w:numId="6">
    <w:abstractNumId w:val="11"/>
  </w:num>
  <w:num w:numId="7">
    <w:abstractNumId w:val="26"/>
  </w:num>
  <w:num w:numId="8">
    <w:abstractNumId w:val="8"/>
  </w:num>
  <w:num w:numId="9">
    <w:abstractNumId w:val="1"/>
  </w:num>
  <w:num w:numId="10">
    <w:abstractNumId w:val="4"/>
  </w:num>
  <w:num w:numId="11">
    <w:abstractNumId w:val="6"/>
  </w:num>
  <w:num w:numId="12">
    <w:abstractNumId w:val="25"/>
  </w:num>
  <w:num w:numId="13">
    <w:abstractNumId w:val="21"/>
  </w:num>
  <w:num w:numId="14">
    <w:abstractNumId w:val="31"/>
  </w:num>
  <w:num w:numId="15">
    <w:abstractNumId w:val="16"/>
  </w:num>
  <w:num w:numId="16">
    <w:abstractNumId w:val="22"/>
  </w:num>
  <w:num w:numId="17">
    <w:abstractNumId w:val="17"/>
  </w:num>
  <w:num w:numId="18">
    <w:abstractNumId w:val="5"/>
  </w:num>
  <w:num w:numId="19">
    <w:abstractNumId w:val="24"/>
  </w:num>
  <w:num w:numId="20">
    <w:abstractNumId w:val="27"/>
  </w:num>
  <w:num w:numId="21">
    <w:abstractNumId w:val="19"/>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abstractNumId w:val="0"/>
  </w:num>
  <w:num w:numId="28">
    <w:abstractNumId w:val="9"/>
  </w:num>
  <w:num w:numId="29">
    <w:abstractNumId w:val="7"/>
  </w:num>
  <w:num w:numId="30">
    <w:abstractNumId w:val="28"/>
  </w:num>
  <w:num w:numId="31">
    <w:abstractNumId w:val="2"/>
  </w:num>
  <w:num w:numId="32">
    <w:abstractNumId w:val="14"/>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00918"/>
    <w:rsid w:val="00005919"/>
    <w:rsid w:val="00010DD7"/>
    <w:rsid w:val="0002322E"/>
    <w:rsid w:val="00031007"/>
    <w:rsid w:val="000311C5"/>
    <w:rsid w:val="0004697C"/>
    <w:rsid w:val="00046FC9"/>
    <w:rsid w:val="00047474"/>
    <w:rsid w:val="00053902"/>
    <w:rsid w:val="00062C25"/>
    <w:rsid w:val="0008062E"/>
    <w:rsid w:val="00081181"/>
    <w:rsid w:val="00082D4C"/>
    <w:rsid w:val="0008302F"/>
    <w:rsid w:val="00086301"/>
    <w:rsid w:val="00087698"/>
    <w:rsid w:val="000917EA"/>
    <w:rsid w:val="00091ABE"/>
    <w:rsid w:val="000943FC"/>
    <w:rsid w:val="00095283"/>
    <w:rsid w:val="00097DC4"/>
    <w:rsid w:val="000A7C5F"/>
    <w:rsid w:val="000B25FE"/>
    <w:rsid w:val="000B56B1"/>
    <w:rsid w:val="000B5F26"/>
    <w:rsid w:val="000C0D2D"/>
    <w:rsid w:val="000C624D"/>
    <w:rsid w:val="000D238A"/>
    <w:rsid w:val="000E07E8"/>
    <w:rsid w:val="000E1DDD"/>
    <w:rsid w:val="000E1EA2"/>
    <w:rsid w:val="000E2727"/>
    <w:rsid w:val="000F2A91"/>
    <w:rsid w:val="000F504C"/>
    <w:rsid w:val="001105EE"/>
    <w:rsid w:val="00121FFB"/>
    <w:rsid w:val="0012499C"/>
    <w:rsid w:val="00126518"/>
    <w:rsid w:val="0013760A"/>
    <w:rsid w:val="00140C2C"/>
    <w:rsid w:val="00142E02"/>
    <w:rsid w:val="00144EB8"/>
    <w:rsid w:val="00156DE8"/>
    <w:rsid w:val="00170182"/>
    <w:rsid w:val="0017171F"/>
    <w:rsid w:val="00172DA6"/>
    <w:rsid w:val="00177BAF"/>
    <w:rsid w:val="001900FC"/>
    <w:rsid w:val="001923F8"/>
    <w:rsid w:val="00192670"/>
    <w:rsid w:val="001957FB"/>
    <w:rsid w:val="001963CC"/>
    <w:rsid w:val="001A6815"/>
    <w:rsid w:val="001B12F5"/>
    <w:rsid w:val="001B3C81"/>
    <w:rsid w:val="001D0D7C"/>
    <w:rsid w:val="001D4BEE"/>
    <w:rsid w:val="001E51FC"/>
    <w:rsid w:val="001E7DD6"/>
    <w:rsid w:val="001F6B24"/>
    <w:rsid w:val="00202A1F"/>
    <w:rsid w:val="00203BF9"/>
    <w:rsid w:val="00204796"/>
    <w:rsid w:val="00204B5B"/>
    <w:rsid w:val="00214062"/>
    <w:rsid w:val="002157C2"/>
    <w:rsid w:val="002160DB"/>
    <w:rsid w:val="00217A1D"/>
    <w:rsid w:val="00231BC6"/>
    <w:rsid w:val="002363BB"/>
    <w:rsid w:val="00274E09"/>
    <w:rsid w:val="002838DF"/>
    <w:rsid w:val="002874D9"/>
    <w:rsid w:val="002947F4"/>
    <w:rsid w:val="002A0B0F"/>
    <w:rsid w:val="002B09CD"/>
    <w:rsid w:val="002C4067"/>
    <w:rsid w:val="002D0B7A"/>
    <w:rsid w:val="002D0F06"/>
    <w:rsid w:val="002D4A52"/>
    <w:rsid w:val="002E0665"/>
    <w:rsid w:val="002F5413"/>
    <w:rsid w:val="002F73CF"/>
    <w:rsid w:val="003037BA"/>
    <w:rsid w:val="00314A14"/>
    <w:rsid w:val="003202B2"/>
    <w:rsid w:val="00321418"/>
    <w:rsid w:val="0032158D"/>
    <w:rsid w:val="00335DA9"/>
    <w:rsid w:val="00336488"/>
    <w:rsid w:val="003528FA"/>
    <w:rsid w:val="00352E08"/>
    <w:rsid w:val="00362A9E"/>
    <w:rsid w:val="00363BF5"/>
    <w:rsid w:val="00370199"/>
    <w:rsid w:val="00376517"/>
    <w:rsid w:val="00383378"/>
    <w:rsid w:val="00386B59"/>
    <w:rsid w:val="00392E75"/>
    <w:rsid w:val="003A04EB"/>
    <w:rsid w:val="003A407D"/>
    <w:rsid w:val="003A592A"/>
    <w:rsid w:val="003C179C"/>
    <w:rsid w:val="003C572B"/>
    <w:rsid w:val="003C76A5"/>
    <w:rsid w:val="003D0DE6"/>
    <w:rsid w:val="003D6978"/>
    <w:rsid w:val="003E5085"/>
    <w:rsid w:val="003F5E18"/>
    <w:rsid w:val="003F60B2"/>
    <w:rsid w:val="00401DD3"/>
    <w:rsid w:val="0040467F"/>
    <w:rsid w:val="004054E1"/>
    <w:rsid w:val="00412034"/>
    <w:rsid w:val="0041234D"/>
    <w:rsid w:val="00412722"/>
    <w:rsid w:val="00412B39"/>
    <w:rsid w:val="00416BBD"/>
    <w:rsid w:val="004236F3"/>
    <w:rsid w:val="0042769F"/>
    <w:rsid w:val="00432614"/>
    <w:rsid w:val="00440E6F"/>
    <w:rsid w:val="004432AC"/>
    <w:rsid w:val="00446A7F"/>
    <w:rsid w:val="00452472"/>
    <w:rsid w:val="00461520"/>
    <w:rsid w:val="00462EE7"/>
    <w:rsid w:val="00480BF7"/>
    <w:rsid w:val="00481D89"/>
    <w:rsid w:val="0049405B"/>
    <w:rsid w:val="00494CCF"/>
    <w:rsid w:val="004A44DD"/>
    <w:rsid w:val="004A7680"/>
    <w:rsid w:val="004B0FD6"/>
    <w:rsid w:val="004B494A"/>
    <w:rsid w:val="004B5992"/>
    <w:rsid w:val="004C4048"/>
    <w:rsid w:val="004C73B8"/>
    <w:rsid w:val="004D403A"/>
    <w:rsid w:val="004D4512"/>
    <w:rsid w:val="004D4651"/>
    <w:rsid w:val="004D50BD"/>
    <w:rsid w:val="004D53EB"/>
    <w:rsid w:val="004E07C3"/>
    <w:rsid w:val="004F3B7D"/>
    <w:rsid w:val="004F51E0"/>
    <w:rsid w:val="004F7989"/>
    <w:rsid w:val="00500133"/>
    <w:rsid w:val="00501ACA"/>
    <w:rsid w:val="005063B2"/>
    <w:rsid w:val="00506E16"/>
    <w:rsid w:val="00510DC8"/>
    <w:rsid w:val="005139DA"/>
    <w:rsid w:val="005148DC"/>
    <w:rsid w:val="005209E2"/>
    <w:rsid w:val="0052750C"/>
    <w:rsid w:val="005320CD"/>
    <w:rsid w:val="0053466D"/>
    <w:rsid w:val="00535751"/>
    <w:rsid w:val="005367B6"/>
    <w:rsid w:val="005454FB"/>
    <w:rsid w:val="00550EE1"/>
    <w:rsid w:val="00551769"/>
    <w:rsid w:val="0055278D"/>
    <w:rsid w:val="005538F9"/>
    <w:rsid w:val="0055655D"/>
    <w:rsid w:val="00564162"/>
    <w:rsid w:val="00564EB6"/>
    <w:rsid w:val="0057087C"/>
    <w:rsid w:val="00576B7C"/>
    <w:rsid w:val="00581252"/>
    <w:rsid w:val="005872C3"/>
    <w:rsid w:val="005927FC"/>
    <w:rsid w:val="005959D9"/>
    <w:rsid w:val="005965F3"/>
    <w:rsid w:val="0059792E"/>
    <w:rsid w:val="005A54E1"/>
    <w:rsid w:val="005A5FBA"/>
    <w:rsid w:val="005B05BC"/>
    <w:rsid w:val="005C5AEB"/>
    <w:rsid w:val="005D318F"/>
    <w:rsid w:val="005D5831"/>
    <w:rsid w:val="005E3698"/>
    <w:rsid w:val="005E5A7F"/>
    <w:rsid w:val="005F55C5"/>
    <w:rsid w:val="005F7F9D"/>
    <w:rsid w:val="006106A0"/>
    <w:rsid w:val="00627BE6"/>
    <w:rsid w:val="0064348A"/>
    <w:rsid w:val="006449EC"/>
    <w:rsid w:val="00647B13"/>
    <w:rsid w:val="00661952"/>
    <w:rsid w:val="00665B2E"/>
    <w:rsid w:val="00666B7E"/>
    <w:rsid w:val="00670FBF"/>
    <w:rsid w:val="006727A1"/>
    <w:rsid w:val="006813BA"/>
    <w:rsid w:val="006839A1"/>
    <w:rsid w:val="006850A8"/>
    <w:rsid w:val="006909FB"/>
    <w:rsid w:val="00694DC0"/>
    <w:rsid w:val="006962CE"/>
    <w:rsid w:val="006A0F40"/>
    <w:rsid w:val="006B2518"/>
    <w:rsid w:val="006C0224"/>
    <w:rsid w:val="006C5A69"/>
    <w:rsid w:val="006D027B"/>
    <w:rsid w:val="006D1A03"/>
    <w:rsid w:val="006D1B44"/>
    <w:rsid w:val="006D2A28"/>
    <w:rsid w:val="006D3E14"/>
    <w:rsid w:val="006E4D80"/>
    <w:rsid w:val="006F001F"/>
    <w:rsid w:val="00715479"/>
    <w:rsid w:val="00722E1D"/>
    <w:rsid w:val="00724502"/>
    <w:rsid w:val="007248DF"/>
    <w:rsid w:val="00724C54"/>
    <w:rsid w:val="007352FD"/>
    <w:rsid w:val="0073653C"/>
    <w:rsid w:val="0074099F"/>
    <w:rsid w:val="00745BCD"/>
    <w:rsid w:val="007474D9"/>
    <w:rsid w:val="00747D18"/>
    <w:rsid w:val="007502FF"/>
    <w:rsid w:val="00754CE6"/>
    <w:rsid w:val="007666CA"/>
    <w:rsid w:val="007722B5"/>
    <w:rsid w:val="00773A1F"/>
    <w:rsid w:val="00774402"/>
    <w:rsid w:val="00787BC9"/>
    <w:rsid w:val="00790E15"/>
    <w:rsid w:val="00791953"/>
    <w:rsid w:val="007A2D1C"/>
    <w:rsid w:val="007A5CB4"/>
    <w:rsid w:val="007B0024"/>
    <w:rsid w:val="007B4F51"/>
    <w:rsid w:val="007C2CB2"/>
    <w:rsid w:val="007C62C1"/>
    <w:rsid w:val="007F4C89"/>
    <w:rsid w:val="00801FB9"/>
    <w:rsid w:val="00804766"/>
    <w:rsid w:val="00805773"/>
    <w:rsid w:val="008066FA"/>
    <w:rsid w:val="008072C7"/>
    <w:rsid w:val="0081013B"/>
    <w:rsid w:val="00811AA3"/>
    <w:rsid w:val="00822CA8"/>
    <w:rsid w:val="00822DFB"/>
    <w:rsid w:val="00833D2E"/>
    <w:rsid w:val="00834D77"/>
    <w:rsid w:val="00835216"/>
    <w:rsid w:val="00841DD8"/>
    <w:rsid w:val="00842B20"/>
    <w:rsid w:val="00843764"/>
    <w:rsid w:val="00856894"/>
    <w:rsid w:val="008628E0"/>
    <w:rsid w:val="008726A9"/>
    <w:rsid w:val="008743A4"/>
    <w:rsid w:val="00874CB2"/>
    <w:rsid w:val="008754C4"/>
    <w:rsid w:val="00876EE6"/>
    <w:rsid w:val="00881AEE"/>
    <w:rsid w:val="00884AEF"/>
    <w:rsid w:val="0088620D"/>
    <w:rsid w:val="00886255"/>
    <w:rsid w:val="00887B3A"/>
    <w:rsid w:val="00891DB5"/>
    <w:rsid w:val="008A2EA0"/>
    <w:rsid w:val="008A5FBB"/>
    <w:rsid w:val="008B628C"/>
    <w:rsid w:val="008B638A"/>
    <w:rsid w:val="008D019B"/>
    <w:rsid w:val="008D2528"/>
    <w:rsid w:val="008D3A8D"/>
    <w:rsid w:val="008D6055"/>
    <w:rsid w:val="008D6268"/>
    <w:rsid w:val="008D6A1A"/>
    <w:rsid w:val="008E1D70"/>
    <w:rsid w:val="008E6993"/>
    <w:rsid w:val="008F0012"/>
    <w:rsid w:val="008F5822"/>
    <w:rsid w:val="008F5D63"/>
    <w:rsid w:val="008F7803"/>
    <w:rsid w:val="008F7DE0"/>
    <w:rsid w:val="00906780"/>
    <w:rsid w:val="00917185"/>
    <w:rsid w:val="00921A5D"/>
    <w:rsid w:val="00922D92"/>
    <w:rsid w:val="009266C8"/>
    <w:rsid w:val="00933AB6"/>
    <w:rsid w:val="00937933"/>
    <w:rsid w:val="00942795"/>
    <w:rsid w:val="00943914"/>
    <w:rsid w:val="009452FC"/>
    <w:rsid w:val="00946244"/>
    <w:rsid w:val="00953E36"/>
    <w:rsid w:val="00956A76"/>
    <w:rsid w:val="00977C89"/>
    <w:rsid w:val="009912C1"/>
    <w:rsid w:val="009B0F67"/>
    <w:rsid w:val="009C6017"/>
    <w:rsid w:val="009D05E4"/>
    <w:rsid w:val="009D3B3B"/>
    <w:rsid w:val="009D70D5"/>
    <w:rsid w:val="009E3F85"/>
    <w:rsid w:val="009E444D"/>
    <w:rsid w:val="009F3086"/>
    <w:rsid w:val="009F7082"/>
    <w:rsid w:val="009F7F4D"/>
    <w:rsid w:val="00A00210"/>
    <w:rsid w:val="00A05CB8"/>
    <w:rsid w:val="00A06A64"/>
    <w:rsid w:val="00A12D7F"/>
    <w:rsid w:val="00A16CD2"/>
    <w:rsid w:val="00A209A6"/>
    <w:rsid w:val="00A217A3"/>
    <w:rsid w:val="00A21C0B"/>
    <w:rsid w:val="00A2460A"/>
    <w:rsid w:val="00A312B5"/>
    <w:rsid w:val="00A35CE2"/>
    <w:rsid w:val="00A4150A"/>
    <w:rsid w:val="00A41B4F"/>
    <w:rsid w:val="00A474A2"/>
    <w:rsid w:val="00A50608"/>
    <w:rsid w:val="00A541F6"/>
    <w:rsid w:val="00A7606E"/>
    <w:rsid w:val="00A77835"/>
    <w:rsid w:val="00A81562"/>
    <w:rsid w:val="00A821BD"/>
    <w:rsid w:val="00A84651"/>
    <w:rsid w:val="00AB6BD7"/>
    <w:rsid w:val="00AC3EA7"/>
    <w:rsid w:val="00AD3835"/>
    <w:rsid w:val="00AE0326"/>
    <w:rsid w:val="00AF1590"/>
    <w:rsid w:val="00B0075D"/>
    <w:rsid w:val="00B03D32"/>
    <w:rsid w:val="00B047F1"/>
    <w:rsid w:val="00B12034"/>
    <w:rsid w:val="00B127FC"/>
    <w:rsid w:val="00B164A0"/>
    <w:rsid w:val="00B16C78"/>
    <w:rsid w:val="00B21B10"/>
    <w:rsid w:val="00B22FCF"/>
    <w:rsid w:val="00B26513"/>
    <w:rsid w:val="00B27D1E"/>
    <w:rsid w:val="00B3002C"/>
    <w:rsid w:val="00B33C31"/>
    <w:rsid w:val="00B37197"/>
    <w:rsid w:val="00B41761"/>
    <w:rsid w:val="00B44EB1"/>
    <w:rsid w:val="00B46CC6"/>
    <w:rsid w:val="00B47135"/>
    <w:rsid w:val="00B55CB3"/>
    <w:rsid w:val="00B55EBB"/>
    <w:rsid w:val="00B70B7F"/>
    <w:rsid w:val="00B8019A"/>
    <w:rsid w:val="00B84BE5"/>
    <w:rsid w:val="00B9201A"/>
    <w:rsid w:val="00B923A5"/>
    <w:rsid w:val="00BA09C2"/>
    <w:rsid w:val="00BA0B13"/>
    <w:rsid w:val="00BB55A9"/>
    <w:rsid w:val="00BC1EC5"/>
    <w:rsid w:val="00BC3ED9"/>
    <w:rsid w:val="00BC557D"/>
    <w:rsid w:val="00BC6B85"/>
    <w:rsid w:val="00BE088F"/>
    <w:rsid w:val="00BE4647"/>
    <w:rsid w:val="00BE4901"/>
    <w:rsid w:val="00BF10CA"/>
    <w:rsid w:val="00BF18B8"/>
    <w:rsid w:val="00BF1E2F"/>
    <w:rsid w:val="00C0289B"/>
    <w:rsid w:val="00C040BE"/>
    <w:rsid w:val="00C12010"/>
    <w:rsid w:val="00C14C1F"/>
    <w:rsid w:val="00C22C8F"/>
    <w:rsid w:val="00C23C8D"/>
    <w:rsid w:val="00C33EEC"/>
    <w:rsid w:val="00C34C07"/>
    <w:rsid w:val="00C439C1"/>
    <w:rsid w:val="00C44D21"/>
    <w:rsid w:val="00C460EF"/>
    <w:rsid w:val="00C46FCD"/>
    <w:rsid w:val="00C515C6"/>
    <w:rsid w:val="00C52459"/>
    <w:rsid w:val="00C655CE"/>
    <w:rsid w:val="00C702FA"/>
    <w:rsid w:val="00C71718"/>
    <w:rsid w:val="00C75753"/>
    <w:rsid w:val="00C800B2"/>
    <w:rsid w:val="00C809AB"/>
    <w:rsid w:val="00C97D10"/>
    <w:rsid w:val="00CA0D2C"/>
    <w:rsid w:val="00CA3E36"/>
    <w:rsid w:val="00CB10E3"/>
    <w:rsid w:val="00CB1ED8"/>
    <w:rsid w:val="00CC55E9"/>
    <w:rsid w:val="00CC6C9C"/>
    <w:rsid w:val="00CD2A4B"/>
    <w:rsid w:val="00CE3527"/>
    <w:rsid w:val="00CE6527"/>
    <w:rsid w:val="00CF1328"/>
    <w:rsid w:val="00CF34DC"/>
    <w:rsid w:val="00D04B54"/>
    <w:rsid w:val="00D07AE2"/>
    <w:rsid w:val="00D20005"/>
    <w:rsid w:val="00D24526"/>
    <w:rsid w:val="00D251DC"/>
    <w:rsid w:val="00D266EC"/>
    <w:rsid w:val="00D356C0"/>
    <w:rsid w:val="00D4316C"/>
    <w:rsid w:val="00D50123"/>
    <w:rsid w:val="00D51B96"/>
    <w:rsid w:val="00D54FCC"/>
    <w:rsid w:val="00D567B1"/>
    <w:rsid w:val="00D6043F"/>
    <w:rsid w:val="00D66D23"/>
    <w:rsid w:val="00D80076"/>
    <w:rsid w:val="00D8311E"/>
    <w:rsid w:val="00D8629A"/>
    <w:rsid w:val="00D942AE"/>
    <w:rsid w:val="00DA784F"/>
    <w:rsid w:val="00DB61A6"/>
    <w:rsid w:val="00DD2863"/>
    <w:rsid w:val="00DD7421"/>
    <w:rsid w:val="00DE2579"/>
    <w:rsid w:val="00E02322"/>
    <w:rsid w:val="00E03610"/>
    <w:rsid w:val="00E1139D"/>
    <w:rsid w:val="00E128BD"/>
    <w:rsid w:val="00E12EE3"/>
    <w:rsid w:val="00E1779D"/>
    <w:rsid w:val="00E20984"/>
    <w:rsid w:val="00E25535"/>
    <w:rsid w:val="00E25645"/>
    <w:rsid w:val="00E273C6"/>
    <w:rsid w:val="00E348E1"/>
    <w:rsid w:val="00E414A8"/>
    <w:rsid w:val="00E4302F"/>
    <w:rsid w:val="00E52784"/>
    <w:rsid w:val="00E600CB"/>
    <w:rsid w:val="00E6244F"/>
    <w:rsid w:val="00E646F9"/>
    <w:rsid w:val="00E64EAE"/>
    <w:rsid w:val="00E70405"/>
    <w:rsid w:val="00E83D74"/>
    <w:rsid w:val="00E84660"/>
    <w:rsid w:val="00E84B9E"/>
    <w:rsid w:val="00E86CA8"/>
    <w:rsid w:val="00E916AB"/>
    <w:rsid w:val="00E93B50"/>
    <w:rsid w:val="00E951B5"/>
    <w:rsid w:val="00EC40DF"/>
    <w:rsid w:val="00EC4848"/>
    <w:rsid w:val="00EC7461"/>
    <w:rsid w:val="00ED7D43"/>
    <w:rsid w:val="00EE2BDF"/>
    <w:rsid w:val="00EE56A5"/>
    <w:rsid w:val="00EE6C9E"/>
    <w:rsid w:val="00EF4448"/>
    <w:rsid w:val="00EF6EB4"/>
    <w:rsid w:val="00F12FF7"/>
    <w:rsid w:val="00F16B91"/>
    <w:rsid w:val="00F23714"/>
    <w:rsid w:val="00F26FA9"/>
    <w:rsid w:val="00F326A7"/>
    <w:rsid w:val="00F329A9"/>
    <w:rsid w:val="00F34BEB"/>
    <w:rsid w:val="00F35868"/>
    <w:rsid w:val="00F35FF7"/>
    <w:rsid w:val="00F41E1C"/>
    <w:rsid w:val="00F42EB2"/>
    <w:rsid w:val="00F47391"/>
    <w:rsid w:val="00F52406"/>
    <w:rsid w:val="00F53462"/>
    <w:rsid w:val="00F54E07"/>
    <w:rsid w:val="00F5755F"/>
    <w:rsid w:val="00F62138"/>
    <w:rsid w:val="00F63230"/>
    <w:rsid w:val="00F64810"/>
    <w:rsid w:val="00F700B5"/>
    <w:rsid w:val="00F85160"/>
    <w:rsid w:val="00F85C58"/>
    <w:rsid w:val="00F87AE9"/>
    <w:rsid w:val="00F87B73"/>
    <w:rsid w:val="00F913E5"/>
    <w:rsid w:val="00F9275D"/>
    <w:rsid w:val="00FA1252"/>
    <w:rsid w:val="00FA3F1D"/>
    <w:rsid w:val="00FA5811"/>
    <w:rsid w:val="00FA5B02"/>
    <w:rsid w:val="00FB2677"/>
    <w:rsid w:val="00FB4297"/>
    <w:rsid w:val="00FC2325"/>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0E653A99-C169-4438-B2FE-6F744273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styleId="Nevyeenzmnka">
    <w:name w:val="Unresolved Mention"/>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table" w:styleId="Mkatabulky">
    <w:name w:val="Table Grid"/>
    <w:basedOn w:val="Normlntabulka"/>
    <w:uiPriority w:val="39"/>
    <w:rsid w:val="00D8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22993268">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38347162">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1014-770/770-24_RS.docx</ZkracenyRetezec>
    <Smazat xmlns="acca34e4-9ecd-41c8-99eb-d6aa654aaa55">&lt;a href="/sites/evidencesmluv/_layouts/15/IniWrkflIP.aspx?List=%7b5BACA63D-3952-4531-BB75-33B3C750A970%7d&amp;amp;ID=2811&amp;amp;ItemGuid=%7b857F2DA0-3E8D-4F4D-BC89-CE1DA5409399%7d&amp;amp;TemplateID=%7bd3f8102e-f4a5-4901-b93c-fb146a9d820d%7d"&gt;&lt;img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8A8D-F9D6-4D88-B94F-6FE549411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6005E-6A82-42CD-BD37-A6818E852E78}">
  <ds:schemaRef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4F8FB46E-EB67-4CB6-AB37-A68B41C4DB8D}"/>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5.xml><?xml version="1.0" encoding="utf-8"?>
<ds:datastoreItem xmlns:ds="http://schemas.openxmlformats.org/officeDocument/2006/customXml" ds:itemID="{22458B07-1D84-40D6-BB0A-7020EFE5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3498</Words>
  <Characters>20639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24089</CharactersWithSpaces>
  <SharedDoc>false</SharedDoc>
  <HLinks>
    <vt:vector size="30" baseType="variant">
      <vt:variant>
        <vt:i4>1572901</vt:i4>
      </vt:variant>
      <vt:variant>
        <vt:i4>21</vt:i4>
      </vt:variant>
      <vt:variant>
        <vt:i4>0</vt:i4>
      </vt:variant>
      <vt:variant>
        <vt:i4>5</vt:i4>
      </vt:variant>
      <vt:variant>
        <vt:lpwstr>mailto:faktury@vfn.cz</vt:lpwstr>
      </vt:variant>
      <vt:variant>
        <vt:lpwstr/>
      </vt:variant>
      <vt:variant>
        <vt:i4>1310775</vt:i4>
      </vt:variant>
      <vt:variant>
        <vt:i4>18</vt:i4>
      </vt:variant>
      <vt:variant>
        <vt:i4>0</vt:i4>
      </vt:variant>
      <vt:variant>
        <vt:i4>5</vt:i4>
      </vt:variant>
      <vt:variant>
        <vt:lpwstr>mailto:hvlp@vfn.cz</vt:lpwstr>
      </vt:variant>
      <vt:variant>
        <vt:lpwstr/>
      </vt:variant>
      <vt:variant>
        <vt:i4>1769524</vt:i4>
      </vt:variant>
      <vt:variant>
        <vt:i4>15</vt:i4>
      </vt:variant>
      <vt:variant>
        <vt:i4>0</vt:i4>
      </vt:variant>
      <vt:variant>
        <vt:i4>5</vt:i4>
      </vt:variant>
      <vt:variant>
        <vt:lpwstr>mailto:lekarnaoviii@vfn.cz</vt:lpwstr>
      </vt:variant>
      <vt:variant>
        <vt:lpwstr/>
      </vt:variant>
      <vt:variant>
        <vt:i4>6422547</vt:i4>
      </vt:variant>
      <vt:variant>
        <vt:i4>12</vt:i4>
      </vt:variant>
      <vt:variant>
        <vt:i4>0</vt:i4>
      </vt:variant>
      <vt:variant>
        <vt:i4>5</vt:i4>
      </vt:variant>
      <vt:variant>
        <vt:lpwstr>mailto:objednavkyovv2@vfn.cz</vt:lpwstr>
      </vt:variant>
      <vt:variant>
        <vt:lpwstr/>
      </vt:variant>
      <vt:variant>
        <vt:i4>589942</vt:i4>
      </vt:variant>
      <vt:variant>
        <vt:i4>9</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Kotusová Zuzana, Ing. DiS.</cp:lastModifiedBy>
  <cp:revision>2</cp:revision>
  <cp:lastPrinted>2024-10-25T09:51:00Z</cp:lastPrinted>
  <dcterms:created xsi:type="dcterms:W3CDTF">2024-11-21T11:20:00Z</dcterms:created>
  <dcterms:modified xsi:type="dcterms:W3CDTF">2024-11-21T11:20:00Z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8864426c-b524-4f81-9185-d0c496953f25</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2024-07-15T14:17:44Z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y fmtid="{D5CDD505-2E9C-101B-9397-08002B2CF9AE}" pid="11" name="WorkflowChangePath">
    <vt:lpwstr>9a1e63d7-515c-44cd-98c8-a4c647aa8c7b,2;9a1e63d7-515c-44cd-98c8-a4c647aa8c7b,2;9a1e63d7-515c-44cd-98c8-a4c647aa8c7b,2;</vt:lpwstr>
  </property>
</Properties>
</file>