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FC" w:rsidRDefault="00774DF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774DFC" w:rsidRDefault="00911FE4">
      <w:pPr>
        <w:pStyle w:val="Nzev"/>
        <w:spacing w:before="99"/>
        <w:ind w:left="3280" w:right="3170"/>
      </w:pPr>
      <w:r>
        <w:rPr>
          <w:color w:val="808080"/>
        </w:rPr>
        <w:t>Smlouva č. 7220100012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74DFC" w:rsidRDefault="00911FE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74DFC" w:rsidRDefault="00774DFC">
      <w:pPr>
        <w:pStyle w:val="Zkladntext"/>
        <w:spacing w:before="11"/>
        <w:rPr>
          <w:sz w:val="59"/>
        </w:rPr>
      </w:pPr>
    </w:p>
    <w:p w:rsidR="00774DFC" w:rsidRDefault="00911FE4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74DFC" w:rsidRDefault="00774DFC">
      <w:pPr>
        <w:pStyle w:val="Zkladntext"/>
        <w:rPr>
          <w:sz w:val="26"/>
        </w:rPr>
      </w:pPr>
    </w:p>
    <w:p w:rsidR="00774DFC" w:rsidRDefault="00911FE4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74DFC" w:rsidRDefault="00911FE4">
      <w:pPr>
        <w:pStyle w:val="Zkladntext"/>
        <w:tabs>
          <w:tab w:val="left" w:pos="3122"/>
        </w:tabs>
        <w:spacing w:before="1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74DFC" w:rsidRDefault="00911FE4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74DFC" w:rsidRDefault="00911FE4">
      <w:pPr>
        <w:pStyle w:val="Zkladntext"/>
        <w:tabs>
          <w:tab w:val="right" w:pos="3986"/>
        </w:tabs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774DFC" w:rsidRDefault="00911FE4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774DFC" w:rsidRDefault="00911FE4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74DFC" w:rsidRDefault="00911FE4">
      <w:pPr>
        <w:pStyle w:val="Zkladntext"/>
        <w:tabs>
          <w:tab w:val="left" w:pos="3122"/>
        </w:tabs>
        <w:ind w:left="24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74DFC" w:rsidRDefault="00774DFC">
      <w:pPr>
        <w:pStyle w:val="Zkladntext"/>
        <w:spacing w:before="12"/>
        <w:rPr>
          <w:sz w:val="19"/>
        </w:rPr>
      </w:pPr>
    </w:p>
    <w:p w:rsidR="00774DFC" w:rsidRDefault="00911FE4">
      <w:pPr>
        <w:pStyle w:val="Zkladntext"/>
        <w:ind w:left="242"/>
      </w:pPr>
      <w:r>
        <w:rPr>
          <w:w w:val="99"/>
        </w:rPr>
        <w:t>a</w:t>
      </w:r>
    </w:p>
    <w:p w:rsidR="00774DFC" w:rsidRDefault="00774DFC">
      <w:pPr>
        <w:pStyle w:val="Zkladntext"/>
        <w:spacing w:before="1"/>
      </w:pPr>
    </w:p>
    <w:p w:rsidR="00774DFC" w:rsidRDefault="00911FE4">
      <w:pPr>
        <w:pStyle w:val="Nadpis2"/>
        <w:jc w:val="left"/>
      </w:pPr>
      <w:r>
        <w:t>CTZ</w:t>
      </w:r>
      <w:r>
        <w:rPr>
          <w:spacing w:val="-4"/>
        </w:rPr>
        <w:t xml:space="preserve"> </w:t>
      </w:r>
      <w:r>
        <w:t>s.r.o.</w:t>
      </w:r>
    </w:p>
    <w:p w:rsidR="00774DFC" w:rsidRDefault="00911FE4">
      <w:pPr>
        <w:pStyle w:val="Zkladntext"/>
        <w:ind w:left="242" w:right="181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20090</w:t>
      </w:r>
    </w:p>
    <w:p w:rsidR="00774DFC" w:rsidRDefault="00911FE4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Sokolovská</w:t>
      </w:r>
      <w:r>
        <w:rPr>
          <w:spacing w:val="-3"/>
        </w:rPr>
        <w:t xml:space="preserve"> </w:t>
      </w:r>
      <w:r>
        <w:t>572,</w:t>
      </w:r>
      <w:r>
        <w:rPr>
          <w:spacing w:val="-3"/>
        </w:rPr>
        <w:t xml:space="preserve"> </w:t>
      </w:r>
      <w:r>
        <w:t>Mařatice,</w:t>
      </w:r>
      <w:r>
        <w:rPr>
          <w:spacing w:val="-3"/>
        </w:rPr>
        <w:t xml:space="preserve"> </w:t>
      </w:r>
      <w:r>
        <w:t>686</w:t>
      </w:r>
      <w:r>
        <w:rPr>
          <w:spacing w:val="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Uherské</w:t>
      </w:r>
      <w:r>
        <w:rPr>
          <w:spacing w:val="-3"/>
        </w:rPr>
        <w:t xml:space="preserve"> </w:t>
      </w:r>
      <w:r>
        <w:t>Hradiště</w:t>
      </w:r>
    </w:p>
    <w:p w:rsidR="00774DFC" w:rsidRDefault="00911FE4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rPr>
          <w:rFonts w:ascii="Times New Roman" w:hAnsi="Times New Roman"/>
        </w:rPr>
        <w:tab/>
      </w:r>
      <w:r>
        <w:t>634</w:t>
      </w:r>
      <w:r>
        <w:rPr>
          <w:spacing w:val="-1"/>
        </w:rPr>
        <w:t xml:space="preserve"> </w:t>
      </w:r>
      <w:r>
        <w:t>72 163</w:t>
      </w:r>
    </w:p>
    <w:p w:rsidR="00774DFC" w:rsidRDefault="00911FE4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Kamilem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jednatelem</w:t>
      </w:r>
    </w:p>
    <w:p w:rsidR="00774DFC" w:rsidRDefault="00911FE4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Československá</w:t>
      </w:r>
      <w:r>
        <w:rPr>
          <w:spacing w:val="-8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</w:p>
    <w:p w:rsidR="00774DFC" w:rsidRDefault="00911FE4">
      <w:pPr>
        <w:pStyle w:val="Zkladntext"/>
        <w:tabs>
          <w:tab w:val="left" w:pos="3122"/>
        </w:tabs>
        <w:spacing w:before="1"/>
        <w:ind w:left="24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8010-803356553/0300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774DFC" w:rsidRDefault="00774DFC">
      <w:pPr>
        <w:pStyle w:val="Zkladntext"/>
        <w:spacing w:before="12"/>
        <w:rPr>
          <w:sz w:val="19"/>
        </w:rPr>
      </w:pPr>
    </w:p>
    <w:p w:rsidR="00774DFC" w:rsidRDefault="00911FE4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74DFC" w:rsidRDefault="00774DFC">
      <w:pPr>
        <w:pStyle w:val="Zkladntext"/>
      </w:pPr>
    </w:p>
    <w:p w:rsidR="00774DFC" w:rsidRDefault="00911FE4">
      <w:pPr>
        <w:pStyle w:val="Nadpis1"/>
        <w:spacing w:before="1"/>
        <w:ind w:left="3278"/>
      </w:pPr>
      <w:r>
        <w:t>I.</w:t>
      </w:r>
    </w:p>
    <w:p w:rsidR="00774DFC" w:rsidRDefault="00911FE4">
      <w:pPr>
        <w:pStyle w:val="Nadpis2"/>
        <w:ind w:left="3274" w:right="317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74DFC" w:rsidRDefault="00774DFC">
      <w:pPr>
        <w:pStyle w:val="Zkladntext"/>
        <w:spacing w:before="1"/>
        <w:rPr>
          <w:b/>
        </w:rPr>
      </w:pPr>
    </w:p>
    <w:p w:rsidR="00774DFC" w:rsidRDefault="00911FE4">
      <w:pPr>
        <w:pStyle w:val="Odstavecseseznamem"/>
        <w:numPr>
          <w:ilvl w:val="0"/>
          <w:numId w:val="8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Státního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České</w:t>
      </w:r>
      <w:r>
        <w:rPr>
          <w:spacing w:val="55"/>
          <w:sz w:val="20"/>
        </w:rPr>
        <w:t xml:space="preserve"> </w:t>
      </w:r>
      <w:r>
        <w:rPr>
          <w:sz w:val="20"/>
        </w:rPr>
        <w:t>republiky</w:t>
      </w:r>
      <w:r>
        <w:rPr>
          <w:spacing w:val="55"/>
          <w:sz w:val="20"/>
        </w:rPr>
        <w:t xml:space="preserve"> </w:t>
      </w:r>
      <w:r>
        <w:rPr>
          <w:sz w:val="20"/>
        </w:rPr>
        <w:t>(dále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„Smlouva“)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uzavírá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1"/>
          <w:sz w:val="20"/>
        </w:rPr>
        <w:t xml:space="preserve"> </w:t>
      </w:r>
      <w:r>
        <w:rPr>
          <w:sz w:val="20"/>
        </w:rPr>
        <w:t>ministra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7220100012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 prostředků ze Státního fondu životního prostředí ČR ze dne 19. 12. 2023 v rámci Programu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Modernizačního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„Rozhodnutí</w:t>
      </w:r>
      <w:r>
        <w:rPr>
          <w:sz w:val="20"/>
        </w:rPr>
        <w:t>“).</w:t>
      </w:r>
    </w:p>
    <w:p w:rsidR="00774DFC" w:rsidRDefault="00911FE4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potvrzuje,</w:t>
      </w:r>
      <w:r>
        <w:rPr>
          <w:spacing w:val="48"/>
          <w:sz w:val="20"/>
        </w:rPr>
        <w:t xml:space="preserve"> </w:t>
      </w:r>
      <w:r>
        <w:rPr>
          <w:sz w:val="20"/>
        </w:rPr>
        <w:t>že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seznámil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Výzvou</w:t>
      </w:r>
      <w:r>
        <w:rPr>
          <w:spacing w:val="49"/>
          <w:sz w:val="20"/>
        </w:rPr>
        <w:t xml:space="preserve"> </w:t>
      </w:r>
      <w:r>
        <w:rPr>
          <w:sz w:val="20"/>
        </w:rPr>
        <w:t>ModF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HEAT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1/2022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47"/>
          <w:sz w:val="20"/>
        </w:rPr>
        <w:t xml:space="preserve"> </w:t>
      </w:r>
      <w:r>
        <w:rPr>
          <w:sz w:val="20"/>
        </w:rPr>
        <w:t>ModF-HEAT-1_A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774DFC" w:rsidRDefault="00774DFC">
      <w:pPr>
        <w:jc w:val="both"/>
        <w:rPr>
          <w:sz w:val="20"/>
        </w:rPr>
        <w:sectPr w:rsidR="00774DFC">
          <w:headerReference w:type="default" r:id="rId7"/>
          <w:footerReference w:type="default" r:id="rId8"/>
          <w:type w:val="continuous"/>
          <w:pgSz w:w="12240" w:h="15840"/>
          <w:pgMar w:top="2040" w:right="1000" w:bottom="960" w:left="1460" w:header="708" w:footer="771" w:gutter="0"/>
          <w:pgNumType w:start="1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Odstavecseseznamem"/>
        <w:numPr>
          <w:ilvl w:val="0"/>
          <w:numId w:val="8"/>
        </w:numPr>
        <w:tabs>
          <w:tab w:val="left" w:pos="52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74DFC" w:rsidRDefault="00911FE4">
      <w:pPr>
        <w:pStyle w:val="Nadpis2"/>
        <w:spacing w:before="120"/>
        <w:ind w:left="2106"/>
        <w:jc w:val="both"/>
      </w:pPr>
      <w:r>
        <w:t>„CTZ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Výstavba</w:t>
      </w:r>
      <w:r>
        <w:rPr>
          <w:spacing w:val="1"/>
        </w:rPr>
        <w:t xml:space="preserve"> </w:t>
      </w:r>
      <w:r>
        <w:t>tří</w:t>
      </w:r>
      <w:r>
        <w:rPr>
          <w:spacing w:val="-3"/>
        </w:rPr>
        <w:t xml:space="preserve"> </w:t>
      </w:r>
      <w:r>
        <w:t>plynových</w:t>
      </w:r>
      <w:r>
        <w:rPr>
          <w:spacing w:val="-2"/>
        </w:rPr>
        <w:t xml:space="preserve"> </w:t>
      </w:r>
      <w:r>
        <w:t>parních kotlů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KGJ 999</w:t>
      </w:r>
      <w:r>
        <w:rPr>
          <w:spacing w:val="-2"/>
        </w:rPr>
        <w:t xml:space="preserve"> </w:t>
      </w:r>
      <w:r>
        <w:t>kWe“</w:t>
      </w:r>
    </w:p>
    <w:p w:rsidR="00774DFC" w:rsidRDefault="00911FE4">
      <w:pPr>
        <w:pStyle w:val="Zkladntext"/>
        <w:spacing w:before="118"/>
        <w:ind w:left="52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774DFC" w:rsidRDefault="00911FE4">
      <w:pPr>
        <w:pStyle w:val="Odstavecseseznamem"/>
        <w:numPr>
          <w:ilvl w:val="0"/>
          <w:numId w:val="8"/>
        </w:numPr>
        <w:tabs>
          <w:tab w:val="left" w:pos="52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6"/>
          <w:sz w:val="20"/>
        </w:rPr>
        <w:t xml:space="preserve"> </w:t>
      </w:r>
      <w:r>
        <w:rPr>
          <w:sz w:val="20"/>
        </w:rPr>
        <w:t>(EU)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651/2014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17.</w:t>
      </w:r>
      <w:r>
        <w:rPr>
          <w:spacing w:val="-5"/>
          <w:sz w:val="20"/>
        </w:rPr>
        <w:t xml:space="preserve"> </w:t>
      </w:r>
      <w:r>
        <w:rPr>
          <w:sz w:val="20"/>
        </w:rPr>
        <w:t>června</w:t>
      </w:r>
      <w:r>
        <w:rPr>
          <w:spacing w:val="-6"/>
          <w:sz w:val="20"/>
        </w:rPr>
        <w:t xml:space="preserve"> </w:t>
      </w:r>
      <w:r>
        <w:rPr>
          <w:sz w:val="20"/>
        </w:rPr>
        <w:t>2014,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9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</w:t>
      </w:r>
      <w:r>
        <w:rPr>
          <w:spacing w:val="5"/>
          <w:sz w:val="20"/>
        </w:rPr>
        <w:t xml:space="preserve"> </w:t>
      </w:r>
      <w:r>
        <w:rPr>
          <w:sz w:val="20"/>
        </w:rPr>
        <w:t>SA.62857</w:t>
      </w:r>
      <w:r>
        <w:rPr>
          <w:spacing w:val="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46).</w:t>
      </w:r>
    </w:p>
    <w:p w:rsidR="00774DFC" w:rsidRDefault="00774DFC">
      <w:pPr>
        <w:pStyle w:val="Zkladntext"/>
        <w:rPr>
          <w:sz w:val="26"/>
        </w:rPr>
      </w:pPr>
    </w:p>
    <w:p w:rsidR="00774DFC" w:rsidRDefault="00911FE4">
      <w:pPr>
        <w:pStyle w:val="Nadpis1"/>
        <w:spacing w:before="186"/>
        <w:ind w:left="3280" w:right="2816"/>
      </w:pPr>
      <w:r>
        <w:t>II.</w:t>
      </w:r>
    </w:p>
    <w:p w:rsidR="00774DFC" w:rsidRDefault="00911FE4">
      <w:pPr>
        <w:pStyle w:val="Nadpis2"/>
        <w:spacing w:before="1"/>
        <w:ind w:left="3280" w:right="281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74DFC" w:rsidRDefault="00774DFC">
      <w:pPr>
        <w:pStyle w:val="Zkladntext"/>
        <w:rPr>
          <w:b/>
        </w:rPr>
      </w:pP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13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386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708,40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 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osm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70</w:t>
      </w:r>
      <w:r>
        <w:rPr>
          <w:spacing w:val="1"/>
          <w:sz w:val="20"/>
        </w:rPr>
        <w:t xml:space="preserve"> </w:t>
      </w:r>
      <w:r>
        <w:rPr>
          <w:sz w:val="20"/>
        </w:rPr>
        <w:t>644</w:t>
      </w:r>
      <w:r>
        <w:rPr>
          <w:spacing w:val="1"/>
          <w:sz w:val="20"/>
        </w:rPr>
        <w:t xml:space="preserve"> </w:t>
      </w:r>
      <w:r>
        <w:rPr>
          <w:sz w:val="20"/>
        </w:rPr>
        <w:t>414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</w:t>
      </w:r>
      <w:r>
        <w:rPr>
          <w:sz w:val="20"/>
        </w:rPr>
        <w:t>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vzniklých v přímé souvislosti s 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kterými je akce realizována, a které </w:t>
      </w:r>
      <w:r>
        <w:rPr>
          <w:sz w:val="20"/>
        </w:rPr>
        <w:t>vznikly a byly uhrazeny v období od 10.10. 2022 do 19.12. 2028 (60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Rozhodnutí).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74DFC" w:rsidRDefault="00911FE4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74DFC" w:rsidRDefault="00774DFC">
      <w:pPr>
        <w:pStyle w:val="Zkladntext"/>
        <w:spacing w:before="1"/>
      </w:pPr>
    </w:p>
    <w:p w:rsidR="00774DFC" w:rsidRDefault="00911FE4">
      <w:pPr>
        <w:pStyle w:val="Nadpis1"/>
      </w:pPr>
      <w:r>
        <w:t>III.</w:t>
      </w:r>
    </w:p>
    <w:p w:rsidR="00774DFC" w:rsidRDefault="00911FE4">
      <w:pPr>
        <w:pStyle w:val="Nadpis2"/>
        <w:ind w:left="3274" w:right="3170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74DFC" w:rsidRDefault="00774DFC">
      <w:pPr>
        <w:pStyle w:val="Zkladntext"/>
        <w:spacing w:before="12"/>
        <w:rPr>
          <w:b/>
          <w:sz w:val="19"/>
        </w:rPr>
      </w:pP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 bankovní účet příjemce podpory, uvedený v této Smlouvě. Fond bude příjemci podpory jednotlivé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avizovat.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</w:t>
      </w:r>
      <w:r>
        <w:rPr>
          <w:sz w:val="20"/>
        </w:rPr>
        <w:t>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zdrojích</w:t>
      </w:r>
      <w:r>
        <w:rPr>
          <w:spacing w:val="-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podaných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</w:t>
      </w:r>
      <w:r>
        <w:rPr>
          <w:sz w:val="20"/>
        </w:rPr>
        <w:t>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</w:t>
      </w:r>
      <w:r>
        <w:rPr>
          <w:sz w:val="20"/>
        </w:rPr>
        <w:t>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74DFC" w:rsidRDefault="00911FE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774DFC" w:rsidRDefault="00774DFC">
      <w:pPr>
        <w:pStyle w:val="Zkladntext"/>
        <w:rPr>
          <w:sz w:val="26"/>
        </w:rPr>
      </w:pPr>
    </w:p>
    <w:p w:rsidR="00774DFC" w:rsidRDefault="00911FE4">
      <w:pPr>
        <w:pStyle w:val="Nadpis1"/>
        <w:spacing w:before="188"/>
        <w:ind w:left="3279"/>
      </w:pPr>
      <w:r>
        <w:t>IV.</w:t>
      </w:r>
    </w:p>
    <w:p w:rsidR="00774DFC" w:rsidRDefault="00911FE4">
      <w:pPr>
        <w:pStyle w:val="Nadpis2"/>
        <w:ind w:left="1154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74DFC" w:rsidRDefault="00774DFC">
      <w:pPr>
        <w:pStyle w:val="Zkladntext"/>
        <w:spacing w:before="11"/>
        <w:rPr>
          <w:b/>
          <w:sz w:val="25"/>
        </w:rPr>
      </w:pPr>
    </w:p>
    <w:p w:rsidR="00774DFC" w:rsidRDefault="00911FE4">
      <w:pPr>
        <w:pStyle w:val="Odstavecseseznamem"/>
        <w:numPr>
          <w:ilvl w:val="0"/>
          <w:numId w:val="5"/>
        </w:numPr>
        <w:tabs>
          <w:tab w:val="left" w:pos="465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splní účel akce „CTZ – Výstavba tří plynových parních kotlů a KGJ 999 kWe“ tím, že akce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ind w:right="131"/>
        <w:jc w:val="both"/>
        <w:rPr>
          <w:sz w:val="20"/>
        </w:rPr>
      </w:pPr>
      <w:r>
        <w:rPr>
          <w:sz w:val="20"/>
        </w:rPr>
        <w:t>realizací projektu dojde k rekonstrukci kotlů v teplárně společnosti CTZ a.s. V rámci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 budou rekonstruovány kotle K1 (4 MW, hnědé uhlí), K2 (4 MW, hnědé uhlí a K3 (2,35 MW,</w:t>
      </w:r>
      <w:r>
        <w:rPr>
          <w:spacing w:val="1"/>
          <w:sz w:val="20"/>
        </w:rPr>
        <w:t xml:space="preserve"> </w:t>
      </w:r>
      <w:r>
        <w:rPr>
          <w:sz w:val="20"/>
        </w:rPr>
        <w:t>hnědé uhlí) a budou nahrazeny kotly K1 (6 MW, zemní plyn), K2 (6 MW, zemní plyn) a K3 (6 MW,</w:t>
      </w:r>
      <w:r>
        <w:rPr>
          <w:spacing w:val="1"/>
          <w:sz w:val="20"/>
        </w:rPr>
        <w:t xml:space="preserve"> </w:t>
      </w:r>
      <w:r>
        <w:rPr>
          <w:sz w:val="20"/>
        </w:rPr>
        <w:t>zemní</w:t>
      </w:r>
      <w:r>
        <w:rPr>
          <w:spacing w:val="1"/>
          <w:sz w:val="20"/>
        </w:rPr>
        <w:t xml:space="preserve"> </w:t>
      </w:r>
      <w:r>
        <w:rPr>
          <w:sz w:val="20"/>
        </w:rPr>
        <w:t>plyn)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kontejnerovou</w:t>
      </w:r>
      <w:r>
        <w:rPr>
          <w:spacing w:val="1"/>
          <w:sz w:val="20"/>
        </w:rPr>
        <w:t xml:space="preserve"> </w:t>
      </w:r>
      <w:r>
        <w:rPr>
          <w:sz w:val="20"/>
        </w:rPr>
        <w:t>kogenerační</w:t>
      </w:r>
      <w:r>
        <w:rPr>
          <w:spacing w:val="1"/>
          <w:sz w:val="20"/>
        </w:rPr>
        <w:t xml:space="preserve"> </w:t>
      </w:r>
      <w:r>
        <w:rPr>
          <w:sz w:val="20"/>
        </w:rPr>
        <w:t>protitlakou</w:t>
      </w:r>
      <w:r>
        <w:rPr>
          <w:spacing w:val="1"/>
          <w:sz w:val="20"/>
        </w:rPr>
        <w:t xml:space="preserve"> </w:t>
      </w:r>
      <w:r>
        <w:rPr>
          <w:sz w:val="20"/>
        </w:rPr>
        <w:t>jednotkou</w:t>
      </w:r>
      <w:r>
        <w:rPr>
          <w:spacing w:val="1"/>
          <w:sz w:val="20"/>
        </w:rPr>
        <w:t xml:space="preserve"> </w:t>
      </w:r>
      <w:r>
        <w:rPr>
          <w:sz w:val="20"/>
        </w:rPr>
        <w:t>(999</w:t>
      </w:r>
      <w:r>
        <w:rPr>
          <w:spacing w:val="1"/>
          <w:sz w:val="20"/>
        </w:rPr>
        <w:t xml:space="preserve"> </w:t>
      </w:r>
      <w:r>
        <w:rPr>
          <w:sz w:val="20"/>
        </w:rPr>
        <w:t>kWe,</w:t>
      </w:r>
      <w:r>
        <w:rPr>
          <w:spacing w:val="1"/>
          <w:sz w:val="20"/>
        </w:rPr>
        <w:t xml:space="preserve"> </w:t>
      </w:r>
      <w:r>
        <w:rPr>
          <w:sz w:val="20"/>
        </w:rPr>
        <w:t>zemní</w:t>
      </w:r>
      <w:r>
        <w:rPr>
          <w:spacing w:val="1"/>
          <w:sz w:val="20"/>
        </w:rPr>
        <w:t xml:space="preserve"> </w:t>
      </w:r>
      <w:r>
        <w:rPr>
          <w:sz w:val="20"/>
        </w:rPr>
        <w:t>plyn).</w:t>
      </w:r>
      <w:r>
        <w:rPr>
          <w:spacing w:val="1"/>
          <w:sz w:val="20"/>
        </w:rPr>
        <w:t xml:space="preserve"> </w:t>
      </w:r>
      <w:r>
        <w:rPr>
          <w:sz w:val="20"/>
        </w:rPr>
        <w:t>Další</w:t>
      </w:r>
      <w:r>
        <w:rPr>
          <w:spacing w:val="-52"/>
          <w:sz w:val="20"/>
        </w:rPr>
        <w:t xml:space="preserve"> </w:t>
      </w:r>
      <w:r>
        <w:rPr>
          <w:sz w:val="20"/>
        </w:rPr>
        <w:t>plánovanou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navazující</w:t>
      </w:r>
      <w:r>
        <w:rPr>
          <w:spacing w:val="5"/>
          <w:sz w:val="20"/>
        </w:rPr>
        <w:t xml:space="preserve"> </w:t>
      </w:r>
      <w:r>
        <w:rPr>
          <w:sz w:val="20"/>
        </w:rPr>
        <w:t>investicí</w:t>
      </w:r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7"/>
          <w:sz w:val="20"/>
        </w:rPr>
        <w:t xml:space="preserve"> </w:t>
      </w:r>
      <w:r>
        <w:rPr>
          <w:sz w:val="20"/>
        </w:rPr>
        <w:t>dalšího</w:t>
      </w:r>
      <w:r>
        <w:rPr>
          <w:spacing w:val="7"/>
          <w:sz w:val="20"/>
        </w:rPr>
        <w:t xml:space="preserve"> </w:t>
      </w:r>
      <w:r>
        <w:rPr>
          <w:sz w:val="20"/>
        </w:rPr>
        <w:t>zdroje</w:t>
      </w:r>
      <w:r>
        <w:rPr>
          <w:spacing w:val="6"/>
          <w:sz w:val="20"/>
        </w:rPr>
        <w:t xml:space="preserve"> </w:t>
      </w:r>
      <w:r>
        <w:rPr>
          <w:sz w:val="20"/>
        </w:rPr>
        <w:t>energie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plánovanou</w:t>
      </w:r>
      <w:r>
        <w:rPr>
          <w:spacing w:val="5"/>
          <w:sz w:val="20"/>
        </w:rPr>
        <w:t xml:space="preserve"> </w:t>
      </w:r>
      <w:r>
        <w:rPr>
          <w:sz w:val="20"/>
        </w:rPr>
        <w:t>roční</w:t>
      </w:r>
      <w:r>
        <w:rPr>
          <w:spacing w:val="5"/>
          <w:sz w:val="20"/>
        </w:rPr>
        <w:t xml:space="preserve"> </w:t>
      </w:r>
      <w:r>
        <w:rPr>
          <w:sz w:val="20"/>
        </w:rPr>
        <w:t>výrobou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Zkladntext"/>
        <w:spacing w:before="99"/>
        <w:ind w:left="885" w:right="131"/>
        <w:jc w:val="both"/>
      </w:pPr>
      <w:r>
        <w:t>tepla cca 81 792 GJ/rok. Záměrem je trvalé odstavení uhelných kotlů teplárny Mařatice a jejich</w:t>
      </w:r>
      <w:r>
        <w:rPr>
          <w:spacing w:val="1"/>
        </w:rPr>
        <w:t xml:space="preserve"> </w:t>
      </w:r>
      <w:r>
        <w:t>náhrada dalším zdrojem energie, který bude dodávat teplo do stávající sítě CZT města Uherské</w:t>
      </w:r>
      <w:r>
        <w:rPr>
          <w:spacing w:val="1"/>
        </w:rPr>
        <w:t xml:space="preserve"> </w:t>
      </w:r>
      <w:r>
        <w:t>Hradiště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</w:t>
      </w:r>
      <w:r>
        <w:rPr>
          <w:sz w:val="20"/>
        </w:rPr>
        <w:t>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774DFC" w:rsidRDefault="00774DFC">
      <w:pPr>
        <w:pStyle w:val="Zkladntext"/>
        <w:rPr>
          <w:sz w:val="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2223"/>
      </w:tblGrid>
      <w:tr w:rsidR="00774DFC">
        <w:trPr>
          <w:trHeight w:val="266"/>
        </w:trPr>
        <w:tc>
          <w:tcPr>
            <w:tcW w:w="5514" w:type="dxa"/>
          </w:tcPr>
          <w:p w:rsidR="00774DFC" w:rsidRDefault="00911FE4">
            <w:pPr>
              <w:pStyle w:val="TableParagraph"/>
              <w:spacing w:before="0" w:line="246" w:lineRule="exact"/>
              <w:ind w:left="2301" w:right="2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2223" w:type="dxa"/>
          </w:tcPr>
          <w:p w:rsidR="00774DFC" w:rsidRDefault="00911FE4">
            <w:pPr>
              <w:pStyle w:val="TableParagraph"/>
              <w:spacing w:before="0" w:line="246" w:lineRule="exact"/>
              <w:ind w:left="0" w:right="6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774DFC">
        <w:trPr>
          <w:trHeight w:val="266"/>
        </w:trPr>
        <w:tc>
          <w:tcPr>
            <w:tcW w:w="5514" w:type="dxa"/>
          </w:tcPr>
          <w:p w:rsidR="00774DFC" w:rsidRDefault="00911FE4">
            <w:pPr>
              <w:pStyle w:val="TableParagraph"/>
              <w:spacing w:before="0"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(GJ/rok)</w:t>
            </w:r>
          </w:p>
        </w:tc>
        <w:tc>
          <w:tcPr>
            <w:tcW w:w="2223" w:type="dxa"/>
          </w:tcPr>
          <w:p w:rsidR="00774DFC" w:rsidRDefault="00911FE4">
            <w:pPr>
              <w:pStyle w:val="TableParagraph"/>
              <w:spacing w:before="0" w:line="246" w:lineRule="exact"/>
              <w:ind w:left="0" w:right="67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514,00</w:t>
            </w:r>
          </w:p>
        </w:tc>
      </w:tr>
      <w:tr w:rsidR="00774DFC">
        <w:trPr>
          <w:trHeight w:val="266"/>
        </w:trPr>
        <w:tc>
          <w:tcPr>
            <w:tcW w:w="5514" w:type="dxa"/>
          </w:tcPr>
          <w:p w:rsidR="00774DFC" w:rsidRDefault="00911FE4">
            <w:pPr>
              <w:pStyle w:val="TableParagraph"/>
              <w:spacing w:before="0" w:line="246" w:lineRule="exact"/>
              <w:ind w:left="107"/>
              <w:rPr>
                <w:sz w:val="20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[t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/rok]</w:t>
            </w:r>
          </w:p>
        </w:tc>
        <w:tc>
          <w:tcPr>
            <w:tcW w:w="2223" w:type="dxa"/>
          </w:tcPr>
          <w:p w:rsidR="00774DFC" w:rsidRDefault="00911FE4">
            <w:pPr>
              <w:pStyle w:val="TableParagraph"/>
              <w:spacing w:before="0" w:line="246" w:lineRule="exact"/>
              <w:ind w:left="0" w:right="67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526,00</w:t>
            </w:r>
          </w:p>
        </w:tc>
      </w:tr>
    </w:tbl>
    <w:p w:rsidR="00774DFC" w:rsidRDefault="00774DFC">
      <w:pPr>
        <w:pStyle w:val="Zkladntext"/>
        <w:spacing w:before="13"/>
        <w:rPr>
          <w:sz w:val="34"/>
        </w:rPr>
      </w:pP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ind w:right="139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1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60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11"/>
          <w:sz w:val="20"/>
        </w:rPr>
        <w:t xml:space="preserve"> </w:t>
      </w:r>
      <w:r>
        <w:rPr>
          <w:sz w:val="20"/>
        </w:rPr>
        <w:t>řádu</w:t>
      </w:r>
      <w:r>
        <w:rPr>
          <w:spacing w:val="11"/>
          <w:sz w:val="20"/>
        </w:rPr>
        <w:t xml:space="preserve"> </w:t>
      </w:r>
      <w:r>
        <w:rPr>
          <w:sz w:val="20"/>
        </w:rPr>
        <w:t>(stavební</w:t>
      </w:r>
      <w:r>
        <w:rPr>
          <w:spacing w:val="13"/>
          <w:sz w:val="20"/>
        </w:rPr>
        <w:t xml:space="preserve"> </w:t>
      </w:r>
      <w:r>
        <w:rPr>
          <w:sz w:val="20"/>
        </w:rPr>
        <w:t>zákon),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2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1"/>
          <w:sz w:val="20"/>
        </w:rPr>
        <w:t xml:space="preserve"> </w:t>
      </w:r>
      <w:r>
        <w:rPr>
          <w:sz w:val="20"/>
        </w:rPr>
        <w:t>protokolu</w:t>
      </w:r>
    </w:p>
    <w:p w:rsidR="00774DFC" w:rsidRDefault="00911FE4">
      <w:pPr>
        <w:pStyle w:val="Zkladntext"/>
        <w:spacing w:before="4" w:line="237" w:lineRule="auto"/>
        <w:ind w:left="885" w:right="135"/>
        <w:jc w:val="both"/>
      </w:pP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předání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převzetí</w:t>
      </w:r>
      <w:r>
        <w:rPr>
          <w:spacing w:val="-13"/>
        </w:rPr>
        <w:t xml:space="preserve"> </w:t>
      </w:r>
      <w:r>
        <w:rPr>
          <w:spacing w:val="-1"/>
        </w:rPr>
        <w:t>díla,</w:t>
      </w:r>
      <w:r>
        <w:rPr>
          <w:spacing w:val="-12"/>
        </w:rPr>
        <w:t xml:space="preserve"> </w:t>
      </w:r>
      <w:r>
        <w:rPr>
          <w:spacing w:val="-1"/>
        </w:rPr>
        <w:t>případně</w:t>
      </w:r>
      <w:r>
        <w:rPr>
          <w:spacing w:val="-13"/>
        </w:rPr>
        <w:t xml:space="preserve"> </w:t>
      </w:r>
      <w:r>
        <w:rPr>
          <w:spacing w:val="-1"/>
        </w:rPr>
        <w:t>jiný</w:t>
      </w:r>
      <w:r>
        <w:rPr>
          <w:spacing w:val="-13"/>
        </w:rPr>
        <w:t xml:space="preserve"> </w:t>
      </w:r>
      <w:r>
        <w:rPr>
          <w:spacing w:val="-1"/>
        </w:rPr>
        <w:t>termín</w:t>
      </w:r>
      <w:r>
        <w:rPr>
          <w:spacing w:val="-12"/>
        </w:rPr>
        <w:t xml:space="preserve"> </w:t>
      </w:r>
      <w:r>
        <w:rPr>
          <w:spacing w:val="-1"/>
        </w:rPr>
        <w:t>dle</w:t>
      </w:r>
      <w:r>
        <w:rPr>
          <w:spacing w:val="-13"/>
        </w:rPr>
        <w:t xml:space="preserve"> </w:t>
      </w:r>
      <w:r>
        <w:rPr>
          <w:spacing w:val="-1"/>
        </w:rPr>
        <w:t>charakteru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(v</w:t>
      </w:r>
      <w:r>
        <w:rPr>
          <w:spacing w:val="-12"/>
        </w:rPr>
        <w:t xml:space="preserve"> </w:t>
      </w:r>
      <w:r>
        <w:t>případech,</w:t>
      </w:r>
      <w:r>
        <w:rPr>
          <w:spacing w:val="-12"/>
        </w:rPr>
        <w:t xml:space="preserve"> </w:t>
      </w:r>
      <w:r>
        <w:t>kde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realizaci</w:t>
      </w:r>
      <w:r>
        <w:rPr>
          <w:spacing w:val="-52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nevyžaduje</w:t>
      </w:r>
      <w:r>
        <w:rPr>
          <w:spacing w:val="9"/>
        </w:rPr>
        <w:t xml:space="preserve"> </w:t>
      </w:r>
      <w:r>
        <w:t>stavební</w:t>
      </w:r>
      <w:r>
        <w:rPr>
          <w:spacing w:val="10"/>
        </w:rPr>
        <w:t xml:space="preserve"> </w:t>
      </w:r>
      <w:r>
        <w:t>povolení).</w:t>
      </w:r>
      <w:r>
        <w:rPr>
          <w:spacing w:val="12"/>
        </w:rPr>
        <w:t xml:space="preserve"> </w:t>
      </w:r>
      <w:r>
        <w:t>Bude-li</w:t>
      </w:r>
      <w:r>
        <w:rPr>
          <w:spacing w:val="10"/>
        </w:rPr>
        <w:t xml:space="preserve"> </w:t>
      </w:r>
      <w:r>
        <w:t>vydán</w:t>
      </w:r>
      <w:r>
        <w:rPr>
          <w:spacing w:val="10"/>
        </w:rPr>
        <w:t xml:space="preserve"> </w:t>
      </w:r>
      <w:r>
        <w:t>jak</w:t>
      </w:r>
      <w:r>
        <w:rPr>
          <w:spacing w:val="9"/>
        </w:rPr>
        <w:t xml:space="preserve"> </w:t>
      </w:r>
      <w:r>
        <w:t>Kolaudační</w:t>
      </w:r>
      <w:r>
        <w:rPr>
          <w:spacing w:val="12"/>
        </w:rPr>
        <w:t xml:space="preserve"> </w:t>
      </w:r>
      <w:r>
        <w:t>souhlas,</w:t>
      </w:r>
      <w:r>
        <w:rPr>
          <w:spacing w:val="10"/>
        </w:rPr>
        <w:t xml:space="preserve"> </w:t>
      </w:r>
      <w:r>
        <w:t>tak</w:t>
      </w:r>
      <w:r>
        <w:rPr>
          <w:spacing w:val="9"/>
        </w:rPr>
        <w:t xml:space="preserve"> </w:t>
      </w:r>
      <w:r>
        <w:t>oznámení</w:t>
      </w:r>
    </w:p>
    <w:p w:rsidR="00774DFC" w:rsidRDefault="00911FE4">
      <w:pPr>
        <w:pStyle w:val="Zkladntext"/>
        <w:spacing w:before="1"/>
        <w:ind w:left="885"/>
        <w:jc w:val="both"/>
      </w:pPr>
      <w:r>
        <w:t>o</w:t>
      </w:r>
      <w:r>
        <w:rPr>
          <w:spacing w:val="-1"/>
        </w:rPr>
        <w:t xml:space="preserve"> </w:t>
      </w:r>
      <w:r>
        <w:t>užívání,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vydaného</w:t>
      </w:r>
      <w:r>
        <w:rPr>
          <w:spacing w:val="-1"/>
        </w:rPr>
        <w:t xml:space="preserve"> </w:t>
      </w:r>
      <w:r>
        <w:t>později,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13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5"/>
          <w:sz w:val="20"/>
        </w:rPr>
        <w:t xml:space="preserve"> </w:t>
      </w:r>
      <w:r>
        <w:rPr>
          <w:sz w:val="20"/>
        </w:rPr>
        <w:t>měsíců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(dle</w:t>
      </w:r>
      <w:r>
        <w:rPr>
          <w:spacing w:val="13"/>
          <w:sz w:val="20"/>
        </w:rPr>
        <w:t xml:space="preserve"> </w:t>
      </w:r>
      <w:r>
        <w:rPr>
          <w:sz w:val="20"/>
        </w:rPr>
        <w:t>písmene</w:t>
      </w:r>
      <w:r>
        <w:rPr>
          <w:spacing w:val="13"/>
          <w:sz w:val="20"/>
        </w:rPr>
        <w:t xml:space="preserve"> </w:t>
      </w:r>
      <w:r>
        <w:rPr>
          <w:sz w:val="20"/>
        </w:rPr>
        <w:t>e)</w:t>
      </w:r>
      <w:r>
        <w:rPr>
          <w:spacing w:val="15"/>
          <w:sz w:val="20"/>
        </w:rPr>
        <w:t xml:space="preserve"> </w:t>
      </w:r>
      <w:r>
        <w:rPr>
          <w:sz w:val="20"/>
        </w:rPr>
        <w:t>podklady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14.4 Výzvy,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132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6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stavba). Příjemce podpory je povinen zabezpečit,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0"/>
          <w:sz w:val="20"/>
        </w:rPr>
        <w:t xml:space="preserve"> </w:t>
      </w:r>
      <w:r>
        <w:rPr>
          <w:sz w:val="20"/>
        </w:rPr>
        <w:t>nebude</w:t>
      </w:r>
      <w:r>
        <w:rPr>
          <w:spacing w:val="29"/>
          <w:sz w:val="20"/>
        </w:rPr>
        <w:t xml:space="preserve"> </w:t>
      </w:r>
      <w:r>
        <w:rPr>
          <w:sz w:val="20"/>
        </w:rPr>
        <w:t>převeden</w:t>
      </w:r>
      <w:r>
        <w:rPr>
          <w:spacing w:val="33"/>
          <w:sz w:val="20"/>
        </w:rPr>
        <w:t xml:space="preserve"> </w:t>
      </w:r>
      <w:r>
        <w:rPr>
          <w:sz w:val="20"/>
        </w:rPr>
        <w:t>bez</w:t>
      </w:r>
      <w:r>
        <w:rPr>
          <w:spacing w:val="30"/>
          <w:sz w:val="20"/>
        </w:rPr>
        <w:t xml:space="preserve"> </w:t>
      </w:r>
      <w:r>
        <w:rPr>
          <w:sz w:val="20"/>
        </w:rPr>
        <w:t>souhlasu</w:t>
      </w:r>
      <w:r>
        <w:rPr>
          <w:spacing w:val="30"/>
          <w:sz w:val="20"/>
        </w:rPr>
        <w:t xml:space="preserve"> </w:t>
      </w: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jinou</w:t>
      </w:r>
      <w:r>
        <w:rPr>
          <w:spacing w:val="30"/>
          <w:sz w:val="20"/>
        </w:rPr>
        <w:t xml:space="preserve"> </w:t>
      </w:r>
      <w:r>
        <w:rPr>
          <w:sz w:val="20"/>
        </w:rPr>
        <w:t>osobu</w:t>
      </w:r>
      <w:r>
        <w:rPr>
          <w:spacing w:val="31"/>
          <w:sz w:val="20"/>
        </w:rPr>
        <w:t xml:space="preserve"> </w:t>
      </w:r>
      <w:r>
        <w:rPr>
          <w:sz w:val="20"/>
        </w:rPr>
        <w:t>nejméně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pacing w:val="31"/>
          <w:sz w:val="20"/>
        </w:rPr>
        <w:t xml:space="preserve"> </w:t>
      </w:r>
      <w:r>
        <w:rPr>
          <w:sz w:val="20"/>
        </w:rPr>
        <w:t>dobu</w:t>
      </w:r>
      <w:r>
        <w:rPr>
          <w:spacing w:val="31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případě, že Fond převod předmětu podpory odsouhlasí, příjemce podpory zabezpečí, že účel,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 je poskytnuta podpora podle této Smlouvy, bude řádně plněn po stanovenou dobu. Po 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</w:t>
      </w:r>
      <w:r>
        <w:rPr>
          <w:sz w:val="20"/>
        </w:rPr>
        <w:t>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2"/>
        <w:ind w:right="131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</w:t>
      </w:r>
      <w:r>
        <w:rPr>
          <w:sz w:val="20"/>
        </w:rPr>
        <w:t>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stavby k trvalému provozu (čl. 11 písm. d) Výzvy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48"/>
          <w:sz w:val="20"/>
        </w:rPr>
        <w:t xml:space="preserve"> </w:t>
      </w:r>
      <w:r>
        <w:rPr>
          <w:sz w:val="20"/>
        </w:rPr>
        <w:t>souhlasu,</w:t>
      </w:r>
      <w:r>
        <w:rPr>
          <w:spacing w:val="45"/>
          <w:sz w:val="20"/>
        </w:rPr>
        <w:t xml:space="preserve"> </w:t>
      </w:r>
      <w:r>
        <w:rPr>
          <w:sz w:val="20"/>
        </w:rPr>
        <w:t>doložení</w:t>
      </w:r>
      <w:r>
        <w:rPr>
          <w:spacing w:val="45"/>
          <w:sz w:val="20"/>
        </w:rPr>
        <w:t xml:space="preserve"> </w:t>
      </w:r>
      <w:r>
        <w:rPr>
          <w:sz w:val="20"/>
        </w:rPr>
        <w:t>oslovení</w:t>
      </w:r>
      <w:r>
        <w:rPr>
          <w:spacing w:val="4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47"/>
          <w:sz w:val="20"/>
        </w:rPr>
        <w:t xml:space="preserve"> </w:t>
      </w:r>
      <w:r>
        <w:rPr>
          <w:sz w:val="20"/>
        </w:rPr>
        <w:t>úřadu</w:t>
      </w:r>
      <w:r>
        <w:rPr>
          <w:spacing w:val="45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souhlasu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užíván</w:t>
      </w:r>
      <w:r>
        <w:rPr>
          <w:sz w:val="20"/>
        </w:rPr>
        <w:t>ím</w:t>
      </w:r>
      <w:r>
        <w:rPr>
          <w:spacing w:val="46"/>
          <w:sz w:val="20"/>
        </w:rPr>
        <w:t xml:space="preserve"> </w:t>
      </w:r>
      <w:r>
        <w:rPr>
          <w:sz w:val="20"/>
        </w:rPr>
        <w:t>stavby).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   zvláštní    skutečnosti    spočívající    v mimořádné,    nepředvídatelné,    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2"/>
          <w:sz w:val="20"/>
        </w:rPr>
        <w:t xml:space="preserve"> </w:t>
      </w:r>
      <w:r>
        <w:rPr>
          <w:sz w:val="20"/>
        </w:rPr>
        <w:t>události</w:t>
      </w:r>
      <w:r>
        <w:rPr>
          <w:spacing w:val="46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3"/>
          <w:sz w:val="20"/>
        </w:rPr>
        <w:t xml:space="preserve"> </w:t>
      </w:r>
      <w:r>
        <w:rPr>
          <w:sz w:val="20"/>
        </w:rPr>
        <w:t>žádost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posoudit</w:t>
      </w:r>
      <w:r>
        <w:rPr>
          <w:spacing w:val="42"/>
          <w:sz w:val="20"/>
        </w:rPr>
        <w:t xml:space="preserve"> </w:t>
      </w:r>
      <w:r>
        <w:rPr>
          <w:sz w:val="20"/>
        </w:rPr>
        <w:t>tuto</w:t>
      </w:r>
      <w:r>
        <w:rPr>
          <w:spacing w:val="44"/>
          <w:sz w:val="20"/>
        </w:rPr>
        <w:t xml:space="preserve"> </w:t>
      </w:r>
      <w:r>
        <w:rPr>
          <w:sz w:val="20"/>
        </w:rPr>
        <w:t>situaci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rozhodnout tak o případném stavění uvedené lhůty. Příjemce podpory je v takovém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zajistit,</w:t>
      </w:r>
      <w:r>
        <w:rPr>
          <w:spacing w:val="-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2"/>
          <w:sz w:val="20"/>
        </w:rPr>
        <w:t xml:space="preserve"> </w:t>
      </w:r>
      <w:r>
        <w:rPr>
          <w:sz w:val="20"/>
        </w:rPr>
        <w:t>stavění</w:t>
      </w:r>
      <w:r>
        <w:rPr>
          <w:spacing w:val="-2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 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9"/>
        <w:rPr>
          <w:sz w:val="9"/>
        </w:rPr>
      </w:pP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100" w:line="242" w:lineRule="auto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77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78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86"/>
        </w:tabs>
        <w:spacing w:before="8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74DFC" w:rsidRDefault="00911FE4">
      <w:pPr>
        <w:pStyle w:val="Odstavecseseznamem"/>
        <w:numPr>
          <w:ilvl w:val="0"/>
          <w:numId w:val="5"/>
        </w:numPr>
        <w:tabs>
          <w:tab w:val="left" w:pos="465"/>
        </w:tabs>
        <w:spacing w:before="8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5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</w:t>
      </w:r>
      <w:r>
        <w:rPr>
          <w:sz w:val="20"/>
        </w:rPr>
        <w:t>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13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1"/>
        <w:ind w:left="80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případě takových změn </w:t>
      </w:r>
      <w:r>
        <w:rPr>
          <w:sz w:val="20"/>
        </w:rPr>
        <w:t>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78"/>
        <w:ind w:left="80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0"/>
        <w:ind w:left="80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1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0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8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jím</w:t>
      </w:r>
      <w:r>
        <w:rPr>
          <w:spacing w:val="10"/>
          <w:sz w:val="20"/>
        </w:rPr>
        <w:t xml:space="preserve"> </w:t>
      </w:r>
      <w:r>
        <w:rPr>
          <w:sz w:val="20"/>
        </w:rPr>
        <w:t>podané</w:t>
      </w:r>
      <w:r>
        <w:rPr>
          <w:spacing w:val="10"/>
          <w:sz w:val="20"/>
        </w:rPr>
        <w:t xml:space="preserve"> </w:t>
      </w:r>
      <w:r>
        <w:rPr>
          <w:sz w:val="20"/>
        </w:rPr>
        <w:t>informace)</w:t>
      </w:r>
      <w:r>
        <w:rPr>
          <w:spacing w:val="11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82"/>
        <w:ind w:left="80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12"/>
          <w:sz w:val="20"/>
        </w:rPr>
        <w:t xml:space="preserve"> </w:t>
      </w:r>
      <w:r>
        <w:rPr>
          <w:sz w:val="20"/>
        </w:rPr>
        <w:t>uvedenými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Výzvy,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79"/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2"/>
          <w:sz w:val="20"/>
        </w:rPr>
        <w:t xml:space="preserve"> </w:t>
      </w:r>
      <w:r>
        <w:rPr>
          <w:sz w:val="20"/>
        </w:rPr>
        <w:t>republiky,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9"/>
        <w:rPr>
          <w:sz w:val="9"/>
        </w:rPr>
      </w:pP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809"/>
        </w:tabs>
        <w:spacing w:before="100"/>
        <w:ind w:left="80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651/2014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 xml:space="preserve">prohlašují určité kategorie podpory za slučitelné s vnitřním trhem, pokud se </w:t>
      </w:r>
      <w:r>
        <w:rPr>
          <w:w w:val="95"/>
          <w:sz w:val="20"/>
        </w:rPr>
        <w:t>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774DFC" w:rsidRDefault="00774DFC">
      <w:pPr>
        <w:pStyle w:val="Zkladntext"/>
        <w:spacing w:before="2"/>
      </w:pPr>
    </w:p>
    <w:p w:rsidR="00774DFC" w:rsidRDefault="00911FE4">
      <w:pPr>
        <w:pStyle w:val="Nadpis1"/>
      </w:pPr>
      <w:r>
        <w:t>V.</w:t>
      </w:r>
    </w:p>
    <w:p w:rsidR="00774DFC" w:rsidRDefault="00911FE4">
      <w:pPr>
        <w:pStyle w:val="Nadpis2"/>
        <w:ind w:left="115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74DFC" w:rsidRDefault="00774DFC">
      <w:pPr>
        <w:pStyle w:val="Zkladntext"/>
        <w:spacing w:before="12"/>
        <w:rPr>
          <w:b/>
          <w:sz w:val="19"/>
        </w:rPr>
      </w:pP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3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 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774DFC" w:rsidRDefault="00911FE4">
      <w:pPr>
        <w:pStyle w:val="Odstavecseseznamem"/>
        <w:numPr>
          <w:ilvl w:val="1"/>
          <w:numId w:val="5"/>
        </w:numPr>
        <w:tabs>
          <w:tab w:val="left" w:pos="722"/>
        </w:tabs>
        <w:spacing w:before="2" w:line="237" w:lineRule="auto"/>
        <w:ind w:left="525" w:right="132" w:firstLine="0"/>
        <w:jc w:val="both"/>
        <w:rPr>
          <w:sz w:val="20"/>
        </w:rPr>
      </w:pPr>
      <w:r>
        <w:rPr>
          <w:sz w:val="20"/>
        </w:rPr>
        <w:t>nebo podle článku IV bodu 2 písm. a), b) nebo k)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Naplnění článku IV bodu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 je 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povinnosti spočívající v nesplnění </w:t>
      </w:r>
      <w:r>
        <w:rPr>
          <w:sz w:val="20"/>
        </w:rPr>
        <w:t>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774DFC" w:rsidRDefault="00911FE4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74DFC" w:rsidRDefault="00911FE4">
      <w:pPr>
        <w:pStyle w:val="Odstavecseseznamem"/>
        <w:numPr>
          <w:ilvl w:val="1"/>
          <w:numId w:val="4"/>
        </w:numPr>
        <w:tabs>
          <w:tab w:val="left" w:pos="955"/>
          <w:tab w:val="left" w:pos="4562"/>
        </w:tabs>
        <w:spacing w:line="265" w:lineRule="exact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74DFC" w:rsidRDefault="00911FE4">
      <w:pPr>
        <w:pStyle w:val="Odstavecseseznamem"/>
        <w:numPr>
          <w:ilvl w:val="1"/>
          <w:numId w:val="4"/>
        </w:numPr>
        <w:tabs>
          <w:tab w:val="left" w:pos="954"/>
          <w:tab w:val="left" w:pos="955"/>
          <w:tab w:val="left" w:pos="4562"/>
        </w:tabs>
        <w:spacing w:line="265" w:lineRule="exact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74DFC" w:rsidRDefault="00911FE4">
      <w:pPr>
        <w:pStyle w:val="Odstavecseseznamem"/>
        <w:numPr>
          <w:ilvl w:val="1"/>
          <w:numId w:val="4"/>
        </w:numPr>
        <w:tabs>
          <w:tab w:val="left" w:pos="955"/>
          <w:tab w:val="left" w:pos="4562"/>
        </w:tabs>
        <w:spacing w:before="1"/>
        <w:ind w:left="954" w:hanging="356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74DFC" w:rsidRDefault="00911FE4">
      <w:pPr>
        <w:pStyle w:val="Zkladntext"/>
        <w:spacing w:before="120"/>
        <w:ind w:left="52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52"/>
          <w:sz w:val="20"/>
        </w:rPr>
        <w:t xml:space="preserve"> </w:t>
      </w:r>
      <w:r>
        <w:rPr>
          <w:sz w:val="20"/>
        </w:rPr>
        <w:t>dní bez postihu, od 61 do 120 kalendářních dní odvod 0,5 % z poskytnuté podpory, od 121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dní</w:t>
      </w:r>
      <w:r>
        <w:rPr>
          <w:spacing w:val="50"/>
          <w:sz w:val="20"/>
        </w:rPr>
        <w:t xml:space="preserve"> </w:t>
      </w:r>
      <w:r>
        <w:rPr>
          <w:sz w:val="20"/>
        </w:rPr>
        <w:t>odvod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0"/>
          <w:sz w:val="20"/>
        </w:rPr>
        <w:t xml:space="preserve"> </w:t>
      </w:r>
      <w:r>
        <w:rPr>
          <w:sz w:val="20"/>
        </w:rPr>
        <w:t>podpory,</w:t>
      </w:r>
      <w:r>
        <w:rPr>
          <w:spacing w:val="53"/>
          <w:sz w:val="20"/>
        </w:rPr>
        <w:t xml:space="preserve"> </w:t>
      </w:r>
      <w:r>
        <w:rPr>
          <w:sz w:val="20"/>
        </w:rPr>
        <w:t>prodlení</w:t>
      </w:r>
      <w:r>
        <w:rPr>
          <w:spacing w:val="52"/>
          <w:sz w:val="20"/>
        </w:rPr>
        <w:t xml:space="preserve"> </w:t>
      </w:r>
      <w:r>
        <w:rPr>
          <w:sz w:val="20"/>
        </w:rPr>
        <w:t>delší</w:t>
      </w:r>
      <w:r>
        <w:rPr>
          <w:spacing w:val="50"/>
          <w:sz w:val="20"/>
        </w:rPr>
        <w:t xml:space="preserve"> </w:t>
      </w:r>
      <w:r>
        <w:rPr>
          <w:sz w:val="20"/>
        </w:rPr>
        <w:t>než</w:t>
      </w:r>
      <w:r>
        <w:rPr>
          <w:spacing w:val="52"/>
          <w:sz w:val="20"/>
        </w:rPr>
        <w:t xml:space="preserve"> </w:t>
      </w:r>
      <w:r>
        <w:rPr>
          <w:sz w:val="20"/>
        </w:rPr>
        <w:t>180</w:t>
      </w:r>
      <w:r>
        <w:rPr>
          <w:spacing w:val="5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0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29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74DFC" w:rsidRDefault="00911FE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Nadpis1"/>
        <w:spacing w:before="99"/>
        <w:ind w:left="3279"/>
      </w:pPr>
      <w:r>
        <w:t>VI.</w:t>
      </w:r>
    </w:p>
    <w:p w:rsidR="00774DFC" w:rsidRDefault="00911FE4">
      <w:pPr>
        <w:pStyle w:val="Nadpis2"/>
        <w:ind w:left="3276" w:right="317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74DFC" w:rsidRDefault="00774DFC">
      <w:pPr>
        <w:pStyle w:val="Zkladntext"/>
        <w:spacing w:before="12"/>
        <w:rPr>
          <w:b/>
          <w:sz w:val="19"/>
        </w:rPr>
      </w:pP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V.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týkat.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5" w:line="237" w:lineRule="auto"/>
        <w:ind w:right="13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74DFC" w:rsidRDefault="00911FE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74DFC" w:rsidRDefault="00774DFC">
      <w:pPr>
        <w:pStyle w:val="Zkladntext"/>
        <w:rPr>
          <w:sz w:val="26"/>
        </w:rPr>
      </w:pPr>
    </w:p>
    <w:p w:rsidR="00774DFC" w:rsidRDefault="00911FE4">
      <w:pPr>
        <w:pStyle w:val="Zkladntext"/>
        <w:spacing w:before="186"/>
        <w:ind w:left="242"/>
      </w:pPr>
      <w:r>
        <w:t>V:</w:t>
      </w:r>
    </w:p>
    <w:p w:rsidR="00774DFC" w:rsidRDefault="00774DFC">
      <w:pPr>
        <w:pStyle w:val="Zkladntext"/>
      </w:pPr>
    </w:p>
    <w:p w:rsidR="00774DFC" w:rsidRDefault="00911FE4">
      <w:pPr>
        <w:pStyle w:val="Zkladntext"/>
        <w:tabs>
          <w:tab w:val="left" w:pos="6722"/>
        </w:tabs>
        <w:ind w:left="24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74DFC" w:rsidRDefault="00774DFC">
      <w:pPr>
        <w:pStyle w:val="Zkladntext"/>
        <w:rPr>
          <w:sz w:val="26"/>
        </w:rPr>
      </w:pPr>
    </w:p>
    <w:p w:rsidR="00774DFC" w:rsidRDefault="00774DFC">
      <w:pPr>
        <w:pStyle w:val="Zkladntext"/>
        <w:rPr>
          <w:sz w:val="34"/>
        </w:rPr>
      </w:pPr>
    </w:p>
    <w:p w:rsidR="00774DFC" w:rsidRDefault="00911FE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74DFC" w:rsidRDefault="00911FE4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74DFC" w:rsidRDefault="00774DFC">
      <w:pPr>
        <w:pStyle w:val="Zkladntext"/>
        <w:rPr>
          <w:sz w:val="26"/>
        </w:rPr>
      </w:pPr>
    </w:p>
    <w:p w:rsidR="00774DFC" w:rsidRDefault="00774DFC">
      <w:pPr>
        <w:pStyle w:val="Zkladntext"/>
        <w:spacing w:before="12"/>
        <w:rPr>
          <w:sz w:val="31"/>
        </w:rPr>
      </w:pPr>
    </w:p>
    <w:p w:rsidR="00774DFC" w:rsidRDefault="00911FE4">
      <w:pPr>
        <w:pStyle w:val="Zkladntext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74DFC" w:rsidRDefault="00774DFC">
      <w:p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Zkladntext"/>
        <w:spacing w:before="99"/>
        <w:ind w:left="24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74DFC" w:rsidRDefault="00774DFC">
      <w:pPr>
        <w:pStyle w:val="Zkladntext"/>
        <w:spacing w:before="1"/>
        <w:rPr>
          <w:sz w:val="27"/>
        </w:rPr>
      </w:pPr>
    </w:p>
    <w:p w:rsidR="00774DFC" w:rsidRDefault="00911FE4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9"/>
          <w:tab w:val="left" w:pos="4980"/>
          <w:tab w:val="left" w:pos="6088"/>
          <w:tab w:val="left" w:pos="7126"/>
          <w:tab w:val="left" w:pos="8339"/>
          <w:tab w:val="left" w:pos="8813"/>
        </w:tabs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774DFC" w:rsidRDefault="00774DFC">
      <w:pPr>
        <w:pStyle w:val="Zkladntext"/>
        <w:spacing w:before="13"/>
        <w:rPr>
          <w:b/>
          <w:sz w:val="26"/>
        </w:rPr>
      </w:pPr>
    </w:p>
    <w:p w:rsidR="00774DFC" w:rsidRDefault="00911FE4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i)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</w:t>
      </w:r>
      <w:r>
        <w:rPr>
          <w:sz w:val="20"/>
        </w:rPr>
        <w:t>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1"/>
          <w:sz w:val="20"/>
        </w:rPr>
        <w:t xml:space="preserve"> </w:t>
      </w:r>
      <w:r>
        <w:rPr>
          <w:sz w:val="20"/>
        </w:rPr>
        <w:t>Fondu,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774DFC" w:rsidRDefault="00774DFC">
      <w:pPr>
        <w:pStyle w:val="Zkladntext"/>
        <w:spacing w:before="4"/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spacing w:line="237" w:lineRule="auto"/>
        <w:ind w:right="13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nemohlo</w:t>
      </w:r>
      <w:r>
        <w:rPr>
          <w:spacing w:val="54"/>
          <w:sz w:val="20"/>
        </w:rPr>
        <w:t xml:space="preserve"> </w:t>
      </w:r>
      <w:r>
        <w:rPr>
          <w:sz w:val="20"/>
        </w:rPr>
        <w:t>mít</w:t>
      </w:r>
      <w:r>
        <w:rPr>
          <w:spacing w:val="55"/>
          <w:sz w:val="20"/>
        </w:rPr>
        <w:t xml:space="preserve"> </w:t>
      </w:r>
      <w:r>
        <w:rPr>
          <w:sz w:val="20"/>
        </w:rPr>
        <w:t>ani</w:t>
      </w:r>
      <w:r>
        <w:rPr>
          <w:spacing w:val="5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dopad,</w:t>
      </w:r>
      <w:r>
        <w:rPr>
          <w:spacing w:val="54"/>
          <w:sz w:val="20"/>
        </w:rPr>
        <w:t xml:space="preserve"> </w:t>
      </w:r>
      <w:r>
        <w:rPr>
          <w:sz w:val="20"/>
        </w:rPr>
        <w:t>nestanoví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774DFC" w:rsidRDefault="00774DFC">
      <w:pPr>
        <w:pStyle w:val="Zkladntext"/>
        <w:spacing w:before="2"/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74DFC" w:rsidRDefault="00774DFC">
      <w:pPr>
        <w:pStyle w:val="Zkladntext"/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spacing w:before="1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74DFC" w:rsidRDefault="00774DFC">
      <w:pPr>
        <w:pStyle w:val="Zkladntext"/>
        <w:spacing w:before="12"/>
        <w:rPr>
          <w:sz w:val="19"/>
        </w:rPr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6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774DFC" w:rsidRDefault="00774DFC">
      <w:pPr>
        <w:pStyle w:val="Zkladntext"/>
        <w:spacing w:before="1"/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3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74DFC" w:rsidRDefault="00774DFC">
      <w:pPr>
        <w:pStyle w:val="Zkladntext"/>
      </w:pPr>
    </w:p>
    <w:p w:rsidR="00774DFC" w:rsidRDefault="00911FE4">
      <w:pPr>
        <w:pStyle w:val="Odstavecseseznamem"/>
        <w:numPr>
          <w:ilvl w:val="1"/>
          <w:numId w:val="2"/>
        </w:numPr>
        <w:tabs>
          <w:tab w:val="left" w:pos="809"/>
        </w:tabs>
        <w:spacing w:before="1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774DFC" w:rsidRDefault="00774DFC">
      <w:pPr>
        <w:jc w:val="both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12"/>
        <w:rPr>
          <w:sz w:val="9"/>
        </w:rPr>
      </w:pPr>
    </w:p>
    <w:p w:rsidR="00774DFC" w:rsidRDefault="00911FE4">
      <w:pPr>
        <w:pStyle w:val="Nadpis1"/>
        <w:numPr>
          <w:ilvl w:val="0"/>
          <w:numId w:val="2"/>
        </w:numPr>
        <w:tabs>
          <w:tab w:val="left" w:pos="52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74DFC" w:rsidRDefault="00774DFC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74DFC" w:rsidRDefault="00911FE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74DFC" w:rsidRDefault="00911F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74DFC" w:rsidRDefault="00911FE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4DFC" w:rsidRDefault="00911FE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4DFC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74DFC" w:rsidRDefault="00911FE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74DFC" w:rsidRDefault="00911FE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74DF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74DFC" w:rsidRDefault="00911FE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74DFC" w:rsidRDefault="00911FE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74DFC" w:rsidRDefault="00911FE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74DFC" w:rsidRDefault="00911FE4">
            <w:pPr>
              <w:pStyle w:val="TableParagraph"/>
              <w:spacing w:before="3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74DFC" w:rsidRDefault="00911FE4"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74DF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74DFC" w:rsidRDefault="00911FE4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74DFC" w:rsidRDefault="00911FE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74DF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74DFC" w:rsidRDefault="00911FE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74DFC" w:rsidRDefault="00911FE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74DFC" w:rsidRDefault="00911FE4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74DF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74DFC" w:rsidRDefault="00911FE4">
            <w:pPr>
              <w:pStyle w:val="TableParagraph"/>
              <w:spacing w:before="1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74DFC" w:rsidRDefault="00911FE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74DFC" w:rsidRDefault="00911FE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74DFC" w:rsidRDefault="00911FE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74DF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74DFC" w:rsidRDefault="00911FE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74DFC" w:rsidRDefault="00911FE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74DF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74DF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74DFC" w:rsidRDefault="00911FE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74DFC" w:rsidRDefault="00911FE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74DFC" w:rsidRDefault="00911FE4">
            <w:pPr>
              <w:pStyle w:val="TableParagraph"/>
              <w:spacing w:before="0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74DFC" w:rsidRDefault="00911FE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74DF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74DFC" w:rsidRDefault="00911FE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74DF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74DFC" w:rsidRDefault="00911FE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74DFC" w:rsidRDefault="00911FE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74DF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774DFC" w:rsidRDefault="00774DFC">
      <w:pPr>
        <w:jc w:val="center"/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74DFC" w:rsidRDefault="00911FE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74DFC" w:rsidRDefault="00911FE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74DFC" w:rsidRDefault="00911FE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74DFC" w:rsidRDefault="00911FE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74DFC" w:rsidRDefault="00911FE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74DFC" w:rsidRDefault="00911FE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74DFC" w:rsidRDefault="00911FE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74DFC" w:rsidRDefault="00911FE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74DF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74DFC" w:rsidRDefault="00911FE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74DFC" w:rsidRDefault="00911FE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74DFC" w:rsidRDefault="00911FE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74DFC" w:rsidRDefault="00911FE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74DF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2"/>
              <w:ind w:right="256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74DFC" w:rsidRDefault="00911FE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74DFC" w:rsidRDefault="00911FE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74DFC" w:rsidRDefault="00911FE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74DFC" w:rsidRDefault="00911FE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74DFC" w:rsidRDefault="00911FE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74DFC" w:rsidRDefault="00911FE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74DF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525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74DFC" w:rsidRDefault="00911FE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4DFC" w:rsidRDefault="00911FE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74DFC" w:rsidRDefault="00911FE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74DFC" w:rsidRDefault="00911FE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74DFC" w:rsidRDefault="00911FE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74DF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74DFC" w:rsidRDefault="00911FE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74DFC" w:rsidRDefault="00911FE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74DFC" w:rsidRDefault="00911FE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74DFC" w:rsidRDefault="00911FE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74DFC" w:rsidRDefault="00911F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74DFC" w:rsidRDefault="00911FE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74DFC" w:rsidRDefault="00911FE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74DFC" w:rsidRDefault="00911FE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74DF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74DFC" w:rsidRDefault="00911FE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4DFC" w:rsidRDefault="00911FE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74DFC" w:rsidRDefault="00911FE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74DFC" w:rsidRDefault="00911FE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74DF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74DFC" w:rsidRDefault="00911FE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74DFC" w:rsidRDefault="00911FE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74DFC" w:rsidRDefault="00911FE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74DFC" w:rsidRDefault="00911F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74DFC" w:rsidRDefault="00911FE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4DFC" w:rsidRDefault="00911FE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4DFC" w:rsidRDefault="00911FE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4DFC" w:rsidRDefault="00911FE4">
            <w:pPr>
              <w:pStyle w:val="TableParagraph"/>
              <w:spacing w:before="0"/>
              <w:ind w:right="2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4DFC" w:rsidRDefault="00911FE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74DF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74DFC" w:rsidRDefault="00152E9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0F30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4DFC" w:rsidRDefault="00774DFC">
      <w:pPr>
        <w:pStyle w:val="Zkladntext"/>
        <w:rPr>
          <w:b/>
        </w:rPr>
      </w:pPr>
    </w:p>
    <w:p w:rsidR="00774DFC" w:rsidRDefault="00774DFC">
      <w:pPr>
        <w:pStyle w:val="Zkladntext"/>
        <w:spacing w:before="3"/>
        <w:rPr>
          <w:b/>
          <w:sz w:val="14"/>
        </w:rPr>
      </w:pPr>
    </w:p>
    <w:p w:rsidR="00774DFC" w:rsidRDefault="00911FE4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74DFC" w:rsidRDefault="00774DFC">
      <w:pPr>
        <w:rPr>
          <w:sz w:val="16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74DF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74DFC" w:rsidRDefault="00911FE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74DFC" w:rsidRDefault="00911FE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technických specifikací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74DFC" w:rsidRDefault="00911FE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4DFC" w:rsidRDefault="00911FE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4DFC" w:rsidRDefault="00911FE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4DFC" w:rsidRDefault="00911FE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74DFC" w:rsidRDefault="00911FE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74DFC" w:rsidRDefault="00911FE4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74DFC" w:rsidRDefault="00911FE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74DFC" w:rsidRDefault="00911FE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74DFC" w:rsidRDefault="00911FE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74DF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74DFC" w:rsidRDefault="00911FE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74DFC" w:rsidRDefault="00911FE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74DFC" w:rsidRDefault="00911FE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74DFC" w:rsidRDefault="00911FE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74DFC" w:rsidRDefault="00911F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74DFC" w:rsidRDefault="00911FE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74DFC" w:rsidRDefault="00911FE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74DFC" w:rsidRDefault="00911F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74DF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4DFC" w:rsidRDefault="00911FE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74DFC" w:rsidRDefault="00911FE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74DFC" w:rsidRDefault="00911FE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74DF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74DFC" w:rsidRDefault="00911FE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74DFC" w:rsidRDefault="00911F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74DFC" w:rsidRDefault="00911FE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74DFC" w:rsidRDefault="00911FE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74DFC" w:rsidRDefault="00911FE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74DFC" w:rsidRDefault="00911FE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74DFC" w:rsidRDefault="00911FE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74DFC" w:rsidRDefault="00911FE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4DFC" w:rsidRDefault="00911FE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4DFC" w:rsidRDefault="00911FE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74DFC" w:rsidRDefault="00911FE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74DFC" w:rsidRDefault="00911FE4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74DFC" w:rsidRDefault="00911FE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74DF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74DFC" w:rsidRDefault="00911FE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74DFC" w:rsidRDefault="00911FE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74DF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74DFC" w:rsidRDefault="00911FE4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74DFC" w:rsidRDefault="00911FE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74DFC" w:rsidRDefault="00911FE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74DFC" w:rsidRDefault="00911FE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74DFC" w:rsidRDefault="00911FE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74DFC" w:rsidRDefault="00911FE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74DFC" w:rsidRDefault="00911FE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74DFC" w:rsidRDefault="00911FE4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74DFC" w:rsidRDefault="00911FE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74DFC" w:rsidRDefault="00911FE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74DFC" w:rsidRDefault="00911FE4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74DFC" w:rsidRDefault="00911FE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74DFC" w:rsidRDefault="00911FE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74DFC" w:rsidRDefault="00911FE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74DFC" w:rsidRDefault="00911FE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74DFC" w:rsidRDefault="00911FE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74DFC" w:rsidRDefault="00774DFC">
      <w:pPr>
        <w:rPr>
          <w:sz w:val="20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74DFC" w:rsidRDefault="00911FE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74DFC" w:rsidRDefault="00911FE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74DFC" w:rsidRDefault="00911F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4DFC" w:rsidRDefault="00911FE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74DFC" w:rsidRDefault="00911FE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74DFC" w:rsidRDefault="00911F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74DFC" w:rsidRDefault="00911FE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74DFC" w:rsidRDefault="00911FE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4DF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74DFC" w:rsidRDefault="00911FE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74DFC" w:rsidRDefault="00911FE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74DF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74DFC" w:rsidRDefault="00911FE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774DFC" w:rsidRDefault="00152E94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8FDE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74DFC" w:rsidRDefault="00774DFC">
      <w:pPr>
        <w:pStyle w:val="Zkladntext"/>
      </w:pPr>
    </w:p>
    <w:p w:rsidR="00774DFC" w:rsidRDefault="00774DFC">
      <w:pPr>
        <w:pStyle w:val="Zkladntext"/>
        <w:spacing w:before="3"/>
        <w:rPr>
          <w:sz w:val="14"/>
        </w:rPr>
      </w:pPr>
    </w:p>
    <w:p w:rsidR="00774DFC" w:rsidRDefault="00911FE4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74DFC" w:rsidRDefault="00774DFC">
      <w:pPr>
        <w:rPr>
          <w:sz w:val="16"/>
        </w:rPr>
        <w:sectPr w:rsidR="00774DFC">
          <w:pgSz w:w="12240" w:h="15840"/>
          <w:pgMar w:top="2040" w:right="1000" w:bottom="960" w:left="1460" w:header="708" w:footer="771" w:gutter="0"/>
          <w:cols w:space="708"/>
        </w:sectPr>
      </w:pPr>
    </w:p>
    <w:p w:rsidR="00774DFC" w:rsidRDefault="00774DF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4DF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4DF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74DFC" w:rsidRDefault="00911FE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74DFC" w:rsidRDefault="00911FE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74DFC" w:rsidRDefault="00911FE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74DF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4DFC" w:rsidRDefault="00911FE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4DFC" w:rsidRDefault="00774DF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74DFC" w:rsidRDefault="00911FE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74DFC" w:rsidRDefault="00774D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4DFC" w:rsidRDefault="00911FE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74DFC" w:rsidRDefault="00911F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74DF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4DFC" w:rsidRDefault="00774DF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74DFC" w:rsidRDefault="00911FE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74DFC" w:rsidRDefault="00774D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4DFC" w:rsidRDefault="00911FE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74DFC" w:rsidRDefault="00911FE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74DFC" w:rsidRDefault="00911FE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74DF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DFC" w:rsidRDefault="00911F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74DFC" w:rsidRDefault="00911FE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774DFC" w:rsidRDefault="00911FE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4DFC" w:rsidRDefault="00911F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4DF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4DFC" w:rsidRDefault="00774D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4DFC" w:rsidRDefault="00911FE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11FE4" w:rsidRDefault="00911FE4"/>
    <w:sectPr w:rsidR="00911FE4">
      <w:pgSz w:w="12240" w:h="15840"/>
      <w:pgMar w:top="204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E4" w:rsidRDefault="00911FE4">
      <w:r>
        <w:separator/>
      </w:r>
    </w:p>
  </w:endnote>
  <w:endnote w:type="continuationSeparator" w:id="0">
    <w:p w:rsidR="00911FE4" w:rsidRDefault="009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FC" w:rsidRDefault="00152E9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DFC" w:rsidRDefault="00911FE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E9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774DFC" w:rsidRDefault="00911FE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2E9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E4" w:rsidRDefault="00911FE4">
      <w:r>
        <w:separator/>
      </w:r>
    </w:p>
  </w:footnote>
  <w:footnote w:type="continuationSeparator" w:id="0">
    <w:p w:rsidR="00911FE4" w:rsidRDefault="0091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FC" w:rsidRDefault="00911FE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F51"/>
    <w:multiLevelType w:val="hybridMultilevel"/>
    <w:tmpl w:val="2E363B98"/>
    <w:lvl w:ilvl="0" w:tplc="C5CEE1DE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D841B0">
      <w:start w:val="1"/>
      <w:numFmt w:val="lowerLetter"/>
      <w:lvlText w:val="%2)"/>
      <w:lvlJc w:val="left"/>
      <w:pPr>
        <w:ind w:left="88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1E878A">
      <w:numFmt w:val="bullet"/>
      <w:lvlText w:val="•"/>
      <w:lvlJc w:val="left"/>
      <w:pPr>
        <w:ind w:left="880" w:hanging="360"/>
      </w:pPr>
      <w:rPr>
        <w:rFonts w:hint="default"/>
        <w:lang w:val="cs-CZ" w:eastAsia="en-US" w:bidi="ar-SA"/>
      </w:rPr>
    </w:lvl>
    <w:lvl w:ilvl="3" w:tplc="2EF836D8">
      <w:numFmt w:val="bullet"/>
      <w:lvlText w:val="•"/>
      <w:lvlJc w:val="left"/>
      <w:pPr>
        <w:ind w:left="1992" w:hanging="360"/>
      </w:pPr>
      <w:rPr>
        <w:rFonts w:hint="default"/>
        <w:lang w:val="cs-CZ" w:eastAsia="en-US" w:bidi="ar-SA"/>
      </w:rPr>
    </w:lvl>
    <w:lvl w:ilvl="4" w:tplc="5F56F632">
      <w:numFmt w:val="bullet"/>
      <w:lvlText w:val="•"/>
      <w:lvlJc w:val="left"/>
      <w:pPr>
        <w:ind w:left="3105" w:hanging="360"/>
      </w:pPr>
      <w:rPr>
        <w:rFonts w:hint="default"/>
        <w:lang w:val="cs-CZ" w:eastAsia="en-US" w:bidi="ar-SA"/>
      </w:rPr>
    </w:lvl>
    <w:lvl w:ilvl="5" w:tplc="998AD146">
      <w:numFmt w:val="bullet"/>
      <w:lvlText w:val="•"/>
      <w:lvlJc w:val="left"/>
      <w:pPr>
        <w:ind w:left="4217" w:hanging="360"/>
      </w:pPr>
      <w:rPr>
        <w:rFonts w:hint="default"/>
        <w:lang w:val="cs-CZ" w:eastAsia="en-US" w:bidi="ar-SA"/>
      </w:rPr>
    </w:lvl>
    <w:lvl w:ilvl="6" w:tplc="E572083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7" w:tplc="6F86D9BE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F4223BA6">
      <w:numFmt w:val="bullet"/>
      <w:lvlText w:val="•"/>
      <w:lvlJc w:val="left"/>
      <w:pPr>
        <w:ind w:left="755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F734B6"/>
    <w:multiLevelType w:val="hybridMultilevel"/>
    <w:tmpl w:val="BF26B33E"/>
    <w:lvl w:ilvl="0" w:tplc="C406C0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DEF694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3398B70C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CA87E1E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CEBC9D22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C13CA72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AE7077A2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0784B5B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69183D9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AE376D"/>
    <w:multiLevelType w:val="hybridMultilevel"/>
    <w:tmpl w:val="FF0E7B62"/>
    <w:lvl w:ilvl="0" w:tplc="C95A32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C6C7F2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EC1C7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60041858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5B66CE0E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A0DC9DCE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95C896E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71402712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64AA4838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8F96AA0"/>
    <w:multiLevelType w:val="hybridMultilevel"/>
    <w:tmpl w:val="8AC06436"/>
    <w:lvl w:ilvl="0" w:tplc="DFBCBD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B210E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BE6A6CF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EEC6D710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22427ECE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058659E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F57A078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FADC710E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A210C00A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F52042"/>
    <w:multiLevelType w:val="hybridMultilevel"/>
    <w:tmpl w:val="707A964C"/>
    <w:lvl w:ilvl="0" w:tplc="87203E6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80F46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0648704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024EA9C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1DDABDF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F5A2E822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229C271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9CA031A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13866A7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B74FE4"/>
    <w:multiLevelType w:val="hybridMultilevel"/>
    <w:tmpl w:val="39DABC58"/>
    <w:lvl w:ilvl="0" w:tplc="13AAB9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EAC9A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9822CC8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750A6D9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B7DC1F7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5ADE791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806C24D6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8990BB18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12A469E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AC8450C"/>
    <w:multiLevelType w:val="hybridMultilevel"/>
    <w:tmpl w:val="22B83852"/>
    <w:lvl w:ilvl="0" w:tplc="33F0F508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54EAF8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5FA535E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93E661DA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668C8FB8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3232150E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00B22C84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07885F06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E95C07B6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E5D2428"/>
    <w:multiLevelType w:val="hybridMultilevel"/>
    <w:tmpl w:val="8D4AC244"/>
    <w:lvl w:ilvl="0" w:tplc="557865D2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2487C72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83EA4630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1DAA57FC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D0029BEC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4F7E19B8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00308BCE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F48E944E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F3989238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C"/>
    <w:rsid w:val="00152E94"/>
    <w:rsid w:val="00774DFC"/>
    <w:rsid w:val="009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8A0B5-3994-453D-9C77-C234A1B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7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5173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2024-11-20T14:55:00Z</dcterms:created>
  <dcterms:modified xsi:type="dcterms:W3CDTF">2024-11-20T14:55:00Z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