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E3" w:rsidRDefault="007F62F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5713730</wp:posOffset>
                </wp:positionH>
                <wp:positionV relativeFrom="paragraph">
                  <wp:posOffset>12700</wp:posOffset>
                </wp:positionV>
                <wp:extent cx="591185" cy="1282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7E3" w:rsidRDefault="007F62FE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2024009512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9.90000000000003pt;margin-top:1.pt;width:46.550000000000004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2024009512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F47E3" w:rsidRDefault="007F62FE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KUPNÍ SMLOUVA</w:t>
      </w:r>
      <w:bookmarkEnd w:id="0"/>
    </w:p>
    <w:p w:rsidR="008F47E3" w:rsidRDefault="007F62FE">
      <w:pPr>
        <w:pStyle w:val="Zkladntext1"/>
        <w:spacing w:after="560" w:line="286" w:lineRule="auto"/>
        <w:jc w:val="center"/>
      </w:pPr>
      <w:r>
        <w:rPr>
          <w:rStyle w:val="Zkladntext"/>
        </w:rPr>
        <w:t>podle ustanovení § 2079 a násl. zákona č. 89/2012 Sb., občanský zákoník,</w:t>
      </w:r>
      <w:r>
        <w:rPr>
          <w:rStyle w:val="Zkladntext"/>
        </w:rPr>
        <w:br/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202"/>
      </w:tblGrid>
      <w:tr w:rsidR="008F47E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59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202" w:type="dxa"/>
            <w:shd w:val="clear" w:color="auto" w:fill="auto"/>
          </w:tcPr>
          <w:p w:rsidR="008F47E3" w:rsidRDefault="007F62FE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MUDr. </w:t>
            </w:r>
            <w:r>
              <w:rPr>
                <w:rStyle w:val="Jin"/>
              </w:rPr>
              <w:t>Hana Albrechtová, ředitelka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59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202" w:type="dxa"/>
            <w:shd w:val="clear" w:color="auto" w:fill="auto"/>
          </w:tcPr>
          <w:p w:rsidR="008F47E3" w:rsidRDefault="007F62FE">
            <w:pPr>
              <w:pStyle w:val="Jin0"/>
              <w:spacing w:after="0" w:line="276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color w:val="7395CE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9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202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8F47E3" w:rsidRDefault="007F62F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1245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8F47E3" w:rsidRDefault="007F62FE">
      <w:pPr>
        <w:pStyle w:val="Titulektabulky0"/>
        <w:ind w:left="10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kupující )</w:t>
      </w:r>
      <w:proofErr w:type="gramEnd"/>
    </w:p>
    <w:p w:rsidR="008F47E3" w:rsidRDefault="008F47E3">
      <w:pPr>
        <w:spacing w:after="219" w:line="1" w:lineRule="exact"/>
      </w:pPr>
    </w:p>
    <w:p w:rsidR="008F47E3" w:rsidRDefault="008F47E3">
      <w:pPr>
        <w:spacing w:line="1" w:lineRule="exact"/>
      </w:pPr>
    </w:p>
    <w:p w:rsidR="008F47E3" w:rsidRDefault="007F62FE">
      <w:pPr>
        <w:pStyle w:val="Titulektabulky0"/>
        <w:rPr>
          <w:sz w:val="19"/>
          <w:szCs w:val="19"/>
        </w:rPr>
      </w:pPr>
      <w:r>
        <w:rPr>
          <w:rStyle w:val="Titulektabulky"/>
          <w:sz w:val="19"/>
          <w:szCs w:val="19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5467"/>
      </w:tblGrid>
      <w:tr w:rsidR="008F47E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54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467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  <w:color w:val="564019"/>
              </w:rPr>
              <w:t>Perfect</w:t>
            </w:r>
            <w:proofErr w:type="spellEnd"/>
            <w:r>
              <w:rPr>
                <w:rStyle w:val="Jin"/>
                <w:b/>
                <w:bCs/>
                <w:color w:val="56401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64019"/>
              </w:rPr>
              <w:t>Distribution</w:t>
            </w:r>
            <w:proofErr w:type="spellEnd"/>
            <w:r>
              <w:rPr>
                <w:rStyle w:val="Jin"/>
                <w:b/>
                <w:bCs/>
                <w:color w:val="564019"/>
              </w:rPr>
              <w:t xml:space="preserve"> a.s.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54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467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>U Spalovny 4582/17, 796 01 Prostějov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54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467" w:type="dxa"/>
            <w:shd w:val="clear" w:color="auto" w:fill="FCE462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>Mgr. Aleš Rozsypal, místopředseda představenstva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21" w:type="dxa"/>
            <w:gridSpan w:val="2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color w:val="564019"/>
              </w:rPr>
              <w:t>Martin</w:t>
            </w:r>
            <w:r>
              <w:rPr>
                <w:rStyle w:val="Jin"/>
                <w:color w:val="564019"/>
              </w:rPr>
              <w:t xml:space="preserve"> </w:t>
            </w:r>
            <w:proofErr w:type="spellStart"/>
            <w:r>
              <w:rPr>
                <w:rStyle w:val="Jin"/>
                <w:color w:val="564019"/>
              </w:rPr>
              <w:t>Mendrek</w:t>
            </w:r>
            <w:proofErr w:type="spellEnd"/>
            <w:r>
              <w:rPr>
                <w:rStyle w:val="Jin"/>
                <w:color w:val="564019"/>
              </w:rPr>
              <w:t>, člen představenstva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54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54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467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>47675934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54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467" w:type="dxa"/>
            <w:shd w:val="clear" w:color="auto" w:fill="auto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>CZ699000899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54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5467" w:type="dxa"/>
            <w:shd w:val="clear" w:color="auto" w:fill="FCE462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>vedeném Krajským soudem v Brně, oddíl B, vložka 6538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54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  <w:color w:val="564019"/>
              </w:rPr>
              <w:t xml:space="preserve">ČSOB a.s., č. </w:t>
            </w:r>
            <w:proofErr w:type="spellStart"/>
            <w:r>
              <w:rPr>
                <w:rStyle w:val="Jin"/>
                <w:color w:val="564019"/>
              </w:rPr>
              <w:t>úštu</w:t>
            </w:r>
            <w:proofErr w:type="spellEnd"/>
            <w:r>
              <w:rPr>
                <w:rStyle w:val="Jin"/>
                <w:color w:val="564019"/>
              </w:rPr>
              <w:t>:</w:t>
            </w:r>
            <w:r>
              <w:rPr>
                <w:rStyle w:val="Jin"/>
                <w:color w:val="564019"/>
              </w:rPr>
              <w:t xml:space="preserve"> 117094303/0300</w:t>
            </w:r>
          </w:p>
        </w:tc>
      </w:tr>
    </w:tbl>
    <w:p w:rsidR="008F47E3" w:rsidRDefault="007F62FE">
      <w:pPr>
        <w:pStyle w:val="Titulektabulky0"/>
        <w:ind w:left="5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prodávající )</w:t>
      </w:r>
      <w:proofErr w:type="gramEnd"/>
    </w:p>
    <w:p w:rsidR="008F47E3" w:rsidRDefault="008F47E3">
      <w:pPr>
        <w:spacing w:after="1019" w:line="1" w:lineRule="exact"/>
      </w:pP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after="280" w:line="276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 tímto zbožím: </w:t>
      </w:r>
      <w:r>
        <w:rPr>
          <w:rStyle w:val="Zkladntext"/>
          <w:b/>
          <w:bCs/>
        </w:rPr>
        <w:t xml:space="preserve">300 ks </w:t>
      </w:r>
      <w:proofErr w:type="spellStart"/>
      <w:r>
        <w:rPr>
          <w:rStyle w:val="Zkladntext"/>
          <w:b/>
          <w:bCs/>
        </w:rPr>
        <w:t>samozahřívacích</w:t>
      </w:r>
      <w:proofErr w:type="spellEnd"/>
      <w:r>
        <w:rPr>
          <w:rStyle w:val="Zkladntext"/>
          <w:b/>
          <w:bCs/>
        </w:rPr>
        <w:t xml:space="preserve"> přikrývek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Součástí dodávky zboží dle čl. 1 této smlouvy je také dodání veškerých písemných dokladů, které</w:t>
      </w:r>
      <w:r>
        <w:rPr>
          <w:rStyle w:val="Zkladntext"/>
        </w:rPr>
        <w:t xml:space="preserve"> jsou potřebné k používání tohoto zboží. Dodané zboží musí splňovat požadavky na jakost, neporušenost balení a řádné označení dle platných právních předpisů.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>Prodávající prodává zboží podle čl. 1 této smlouvy se všemi jeho součástmi a příslušenstvím kupují</w:t>
      </w:r>
      <w:r>
        <w:rPr>
          <w:rStyle w:val="Zkladntext"/>
        </w:rPr>
        <w:t>címu, a kupující kupuje toto zboží do vlastnictví Jihomoravského kraje, jako svého zřizovatele, za kupní cenu podle čl. 6 této smlouvy. Místem plnění závazku prodávajícího je centrální sklad kupujícího v Brně, Kamenice 798/1 d.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after="240" w:line="276" w:lineRule="auto"/>
        <w:ind w:left="400" w:hanging="400"/>
        <w:jc w:val="both"/>
      </w:pPr>
      <w:r>
        <w:rPr>
          <w:rStyle w:val="Zkladntext"/>
        </w:rPr>
        <w:t>Prodávající se zavazuje spln</w:t>
      </w:r>
      <w:r>
        <w:rPr>
          <w:rStyle w:val="Zkladntext"/>
        </w:rPr>
        <w:t xml:space="preserve">it svůj závazek k dodání zboží podle čl. 1 této smlouvy nejpozději do </w:t>
      </w:r>
      <w:r>
        <w:rPr>
          <w:rStyle w:val="Zkladntext"/>
          <w:b/>
          <w:bCs/>
        </w:rPr>
        <w:t xml:space="preserve">16. 12. 2024. </w:t>
      </w:r>
      <w:r>
        <w:rPr>
          <w:rStyle w:val="Zkladntext"/>
        </w:rPr>
        <w:t>Závazek prodávajícího k dodání zboží podle čl. 1 této smlouvy se pak považuje za splněný dnem předání a převzetí tohoto zboží, prostého všech vad, formou písemného předávac</w:t>
      </w:r>
      <w:r>
        <w:rPr>
          <w:rStyle w:val="Zkladntext"/>
        </w:rPr>
        <w:t>ího protokolu, podepsaného oběma stranami.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after="60" w:line="276" w:lineRule="auto"/>
        <w:ind w:left="400" w:hanging="400"/>
        <w:jc w:val="both"/>
      </w:pPr>
      <w:r>
        <w:rPr>
          <w:rStyle w:val="Zkladntext"/>
        </w:rPr>
        <w:t xml:space="preserve">Kupující se </w:t>
      </w:r>
      <w:r>
        <w:rPr>
          <w:rStyle w:val="Zkladntext"/>
        </w:rPr>
        <w:t xml:space="preserve">zavazuje zaplatit prodávajícímu za předmět koupě a prodeje podle čl. 1 této smlouvy kupní </w:t>
      </w:r>
      <w:r>
        <w:rPr>
          <w:rStyle w:val="Zkladntext"/>
        </w:rPr>
        <w:lastRenderedPageBreak/>
        <w:t>cenu ve výši:</w:t>
      </w:r>
    </w:p>
    <w:p w:rsidR="008F47E3" w:rsidRDefault="007F62FE">
      <w:pPr>
        <w:pStyle w:val="Zkladntext1"/>
        <w:spacing w:after="60"/>
        <w:jc w:val="center"/>
      </w:pPr>
      <w:r>
        <w:rPr>
          <w:rStyle w:val="Zkladntext"/>
          <w:b/>
          <w:bCs/>
          <w:color w:val="564019"/>
        </w:rPr>
        <w:t xml:space="preserve">123 000,00,- </w:t>
      </w:r>
      <w:r>
        <w:rPr>
          <w:rStyle w:val="Zkladntext"/>
        </w:rPr>
        <w:t xml:space="preserve">Kč bez DPH, tj. </w:t>
      </w:r>
      <w:proofErr w:type="gramStart"/>
      <w:r>
        <w:rPr>
          <w:rStyle w:val="Zkladntext"/>
          <w:b/>
          <w:bCs/>
          <w:color w:val="564019"/>
        </w:rPr>
        <w:t xml:space="preserve">137 760,00 </w:t>
      </w:r>
      <w:r>
        <w:rPr>
          <w:rStyle w:val="Zkladntext"/>
          <w:b/>
          <w:bCs/>
        </w:rPr>
        <w:t xml:space="preserve">,- </w:t>
      </w:r>
      <w:r>
        <w:rPr>
          <w:rStyle w:val="Zkladntext"/>
        </w:rPr>
        <w:t>Kč</w:t>
      </w:r>
      <w:proofErr w:type="gramEnd"/>
      <w:r>
        <w:rPr>
          <w:rStyle w:val="Zkladntext"/>
        </w:rPr>
        <w:t xml:space="preserve"> včetně DPH.</w:t>
      </w:r>
    </w:p>
    <w:p w:rsidR="008F47E3" w:rsidRDefault="007F62FE">
      <w:pPr>
        <w:pStyle w:val="Zkladntext1"/>
        <w:spacing w:line="276" w:lineRule="auto"/>
        <w:ind w:left="400" w:firstLine="20"/>
        <w:jc w:val="both"/>
      </w:pPr>
      <w:r>
        <w:rPr>
          <w:rStyle w:val="Zkladntext"/>
        </w:rPr>
        <w:t>Součástí této ceny jsou veškeré náklady prodávajícího na splnění jeho závazku k dodání zboží p</w:t>
      </w:r>
      <w:r>
        <w:rPr>
          <w:rStyle w:val="Zkladntext"/>
        </w:rPr>
        <w:t>odle této smlouvy a daň z přidané hodnoty v sazbě podle zákona. Změna ceny je možná pouze v případě zákonné změny sazby DPH.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Kupní cena podle čl. 6 této smlouvy je splatná na účet prodávajícího po řádném splnění závazku prodávajícího k dodání zboží podle č</w:t>
      </w:r>
      <w:r>
        <w:rPr>
          <w:rStyle w:val="Zkladntext"/>
        </w:rPr>
        <w:t xml:space="preserve">l. 1 této smlouvy způsobem podle čl. 4 této smlouvy ve lhůtě do 30 dnů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395CE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P24V00003868. </w:t>
      </w:r>
      <w:r>
        <w:rPr>
          <w:rStyle w:val="Zkladntext"/>
        </w:rPr>
        <w:t>Součástí faktury bude kopie podepsaného protokolu dle čl. 4 této smlouvy. Nebude-li faktura splňovat veškeré náležitosti daňového dok</w:t>
      </w:r>
      <w:r>
        <w:rPr>
          <w:rStyle w:val="Zkladntext"/>
        </w:rPr>
        <w:t>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>S převodem zboží podle čl. 1 tét</w:t>
      </w:r>
      <w:r>
        <w:rPr>
          <w:rStyle w:val="Zkladntext"/>
        </w:rPr>
        <w:t xml:space="preserve">o smlouvy je spojena záruka za jeho jakost v trvání nejméně </w:t>
      </w:r>
      <w:r>
        <w:rPr>
          <w:rStyle w:val="Zkladntext"/>
          <w:b/>
          <w:bCs/>
        </w:rPr>
        <w:t xml:space="preserve">24 měsíců. </w:t>
      </w:r>
      <w:r>
        <w:rPr>
          <w:rStyle w:val="Zkladntext"/>
        </w:rPr>
        <w:t xml:space="preserve">V rámci záruky se prodávající zavazuje, že zboží podle čl. 1 této smlouvy bude mít po dobu uvedené záruční lhůty vlastnosti, které jsou stanoveny touto smlouvou, právními předpisy nebo </w:t>
      </w:r>
      <w:r>
        <w:rPr>
          <w:rStyle w:val="Zkladntext"/>
        </w:rPr>
        <w:t>technickými normami nebo jsou u zboží tohoto druhu obvyklé, a že bude po dobu záruční lhůty bezplatně odstraňovat vady, které se na zboží podle čl. 1 této smlouvy vyskytnou, a to ve lhůtě do 3- pracovních dnů od doručení příslušné písemné nebo e-mailové re</w:t>
      </w:r>
      <w:r>
        <w:rPr>
          <w:rStyle w:val="Zkladntext"/>
        </w:rPr>
        <w:t>klamace kupujícího, pokud nebude dohodnuto jinak. Vzhledem k povaze zboží podle čl. 1 této smlouvy lze přitom odstranění vady provést jen výměnou vadného zboží za nové bezvadné.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Pro případ sporu o oprávněnost reklamace se kupujícímu vyhrazuje právo nechat </w:t>
      </w:r>
      <w:r>
        <w:rPr>
          <w:rStyle w:val="Zkladntext"/>
        </w:rPr>
        <w:t xml:space="preserve">vyhotovit k prověření jakosti zboží soudně znalecký posudek, jehož výroku se obě strany zavazují podřizovat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náklady na vyhotovení tohoto posudku se zavazuje nést ten účastník tohoto sporu, kterému tento posudek nedal zapravdu.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Nepřikročí-li prodáv</w:t>
      </w:r>
      <w:r>
        <w:rPr>
          <w:rStyle w:val="Zkladntext"/>
        </w:rPr>
        <w:t>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</w:t>
      </w:r>
      <w:r>
        <w:rPr>
          <w:rStyle w:val="Zkladntext"/>
        </w:rPr>
        <w:t>rodlení prodávající se splněním jeho závazku k dodání zboží ve lhůtě podle čl. 4 této smlouvy se prodávající zavazuje zaplatit kupujícímu smluvní pokutu ve výši 0,1 % z kupní ceny podle čl. 6 této smlouvy za každý započatý den tohoto prodlení.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Pro případ p</w:t>
      </w:r>
      <w:r>
        <w:rPr>
          <w:rStyle w:val="Zkladntext"/>
        </w:rPr>
        <w:t>rodlení prodávajícího s odstraněním vady ve lhůtě podle čl. 8 této smlouvy se prodávající zavazuje zaplatit kupujícímu smluvní pokutu ve výši 0,1 % z kupní ceny podle čl. 6 této smlouvy za každý započatý den tohoto prodlení.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Pro případ prodlení se splněním</w:t>
      </w:r>
      <w:r>
        <w:rPr>
          <w:rStyle w:val="Zkladntext"/>
        </w:rPr>
        <w:t xml:space="preserve"> jeho závazku k dodání zboží ve lhůtě podle čl. 4 této smlouvy o více, než 2 týdny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, přičemž nárok na zaplacení smluvní pokuty dle čl. 11. nezaniká. Stejné právo má kupující, vyskytne-li se v d</w:t>
      </w:r>
      <w:r>
        <w:rPr>
          <w:rStyle w:val="Zkladntext"/>
        </w:rPr>
        <w:t>obě záruky za jakost podle čl. 8 této smlouvy na zboží podle čl. 1 této smlouvy neodstranitelná vada nebo tři a více vad, a i to postupně.</w:t>
      </w:r>
      <w:r>
        <w:br w:type="page"/>
      </w:r>
    </w:p>
    <w:p w:rsidR="008F47E3" w:rsidRDefault="007F62FE">
      <w:pPr>
        <w:pStyle w:val="Zkladntext1"/>
        <w:spacing w:after="440" w:line="240" w:lineRule="auto"/>
        <w:ind w:hanging="220"/>
      </w:pPr>
      <w:r>
        <w:rPr>
          <w:rStyle w:val="Zkladntext"/>
          <w:b/>
          <w:bCs/>
        </w:rPr>
        <w:lastRenderedPageBreak/>
        <w:t>Příloha č. 1 Specifikace</w:t>
      </w:r>
    </w:p>
    <w:p w:rsidR="008F47E3" w:rsidRDefault="007F62FE">
      <w:pPr>
        <w:pStyle w:val="Zkladntext1"/>
        <w:spacing w:after="440" w:line="240" w:lineRule="auto"/>
        <w:ind w:hanging="220"/>
      </w:pPr>
      <w:r>
        <w:rPr>
          <w:rStyle w:val="Zkladntext"/>
          <w:b/>
          <w:bCs/>
        </w:rPr>
        <w:t xml:space="preserve">Aktivní </w:t>
      </w:r>
      <w:proofErr w:type="spellStart"/>
      <w:r>
        <w:rPr>
          <w:rStyle w:val="Zkladntext"/>
          <w:b/>
          <w:bCs/>
        </w:rPr>
        <w:t>samozahřívací</w:t>
      </w:r>
      <w:proofErr w:type="spellEnd"/>
      <w:r>
        <w:rPr>
          <w:rStyle w:val="Zkladntext"/>
          <w:b/>
          <w:bCs/>
        </w:rPr>
        <w:t xml:space="preserve"> přikrývky</w:t>
      </w:r>
    </w:p>
    <w:p w:rsidR="008F47E3" w:rsidRDefault="007F62FE">
      <w:pPr>
        <w:pStyle w:val="Zkladntext1"/>
        <w:spacing w:after="440" w:line="269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76200</wp:posOffset>
                </wp:positionV>
                <wp:extent cx="1969135" cy="3962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7E3" w:rsidRDefault="007F62FE">
                            <w:pPr>
                              <w:pStyle w:val="Zkladntext1"/>
                              <w:spacing w:after="14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Model - typové/výrobní označení:</w:t>
                            </w:r>
                          </w:p>
                          <w:p w:rsidR="008F47E3" w:rsidRDefault="007F62F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Třída dle MDR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(2017/745/EU):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799999999999997pt;margin-top:6.pt;width:155.05000000000001pt;height:31.1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Model - typové/výrobní označení: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Třída dle MDR (2017/745/EU):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i/>
          <w:iCs/>
          <w:color w:val="D780A0"/>
        </w:rPr>
        <w:t xml:space="preserve">MLN629900 - Přikrývka </w:t>
      </w:r>
      <w:proofErr w:type="spellStart"/>
      <w:r>
        <w:rPr>
          <w:rStyle w:val="Zkladntext"/>
          <w:i/>
          <w:iCs/>
          <w:color w:val="D780A0"/>
        </w:rPr>
        <w:t>samoaktivní</w:t>
      </w:r>
      <w:proofErr w:type="spellEnd"/>
      <w:r>
        <w:rPr>
          <w:rStyle w:val="Zkladntext"/>
          <w:i/>
          <w:iCs/>
          <w:color w:val="D780A0"/>
        </w:rPr>
        <w:t xml:space="preserve"> zahřívací</w:t>
      </w:r>
      <w:r>
        <w:rPr>
          <w:rStyle w:val="Zkladntext"/>
          <w:i/>
          <w:iCs/>
          <w:color w:val="D780A0"/>
        </w:rPr>
        <w:br/>
      </w:r>
      <w:proofErr w:type="spellStart"/>
      <w:r>
        <w:rPr>
          <w:rStyle w:val="Zkladntext"/>
          <w:i/>
          <w:iCs/>
          <w:color w:val="D780A0"/>
        </w:rPr>
        <w:t>EasyWarm</w:t>
      </w:r>
      <w:proofErr w:type="spellEnd"/>
      <w:r>
        <w:rPr>
          <w:rStyle w:val="Zkladntext"/>
          <w:i/>
          <w:iCs/>
          <w:color w:val="D780A0"/>
        </w:rPr>
        <w:t>, SMS, modrá, 152x92cm</w:t>
      </w:r>
      <w:r>
        <w:rPr>
          <w:rStyle w:val="Zkladntext"/>
          <w:i/>
          <w:iCs/>
          <w:color w:val="D780A0"/>
        </w:rPr>
        <w:br/>
        <w:t>Třída: lib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52"/>
        <w:gridCol w:w="2784"/>
      </w:tblGrid>
      <w:tr w:rsidR="008F47E3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EF9AE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Jin"/>
                <w:b/>
                <w:bCs/>
                <w:color w:val="564019"/>
              </w:rPr>
              <w:t>P.č</w:t>
            </w:r>
            <w:proofErr w:type="spellEnd"/>
            <w:r>
              <w:rPr>
                <w:rStyle w:val="Jin"/>
                <w:b/>
                <w:bCs/>
                <w:color w:val="564019"/>
              </w:rPr>
              <w:t>.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EF9AE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  <w:color w:val="564019"/>
              </w:rPr>
              <w:t>Zadavatelem požadovaná hodnota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9AE"/>
            <w:vAlign w:val="bottom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  <w:color w:val="564019"/>
              </w:rPr>
              <w:t>Účastníkem nabízená hodnota (splňuje požadavek ANO/NE)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Aktivní </w:t>
            </w:r>
            <w:proofErr w:type="spellStart"/>
            <w:r>
              <w:rPr>
                <w:rStyle w:val="Jin"/>
              </w:rPr>
              <w:t>samozahřívací</w:t>
            </w:r>
            <w:proofErr w:type="spellEnd"/>
            <w:r>
              <w:rPr>
                <w:rStyle w:val="Jin"/>
              </w:rPr>
              <w:t xml:space="preserve"> přikrývka - 12 vzduchem aktivovaných </w:t>
            </w:r>
            <w:r>
              <w:rPr>
                <w:rStyle w:val="Jin"/>
              </w:rPr>
              <w:t>zahřívacích polštářků (rozměr 13 x 10 cm), integrovaných do kapes v horní vrstvě.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780A0"/>
              </w:rPr>
              <w:t>ANO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 přikrývky min. 150 x 90 cm.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780A0"/>
              </w:rPr>
              <w:t>ANO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Materiál: více vrstev polypropylenu. Vrstvy a kapsy jsou dohromady sešity nitěmi z polyesteru/bavlny.</w:t>
            </w:r>
          </w:p>
          <w:p w:rsidR="008F47E3" w:rsidRDefault="007F62F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Samozahřívací</w:t>
            </w:r>
            <w:proofErr w:type="spellEnd"/>
            <w:r>
              <w:rPr>
                <w:rStyle w:val="Jin"/>
              </w:rPr>
              <w:t xml:space="preserve"> polštářky</w:t>
            </w:r>
            <w:r>
              <w:rPr>
                <w:rStyle w:val="Jin"/>
              </w:rPr>
              <w:t xml:space="preserve"> jsou vyrobeny z prodyšných váčků.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780A0"/>
              </w:rPr>
              <w:t>ANO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Jednotlivě vakuově baleno do vzduchotěsného polymerového sáčku.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780A0"/>
              </w:rPr>
              <w:t>ANO</w:t>
            </w:r>
          </w:p>
        </w:tc>
      </w:tr>
      <w:tr w:rsidR="008F47E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Přikrývka dosáhne provozní teploty do </w:t>
            </w:r>
            <w:proofErr w:type="gramStart"/>
            <w:r>
              <w:rPr>
                <w:rStyle w:val="Jin"/>
              </w:rPr>
              <w:t>30-ti</w:t>
            </w:r>
            <w:proofErr w:type="gramEnd"/>
            <w:r>
              <w:rPr>
                <w:rStyle w:val="Jin"/>
              </w:rPr>
              <w:t xml:space="preserve"> minut a udrží průměrnou teplotu cca 44 °C min. 8 hodin.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3" w:rsidRDefault="007F62F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780A0"/>
              </w:rPr>
              <w:t>ANO</w:t>
            </w:r>
          </w:p>
        </w:tc>
      </w:tr>
    </w:tbl>
    <w:p w:rsidR="008F47E3" w:rsidRDefault="008F47E3">
      <w:pPr>
        <w:sectPr w:rsidR="008F47E3">
          <w:footerReference w:type="default" r:id="rId7"/>
          <w:pgSz w:w="11900" w:h="16840"/>
          <w:pgMar w:top="1477" w:right="1457" w:bottom="1550" w:left="1572" w:header="1049" w:footer="3" w:gutter="0"/>
          <w:pgNumType w:start="1"/>
          <w:cols w:space="720"/>
          <w:noEndnote/>
          <w:docGrid w:linePitch="360"/>
        </w:sectPr>
      </w:pP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after="380" w:line="286" w:lineRule="auto"/>
        <w:ind w:left="400" w:hanging="400"/>
        <w:jc w:val="both"/>
      </w:pPr>
      <w:r>
        <w:rPr>
          <w:rStyle w:val="Zkladntext"/>
        </w:rPr>
        <w:lastRenderedPageBreak/>
        <w:t xml:space="preserve">Pro případ prodlení kupujícího se zaplacením kupní ceny nebo její části ve lhůtě podle čl. 7 </w:t>
      </w:r>
      <w:r>
        <w:rPr>
          <w:rStyle w:val="Zkladntext"/>
        </w:rPr>
        <w:t xml:space="preserve">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</w:t>
      </w:r>
      <w:r>
        <w:rPr>
          <w:rStyle w:val="Zkladntext"/>
        </w:rPr>
        <w:t>o zákoníku.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obsah této smlouvy, jak je uveden v čl. 1 až 20 této smlouvy.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Tuto smlouvu lze změnit nebo zrušit pouze písemnými číslovan</w:t>
      </w:r>
      <w:r>
        <w:rPr>
          <w:rStyle w:val="Zkladntext"/>
        </w:rPr>
        <w:t>ými dodatky podepsanými oběma stranami.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Tato smlouva bude uveřejněna prostřednictvím registru smluv postupem dle zákona č. 340/2015 Sb., o </w:t>
      </w:r>
      <w:r>
        <w:rPr>
          <w:rStyle w:val="Zkladntext"/>
          <w:i/>
          <w:iCs/>
        </w:rPr>
        <w:t>zvláštních podmínkách účinnosti některých smluv, uveřejňování těchto smluv a o registru smluv (zákon o registru smluv</w:t>
      </w:r>
      <w:r>
        <w:rPr>
          <w:rStyle w:val="Zkladntext"/>
          <w:i/>
          <w:iCs/>
        </w:rPr>
        <w:t>), v</w:t>
      </w:r>
      <w:r>
        <w:rPr>
          <w:rStyle w:val="Zkladntext"/>
        </w:rPr>
        <w:t xml:space="preserve">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Tato smlouva nabývá platnosti okamžikem jejího podpisu oběma smluvními stranami a účinnosti dnem jejího uveřejnění v registru smlu</w:t>
      </w:r>
      <w:r>
        <w:rPr>
          <w:rStyle w:val="Zkladntext"/>
        </w:rPr>
        <w:t>v dle čl. 18.</w:t>
      </w:r>
    </w:p>
    <w:p w:rsidR="008F47E3" w:rsidRDefault="007F62FE">
      <w:pPr>
        <w:pStyle w:val="Zkladntext1"/>
        <w:numPr>
          <w:ilvl w:val="0"/>
          <w:numId w:val="1"/>
        </w:numPr>
        <w:tabs>
          <w:tab w:val="left" w:pos="418"/>
        </w:tabs>
        <w:spacing w:after="0"/>
        <w:ind w:left="400" w:hanging="400"/>
        <w:jc w:val="both"/>
        <w:sectPr w:rsidR="008F47E3">
          <w:pgSz w:w="11900" w:h="16840"/>
          <w:pgMar w:top="1398" w:right="1592" w:bottom="5484" w:left="1446" w:header="970" w:footer="3" w:gutter="0"/>
          <w:cols w:space="720"/>
          <w:noEndnote/>
          <w:docGrid w:linePitch="360"/>
        </w:sectPr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elektronickými prostředky, obdrží každá smluvní str</w:t>
      </w:r>
      <w:r>
        <w:rPr>
          <w:rStyle w:val="Zkladntext"/>
        </w:rPr>
        <w:t>ana jeden identický elektronický soubor.</w:t>
      </w:r>
    </w:p>
    <w:p w:rsidR="008F47E3" w:rsidRDefault="008F47E3">
      <w:pPr>
        <w:spacing w:line="240" w:lineRule="exact"/>
        <w:rPr>
          <w:sz w:val="19"/>
          <w:szCs w:val="19"/>
        </w:rPr>
      </w:pPr>
    </w:p>
    <w:p w:rsidR="008F47E3" w:rsidRDefault="008F47E3">
      <w:pPr>
        <w:spacing w:line="240" w:lineRule="exact"/>
        <w:rPr>
          <w:sz w:val="19"/>
          <w:szCs w:val="19"/>
        </w:rPr>
      </w:pPr>
    </w:p>
    <w:p w:rsidR="008F47E3" w:rsidRDefault="008F47E3">
      <w:pPr>
        <w:spacing w:before="49" w:after="49" w:line="240" w:lineRule="exact"/>
        <w:rPr>
          <w:sz w:val="19"/>
          <w:szCs w:val="19"/>
        </w:rPr>
      </w:pPr>
    </w:p>
    <w:p w:rsidR="008F47E3" w:rsidRDefault="008F47E3">
      <w:pPr>
        <w:spacing w:line="1" w:lineRule="exact"/>
        <w:sectPr w:rsidR="008F47E3">
          <w:type w:val="continuous"/>
          <w:pgSz w:w="11900" w:h="16840"/>
          <w:pgMar w:top="1398" w:right="0" w:bottom="1153" w:left="0" w:header="0" w:footer="3" w:gutter="0"/>
          <w:cols w:space="720"/>
          <w:noEndnote/>
          <w:docGrid w:linePitch="360"/>
        </w:sectPr>
      </w:pPr>
    </w:p>
    <w:p w:rsidR="003369B0" w:rsidRDefault="007F62FE" w:rsidP="003369B0">
      <w:pPr>
        <w:pStyle w:val="Zkladntext1"/>
        <w:framePr w:w="3638" w:h="2160" w:wrap="none" w:vAnchor="text" w:hAnchor="page" w:x="1486" w:y="21"/>
        <w:tabs>
          <w:tab w:val="left" w:leader="dot" w:pos="1690"/>
        </w:tabs>
        <w:spacing w:line="290" w:lineRule="auto"/>
        <w:rPr>
          <w:rStyle w:val="Zkladntext"/>
        </w:rPr>
      </w:pPr>
      <w:r>
        <w:rPr>
          <w:rStyle w:val="Zkladntext"/>
        </w:rPr>
        <w:t>V Brně dne</w:t>
      </w:r>
      <w:r w:rsidR="003369B0">
        <w:rPr>
          <w:rStyle w:val="Zkladntext"/>
        </w:rPr>
        <w:t xml:space="preserve"> 19.11.2024</w:t>
      </w:r>
      <w:bookmarkStart w:id="1" w:name="_GoBack"/>
      <w:bookmarkEnd w:id="1"/>
    </w:p>
    <w:p w:rsidR="008F47E3" w:rsidRDefault="007F62FE" w:rsidP="003369B0">
      <w:pPr>
        <w:pStyle w:val="Zkladntext1"/>
        <w:framePr w:w="3638" w:h="2160" w:wrap="none" w:vAnchor="text" w:hAnchor="page" w:x="1486" w:y="21"/>
        <w:tabs>
          <w:tab w:val="left" w:leader="dot" w:pos="1690"/>
        </w:tabs>
        <w:spacing w:line="290" w:lineRule="auto"/>
      </w:pPr>
      <w:r>
        <w:rPr>
          <w:rStyle w:val="Zkladntext3"/>
          <w:sz w:val="24"/>
          <w:szCs w:val="24"/>
        </w:rPr>
        <w:t xml:space="preserve">l </w:t>
      </w:r>
      <w:proofErr w:type="spellStart"/>
      <w:r>
        <w:rPr>
          <w:rStyle w:val="Zkladntext3"/>
          <w:sz w:val="24"/>
          <w:szCs w:val="24"/>
        </w:rPr>
        <w:t>IDr</w:t>
      </w:r>
      <w:proofErr w:type="spellEnd"/>
      <w:r>
        <w:rPr>
          <w:rStyle w:val="Zkladntext3"/>
          <w:sz w:val="24"/>
          <w:szCs w:val="24"/>
        </w:rPr>
        <w:tab/>
      </w:r>
      <w:r>
        <w:rPr>
          <w:rStyle w:val="Zkladntext3"/>
        </w:rPr>
        <w:t>Digitálně podepsal</w:t>
      </w:r>
    </w:p>
    <w:p w:rsidR="008F47E3" w:rsidRDefault="007F62FE">
      <w:pPr>
        <w:pStyle w:val="Zkladntext40"/>
        <w:framePr w:w="3638" w:h="2160" w:wrap="none" w:vAnchor="text" w:hAnchor="page" w:x="1486" w:y="21"/>
        <w:rPr>
          <w:sz w:val="16"/>
          <w:szCs w:val="16"/>
        </w:rPr>
      </w:pPr>
      <w:r>
        <w:rPr>
          <w:rStyle w:val="Zkladntext4"/>
          <w:b/>
          <w:bCs/>
        </w:rPr>
        <w:t>&gt;</w:t>
      </w:r>
      <w:r>
        <w:rPr>
          <w:rStyle w:val="Zkladntext4"/>
          <w:b/>
          <w:bCs/>
        </w:rPr>
        <w:t xml:space="preserve">VI^L&gt;I . I lana </w:t>
      </w:r>
      <w:r>
        <w:rPr>
          <w:rStyle w:val="Zkladntext4"/>
          <w:b/>
          <w:bCs/>
          <w:vertAlign w:val="subscript"/>
        </w:rPr>
        <w:t>MUDr</w:t>
      </w:r>
      <w:r>
        <w:rPr>
          <w:rStyle w:val="Zkladntext4"/>
          <w:b/>
          <w:bCs/>
        </w:rPr>
        <w:t xml:space="preserve"> </w:t>
      </w:r>
      <w:r>
        <w:rPr>
          <w:rStyle w:val="Zkladntext4"/>
          <w:sz w:val="16"/>
          <w:szCs w:val="16"/>
        </w:rPr>
        <w:t>Hana Albrechtová</w:t>
      </w:r>
    </w:p>
    <w:p w:rsidR="008F47E3" w:rsidRDefault="007F62FE">
      <w:pPr>
        <w:pStyle w:val="Nadpis10"/>
        <w:keepNext/>
        <w:keepLines/>
        <w:framePr w:w="3638" w:h="2160" w:wrap="none" w:vAnchor="text" w:hAnchor="page" w:x="1486" w:y="21"/>
      </w:pPr>
      <w:bookmarkStart w:id="2" w:name="bookmark2"/>
      <w:r>
        <w:rPr>
          <w:rStyle w:val="Nadpis1"/>
        </w:rPr>
        <w:t>Albrechtová “Z</w:t>
      </w:r>
      <w:r>
        <w:rPr>
          <w:rStyle w:val="Nadpis1"/>
          <w:vertAlign w:val="superscript"/>
        </w:rPr>
        <w:t>19</w:t>
      </w:r>
      <w:bookmarkEnd w:id="2"/>
    </w:p>
    <w:p w:rsidR="008F47E3" w:rsidRDefault="007F62FE">
      <w:pPr>
        <w:pStyle w:val="Zkladntext1"/>
        <w:framePr w:w="3638" w:h="2160" w:wrap="none" w:vAnchor="text" w:hAnchor="page" w:x="1486" w:y="21"/>
        <w:spacing w:line="290" w:lineRule="auto"/>
      </w:pPr>
      <w:r>
        <w:rPr>
          <w:rStyle w:val="Zkladntext"/>
        </w:rPr>
        <w:t>MUDr. Hana Albrechtová ředitelka</w:t>
      </w:r>
    </w:p>
    <w:p w:rsidR="008F47E3" w:rsidRDefault="007F62FE">
      <w:pPr>
        <w:pStyle w:val="Zkladntext1"/>
        <w:framePr w:w="2558" w:h="240" w:wrap="none" w:vAnchor="text" w:hAnchor="page" w:x="6732" w:y="21"/>
        <w:spacing w:after="0" w:line="240" w:lineRule="auto"/>
      </w:pPr>
      <w:r>
        <w:rPr>
          <w:rStyle w:val="Zkladntext"/>
        </w:rPr>
        <w:t xml:space="preserve">V Prostějově dne </w:t>
      </w:r>
      <w:proofErr w:type="gramStart"/>
      <w:r>
        <w:rPr>
          <w:rStyle w:val="Zkladntext"/>
        </w:rPr>
        <w:t>18.11.2024</w:t>
      </w:r>
      <w:proofErr w:type="gramEnd"/>
    </w:p>
    <w:p w:rsidR="008F47E3" w:rsidRDefault="007F62FE">
      <w:pPr>
        <w:pStyle w:val="Zkladntext20"/>
        <w:framePr w:w="1358" w:h="686" w:wrap="none" w:vAnchor="text" w:hAnchor="page" w:x="6790" w:y="769"/>
        <w:ind w:firstLine="700"/>
      </w:pPr>
      <w:proofErr w:type="spellStart"/>
      <w:r>
        <w:rPr>
          <w:rStyle w:val="Zkladntext2"/>
          <w:b/>
          <w:bCs/>
        </w:rPr>
        <w:t>OlgíUlnS</w:t>
      </w:r>
      <w:proofErr w:type="spellEnd"/>
    </w:p>
    <w:p w:rsidR="008F47E3" w:rsidRDefault="007F62FE">
      <w:pPr>
        <w:pStyle w:val="Zkladntext20"/>
        <w:framePr w:w="1358" w:h="686" w:wrap="none" w:vAnchor="text" w:hAnchor="page" w:x="6790" w:y="769"/>
        <w:tabs>
          <w:tab w:val="left" w:pos="672"/>
        </w:tabs>
      </w:pPr>
      <w:proofErr w:type="spellStart"/>
      <w:r>
        <w:rPr>
          <w:rStyle w:val="Zkladntext2"/>
          <w:b/>
          <w:bCs/>
        </w:rPr>
        <w:t>IViyi</w:t>
      </w:r>
      <w:proofErr w:type="spellEnd"/>
      <w:r>
        <w:rPr>
          <w:rStyle w:val="Zkladntext2"/>
          <w:b/>
          <w:bCs/>
        </w:rPr>
        <w:t>.</w:t>
      </w:r>
      <w:r>
        <w:rPr>
          <w:rStyle w:val="Zkladntext2"/>
          <w:b/>
          <w:bCs/>
        </w:rPr>
        <w:tab/>
      </w:r>
      <w:proofErr w:type="spellStart"/>
      <w:r>
        <w:rPr>
          <w:rStyle w:val="Zkladntext2"/>
          <w:b/>
          <w:bCs/>
        </w:rPr>
        <w:t>podepsalMgr</w:t>
      </w:r>
      <w:proofErr w:type="spellEnd"/>
      <w:r>
        <w:rPr>
          <w:rStyle w:val="Zkladntext2"/>
          <w:b/>
          <w:bCs/>
        </w:rPr>
        <w:t>.</w:t>
      </w:r>
    </w:p>
    <w:p w:rsidR="008F47E3" w:rsidRDefault="007F62FE">
      <w:pPr>
        <w:pStyle w:val="Zkladntext20"/>
        <w:framePr w:w="1358" w:h="686" w:wrap="none" w:vAnchor="text" w:hAnchor="page" w:x="6790" w:y="769"/>
        <w:tabs>
          <w:tab w:val="left" w:pos="662"/>
        </w:tabs>
      </w:pPr>
      <w:r>
        <w:rPr>
          <w:rStyle w:val="Zkladntext2"/>
          <w:b/>
          <w:bCs/>
        </w:rPr>
        <w:t xml:space="preserve">A </w:t>
      </w:r>
      <w:r>
        <w:rPr>
          <w:rStyle w:val="Zkladntext2"/>
          <w:b/>
          <w:bCs/>
        </w:rPr>
        <w:t>leč</w:t>
      </w:r>
      <w:r>
        <w:rPr>
          <w:rStyle w:val="Zkladntext2"/>
          <w:b/>
          <w:bCs/>
        </w:rPr>
        <w:tab/>
        <w:t>Aleš Rozsypal</w:t>
      </w:r>
    </w:p>
    <w:p w:rsidR="008F47E3" w:rsidRDefault="007F62FE">
      <w:pPr>
        <w:pStyle w:val="Zkladntext20"/>
        <w:framePr w:w="1358" w:h="686" w:wrap="none" w:vAnchor="text" w:hAnchor="page" w:x="6790" w:y="769"/>
        <w:tabs>
          <w:tab w:val="left" w:pos="677"/>
        </w:tabs>
        <w:spacing w:line="211" w:lineRule="auto"/>
      </w:pPr>
      <w:proofErr w:type="spellStart"/>
      <w:r>
        <w:rPr>
          <w:rStyle w:val="Zkladntext2"/>
          <w:b/>
          <w:bCs/>
        </w:rPr>
        <w:t>Mleb</w:t>
      </w:r>
      <w:proofErr w:type="spellEnd"/>
      <w:r>
        <w:rPr>
          <w:rStyle w:val="Zkladntext2"/>
          <w:b/>
          <w:bCs/>
        </w:rPr>
        <w:tab/>
        <w:t>Datum:</w:t>
      </w:r>
    </w:p>
    <w:p w:rsidR="008F47E3" w:rsidRDefault="007F62FE">
      <w:pPr>
        <w:pStyle w:val="Zkladntext20"/>
        <w:framePr w:w="1358" w:h="686" w:wrap="none" w:vAnchor="text" w:hAnchor="page" w:x="6790" w:y="769"/>
        <w:ind w:firstLine="700"/>
      </w:pPr>
      <w:r>
        <w:rPr>
          <w:rStyle w:val="Zkladntext2"/>
          <w:b/>
          <w:bCs/>
        </w:rPr>
        <w:t>2024.11.18</w:t>
      </w:r>
    </w:p>
    <w:p w:rsidR="008F47E3" w:rsidRDefault="007F62FE">
      <w:pPr>
        <w:pStyle w:val="Zkladntext30"/>
        <w:framePr w:w="1358" w:h="686" w:wrap="none" w:vAnchor="text" w:hAnchor="page" w:x="6790" w:y="769"/>
        <w:spacing w:line="180" w:lineRule="auto"/>
        <w:rPr>
          <w:sz w:val="8"/>
          <w:szCs w:val="8"/>
        </w:rPr>
      </w:pPr>
      <w:r>
        <w:rPr>
          <w:rStyle w:val="Zkladntext3"/>
        </w:rPr>
        <w:t xml:space="preserve">Rozsypal </w:t>
      </w:r>
      <w:r>
        <w:rPr>
          <w:rStyle w:val="Zkladntext3"/>
          <w:smallCaps/>
          <w:sz w:val="9"/>
          <w:szCs w:val="9"/>
          <w:vertAlign w:val="subscript"/>
        </w:rPr>
        <w:t>O</w:t>
      </w:r>
      <w:r>
        <w:rPr>
          <w:rStyle w:val="Zkladntext3"/>
          <w:smallCaps/>
          <w:sz w:val="9"/>
          <w:szCs w:val="9"/>
        </w:rPr>
        <w:t>b:</w:t>
      </w:r>
      <w:proofErr w:type="gramStart"/>
      <w:r>
        <w:rPr>
          <w:rStyle w:val="Zkladntext3"/>
          <w:smallCaps/>
          <w:sz w:val="9"/>
          <w:szCs w:val="9"/>
        </w:rPr>
        <w:t>48.-o3</w:t>
      </w:r>
      <w:proofErr w:type="gramEnd"/>
      <w:r>
        <w:rPr>
          <w:rStyle w:val="Zkladntext3"/>
          <w:b/>
          <w:bCs/>
          <w:sz w:val="8"/>
          <w:szCs w:val="8"/>
        </w:rPr>
        <w:t xml:space="preserve"> +01W</w:t>
      </w:r>
    </w:p>
    <w:p w:rsidR="008F47E3" w:rsidRDefault="007F62FE">
      <w:pPr>
        <w:pStyle w:val="Zkladntext1"/>
        <w:framePr w:w="605" w:h="230" w:wrap="none" w:vAnchor="text" w:hAnchor="page" w:x="8422" w:y="846"/>
        <w:spacing w:after="0" w:line="240" w:lineRule="auto"/>
        <w:jc w:val="both"/>
      </w:pPr>
      <w:r>
        <w:rPr>
          <w:rStyle w:val="Zkladntext"/>
        </w:rPr>
        <w:t>Martin</w:t>
      </w:r>
    </w:p>
    <w:p w:rsidR="008F47E3" w:rsidRDefault="007F62FE">
      <w:pPr>
        <w:pStyle w:val="Zkladntext20"/>
        <w:framePr w:w="787" w:h="254" w:wrap="none" w:vAnchor="text" w:hAnchor="page" w:x="9209" w:y="851"/>
      </w:pPr>
      <w:r>
        <w:rPr>
          <w:rStyle w:val="Zkladntext2"/>
          <w:b/>
          <w:bCs/>
        </w:rPr>
        <w:t>Digitálně podepsal</w:t>
      </w:r>
    </w:p>
    <w:p w:rsidR="008F47E3" w:rsidRDefault="007F62FE">
      <w:pPr>
        <w:pStyle w:val="Zkladntext20"/>
        <w:framePr w:w="787" w:h="254" w:wrap="none" w:vAnchor="text" w:hAnchor="page" w:x="9209" w:y="851"/>
      </w:pPr>
      <w:r>
        <w:rPr>
          <w:rStyle w:val="Zkladntext2"/>
          <w:b/>
          <w:bCs/>
        </w:rPr>
        <w:t xml:space="preserve">Martin </w:t>
      </w:r>
      <w:proofErr w:type="spellStart"/>
      <w:r>
        <w:rPr>
          <w:rStyle w:val="Zkladntext2"/>
          <w:b/>
          <w:bCs/>
        </w:rPr>
        <w:t>Mendrek</w:t>
      </w:r>
      <w:proofErr w:type="spellEnd"/>
    </w:p>
    <w:p w:rsidR="008F47E3" w:rsidRDefault="007F62FE">
      <w:pPr>
        <w:pStyle w:val="Zkladntext20"/>
        <w:framePr w:w="1574" w:h="240" w:wrap="none" w:vAnchor="text" w:hAnchor="page" w:x="8422" w:y="1081"/>
      </w:pPr>
      <w:r>
        <w:rPr>
          <w:rStyle w:val="Zkladntext2"/>
          <w:b/>
          <w:bCs/>
        </w:rPr>
        <w:t xml:space="preserve">A </w:t>
      </w:r>
      <w:proofErr w:type="gramStart"/>
      <w:r>
        <w:rPr>
          <w:rStyle w:val="Zkladntext2"/>
          <w:b/>
          <w:bCs/>
        </w:rPr>
        <w:t>4^</w:t>
      </w:r>
      <w:proofErr w:type="gramEnd"/>
      <w:r>
        <w:rPr>
          <w:rStyle w:val="Zkladntext2"/>
          <w:b/>
          <w:bCs/>
        </w:rPr>
        <w:t>—</w:t>
      </w:r>
      <w:proofErr w:type="gramStart"/>
      <w:r>
        <w:rPr>
          <w:rStyle w:val="Zkladntext2"/>
          <w:b/>
          <w:bCs/>
        </w:rPr>
        <w:t>Datum</w:t>
      </w:r>
      <w:proofErr w:type="gramEnd"/>
      <w:r>
        <w:rPr>
          <w:rStyle w:val="Zkladntext2"/>
          <w:b/>
          <w:bCs/>
        </w:rPr>
        <w:t>:2024.11.18</w:t>
      </w:r>
    </w:p>
    <w:p w:rsidR="008F47E3" w:rsidRDefault="007F62FE">
      <w:pPr>
        <w:pStyle w:val="Zkladntext1"/>
        <w:framePr w:w="1574" w:h="240" w:wrap="none" w:vAnchor="text" w:hAnchor="page" w:x="8422" w:y="1081"/>
        <w:tabs>
          <w:tab w:val="left" w:pos="1090"/>
        </w:tabs>
        <w:spacing w:after="0" w:line="180" w:lineRule="auto"/>
        <w:rPr>
          <w:sz w:val="8"/>
          <w:szCs w:val="8"/>
        </w:rPr>
      </w:pPr>
      <w:proofErr w:type="spellStart"/>
      <w:r>
        <w:rPr>
          <w:rStyle w:val="Zkladntext"/>
        </w:rPr>
        <w:t>Mend</w:t>
      </w:r>
      <w:proofErr w:type="spellEnd"/>
      <w:r>
        <w:rPr>
          <w:rStyle w:val="Zkladntext"/>
        </w:rPr>
        <w:t xml:space="preserve"> rek</w:t>
      </w:r>
      <w:r>
        <w:rPr>
          <w:rStyle w:val="Zkladntext"/>
        </w:rPr>
        <w:tab/>
      </w:r>
      <w:r>
        <w:rPr>
          <w:rStyle w:val="Zkladntext"/>
          <w:b/>
          <w:bCs/>
          <w:sz w:val="8"/>
          <w:szCs w:val="8"/>
        </w:rPr>
        <w:t>+01W</w:t>
      </w:r>
    </w:p>
    <w:p w:rsidR="008F47E3" w:rsidRDefault="007F62FE">
      <w:pPr>
        <w:pStyle w:val="Zkladntext1"/>
        <w:framePr w:w="806" w:h="245" w:wrap="none" w:vAnchor="text" w:hAnchor="page" w:x="1539" w:y="2651"/>
        <w:spacing w:after="0" w:line="240" w:lineRule="auto"/>
      </w:pPr>
      <w:r>
        <w:rPr>
          <w:rStyle w:val="Zkladntext"/>
          <w:b/>
          <w:bCs/>
        </w:rPr>
        <w:t>Kupující</w:t>
      </w:r>
    </w:p>
    <w:p w:rsidR="008F47E3" w:rsidRDefault="007F62FE">
      <w:pPr>
        <w:pStyle w:val="Zkladntext1"/>
        <w:framePr w:w="2698" w:h="1315" w:wrap="none" w:vAnchor="text" w:hAnchor="page" w:x="6737" w:y="1619"/>
        <w:spacing w:after="0"/>
      </w:pPr>
      <w:r>
        <w:rPr>
          <w:rStyle w:val="Zkladntext"/>
          <w:color w:val="564019"/>
        </w:rPr>
        <w:t xml:space="preserve">Mgr. Aleš Rozsypal místopředseda představenstva Martin </w:t>
      </w:r>
      <w:proofErr w:type="spellStart"/>
      <w:r>
        <w:rPr>
          <w:rStyle w:val="Zkladntext"/>
          <w:color w:val="564019"/>
        </w:rPr>
        <w:t>Mendrek</w:t>
      </w:r>
      <w:proofErr w:type="spellEnd"/>
      <w:r>
        <w:rPr>
          <w:rStyle w:val="Zkladntext"/>
          <w:color w:val="564019"/>
        </w:rPr>
        <w:t xml:space="preserve"> člen představenstva</w:t>
      </w:r>
    </w:p>
    <w:p w:rsidR="008F47E3" w:rsidRDefault="007F62FE">
      <w:pPr>
        <w:pStyle w:val="Zkladntext1"/>
        <w:framePr w:w="2698" w:h="1315" w:wrap="none" w:vAnchor="text" w:hAnchor="page" w:x="6737" w:y="1619"/>
        <w:spacing w:after="0"/>
      </w:pPr>
      <w:r>
        <w:rPr>
          <w:rStyle w:val="Zkladntext"/>
          <w:b/>
          <w:bCs/>
        </w:rPr>
        <w:t>Prodávající</w:t>
      </w: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line="360" w:lineRule="exact"/>
      </w:pPr>
    </w:p>
    <w:p w:rsidR="008F47E3" w:rsidRDefault="008F47E3">
      <w:pPr>
        <w:spacing w:after="412" w:line="1" w:lineRule="exact"/>
      </w:pPr>
    </w:p>
    <w:p w:rsidR="008F47E3" w:rsidRDefault="008F47E3">
      <w:pPr>
        <w:spacing w:line="1" w:lineRule="exact"/>
      </w:pPr>
    </w:p>
    <w:sectPr w:rsidR="008F47E3">
      <w:type w:val="continuous"/>
      <w:pgSz w:w="11900" w:h="16840"/>
      <w:pgMar w:top="1398" w:right="1592" w:bottom="1153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FE" w:rsidRDefault="007F62FE">
      <w:r>
        <w:separator/>
      </w:r>
    </w:p>
  </w:endnote>
  <w:endnote w:type="continuationSeparator" w:id="0">
    <w:p w:rsidR="007F62FE" w:rsidRDefault="007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E3" w:rsidRDefault="007F62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9963150</wp:posOffset>
              </wp:positionV>
              <wp:extent cx="3413760" cy="1308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7E3" w:rsidRDefault="007F62F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Veřejná zakázka 13_2024 DNS ZSM: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Samozahřívací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 přikrývky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0.75pt;margin-top:784.5pt;width:268.80000000000001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13_2024 DNS ZSM: Samozahřívací přikrývky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FE" w:rsidRDefault="007F62FE"/>
  </w:footnote>
  <w:footnote w:type="continuationSeparator" w:id="0">
    <w:p w:rsidR="007F62FE" w:rsidRDefault="007F62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72B6"/>
    <w:multiLevelType w:val="multilevel"/>
    <w:tmpl w:val="DFFE92C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E3"/>
    <w:rsid w:val="003369B0"/>
    <w:rsid w:val="007F62FE"/>
    <w:rsid w:val="008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FBB"/>
  <w15:docId w15:val="{B453C5EF-8040-4C33-8202-77AD35F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40" w:line="199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pacing w:after="220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7159</Characters>
  <Application>Microsoft Office Word</Application>
  <DocSecurity>0</DocSecurity>
  <Lines>59</Lines>
  <Paragraphs>16</Paragraphs>
  <ScaleCrop>false</ScaleCrop>
  <Company>HP Inc.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2024-11-20T13:47:00Z</dcterms:created>
  <dcterms:modified xsi:type="dcterms:W3CDTF">2024-11-20T13:48:00Z</dcterms:modified>
</cp:coreProperties>
</file>