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RÁMCOVÁ SMLOUVA O POSKYTOVÁNÍ SLUŽEB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color w:val="000000"/>
          <w:sz w:val="36"/>
          <w:szCs w:val="36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highlight w:val="white"/>
          <w:rtl w:val="0"/>
        </w:rPr>
        <w:t xml:space="preserve">č.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highlight w:val="white"/>
          <w:rtl w:val="0"/>
        </w:rPr>
        <w:t xml:space="preserve">0517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(§ 1724 a násl. zák. č. 89/2012 Sb., občanský zákoník)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Poskytovatel: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Jules a Jim, z.ú.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Krkonošská 1534/6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120 00 Praha 2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IČ: 26587084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zastupuje: Mgr. Ondřej Bradáč, ředitel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b w:val="1"/>
          <w:color w:val="000000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Obje</w:t>
      </w:r>
      <w:r w:rsidDel="00000000" w:rsidR="00000000" w:rsidRPr="00000000">
        <w:rPr>
          <w:rFonts w:ascii="Calibri" w:cs="Calibri" w:eastAsia="Calibri" w:hAnsi="Calibri"/>
          <w:b w:val="1"/>
          <w:color w:val="000000"/>
          <w:highlight w:val="white"/>
          <w:rtl w:val="0"/>
        </w:rPr>
        <w:t xml:space="preserve">dnatel: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b w:val="1"/>
          <w:color w:val="00000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Název školy dle zřizovací listiny: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Základní škola Solidarita, Praha 10, Brigádníků 510/14, příspěvková organizace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Ulice č.p./ č. or.: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Brigádníků 510/14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PSČ Město: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10000 Praha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IČ: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47611898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zastupuje: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Mgr. Karin Marques, Ph.D.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; ředitelka</w:t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uzavírají tuto Rámcovou smlouvu o poskytování služeb preventivních programů a dalších dle § 1724 a násl. zák. č. 89/2012 Sb., občanský zákoník (dále jen „smlouva“).</w:t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Článek I - Předmět smlouvy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Poskytovatel prohlašuje, že je od MŠMT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certifikovaným poskytovatelem programů všeobecné primární prevence a selektivní primární prevence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Poskytovatel se zavazuje, že pro Objednatele uspořádá primárně preventivní programy (dále jen „programy“) všeobecné primární prevence (dále jen „VPP“) a selektivní primární prevence (dále jen „SPP“), případně programy z oblasti dalšího vzdělávání pedagogických pracovníků (DVPP) na základě jednotlivých objednávek a pokynů Objednatele za podmínek stanovených touto smlouvou, a Objednatel se zavazuje zaplatit Poskytovateli úplatu ve výši a za podmínek stanovených touto smlouvou a konkrétní objednávkou.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Objednatel je oprávněn financovat objednávku i prostřednictvím třetího subjektu, např. při poskytnutí dotace a/nebo financování z jiných veřejných zdrojů. Taková dohoda mezi Objednatelem a třetí osobou nemá vliv na práva a povinnosti vznikající smluvním stranám v souvislosti s touto smlouvou. 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Článek II - Analýza potřeb školy 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Na žádost Objednatele provede Poskytovatel vstupní analýzu potřeb školy, jejích jednotlivých ročníků, tříd a pedagogického sboru formou rozhovoru s pověřenými osobami Objednatele (zpravidla ředitelem školy a školním metodikem prevence) a náhledu do aktuálního školního preventivního plánu. 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Na základě vstupní analýzy potřeb školy navrhne Poskytovatel Objednateli vhodné programy do jednotlivých ročníků, tříd a pro sborovnu, který diskutuje s Objednatelem a vytvoří plán realizace programu na daný školní rok. 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Článek III - Podmínky poskytování programů primární prevence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66.0000000000000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Program zahrnuje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 identifikaci konkrétních potřeb Objednatele,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společné stanovení cílů programu a sestavení optimálního programu pro danou skupinu účastníků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v návaznosti na Preventivní program školy, detailní přípravu programu, organizační a personální zajištění akce včetně didaktických pomůcek.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Objednatel se zavazuje: 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a.   Zajistit, aby na každém programu VPP byl přítomný jeden třídní kolektiv a (třídní) učitel.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Zajistit, aby pověření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učitelé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byli přítomni během celého programu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jako aktivní pozorovatelé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popř. se dle dohody s lektory zapojí do programu realizovaného se žáky.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360"/>
        <w:jc w:val="both"/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Zajistit, aby se pověření učitelé přibližně 10 minut před programem sešli s lektory ohledně předání bližších informací o programu a třídě, a dále na přibližně 10 minut po programu ohledně zhodnocení programu.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360"/>
        <w:jc w:val="both"/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Zajistit porozumění pedagogů přítomných během programu povaze domluvy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 mezi Poskytovatelem a Objednatelem a smyslu poskytované služby a způsobu práce Poskytovatele.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360"/>
        <w:jc w:val="both"/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Zajistit, aby na místě byly pohyblivé stole a židle, ze kterých bude možné vytvořit kruh.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360"/>
        <w:jc w:val="both"/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Zajistit, aby na místě byla k dispozici tabule či flipchart s fixami.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Poskytnout Poskytovateli náležitou součinnost při realizování služeb, zejména mu včas předat veškeré potřebné informace a materiály, o které Poskytovatel Objednatele požádá.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Uvést (potenciální) rizikové chování přítomné ve třídě, kde má Poskytovatel realizovat program, a v případě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kontraindikace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informovat Poskytovatele o nemožnosti realizovat program. Cílová skupina, indikace a kontraindikace programů VPP a SPP jsou popsány v elektronické příloze této smlouvy s názvem Informace o programech PPRCH.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Poskytovatel si vyhrazuje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právo na změnu obsahu programu/zrušení realizace programu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v závislosti na konkrétní aktuální situaci účastníků programu. Změnu/zrušení je povinen projednat s pedagogickým dozorem pověřeným Objednatelem.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ind w:left="284"/>
        <w:jc w:val="both"/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Podmínkou pro uskutečnění programu VPP je přítomnost</w:t>
      </w:r>
      <w:r w:rsidDel="00000000" w:rsidR="00000000" w:rsidRPr="00000000">
        <w:rPr>
          <w:rFonts w:ascii="Calibri" w:cs="Calibri" w:eastAsia="Calibri" w:hAnsi="Calibri"/>
          <w:b w:val="1"/>
          <w:color w:val="000000"/>
          <w:highlight w:val="white"/>
          <w:rtl w:val="0"/>
        </w:rPr>
        <w:t xml:space="preserve"> minimálně</w:t>
      </w:r>
      <w:r w:rsidDel="00000000" w:rsidR="00000000" w:rsidRPr="00000000">
        <w:rPr>
          <w:rFonts w:ascii="Calibri" w:cs="Calibri" w:eastAsia="Calibri" w:hAnsi="Calibri"/>
          <w:b w:val="1"/>
          <w:color w:val="000000"/>
          <w:highlight w:val="white"/>
          <w:rtl w:val="0"/>
        </w:rPr>
        <w:t xml:space="preserve"> 70 % žáků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. V případě větší absence může pověřená osoba Poskytovatele (lektor/ka) program na místě zrušit s nárokem Poskytovatele na stornopoplatek (viz níže, Článek VII), neboť se jedná o nedodržení podmínek poskytování programu ze strany Objednatele.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Programy budou realizovány na adrese udané Objednatelem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dle dílčích objednávek konkrétních programů. 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Termíny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jsou do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mlouvány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individuálně mezi pověřenými osobami Objednatele a Poskytovatele. Poskytovatel nabídne Objednateli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max.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3 termíny pro konání programu VPP, z kterých si Objednatel vybere vyhovující termín. Po potvrzení zvoleného termínu oběma stranami se stává termín programu závazným.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284" w:right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Žáci a učitelé se na progra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mu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řídí školním řádem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Objednatele. Rovněž jsou povinni dodržovat pravidla programu stanovená lektorem/y Poskytovatele. V případě porušování těchto podmínek, užívání návykových látek, agresivního chování, narušování chodu programu apod. má zástupce (lektor) Poskytovatele právo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žáka z aktivity vyloučit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popř. ho po dohodě s pedagogickým dozorem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vyloučit z programu.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Objednatel i Poskytovatel jsou povinni respektovat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právo na anonymitu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informací poskytnutých od žáků/studentů (jejich názorů, postojů, pocitů apod.).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color w:val="000000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Poskytovatel je povinen organizovat programy takovým způsobem, aby neohrožoval bezpečnost účastníků. Za vzniklou škodu, bezpečnost a zdraví účastníků kurzu odpovídá po celou dobu kurzu Objednatel v souladu s § 29 odst. 2 zákona č. 561/2004 Sb., školský zákon, a § 391 odst. 2 zákona č. 262/2006 Sb., zákoník práce.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Poskytovatel je povinen provést program s náležitou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odbornou péčí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 dle etických zásad pracovníka v primární prevenci (viz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Etický kodex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Jules a Jim v příloze).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Objednatel i účastník má právo podat Poskytovateli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stížnost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 Vyřizování stížností se řídí směrnicí Poskytovatele pro podávání stížností, která je elektronickou přílohou této smlouvy.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Objednatel předem seznámí účastníky programů s tématem, formou a délkou poskytovaných programů, včetně očekávaných přínosů a případných rizik.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284" w:right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Na základě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principu dobrovolnosti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může během programu, jak účastník, tak zástupce Objednatele v průběhu realizace programu oznámit, že chce svou účast ukončit. Cena programu se v takovém případě nesnižuje.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V závislosti na typu realizovaných služeb je ukončen logický celek tak, aby nedošlo k nežádoucím efektům programu (např. neuzavřený problém).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Následuje schůzka zástupce Poskytovatele se zástupcem Objednatele a patřičnými zainteresovanými osobami, během které se dohodne další postup. 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V případě, že se Objednatel, Poskytovatel a zainteresované osoby domnívají, že jde o problém, který lze řešit změnou lektora pro daný program, projedná Objednatel se zástupcem Poskytovatele změnu personálního zajištění (odpovídající úroveň lektora pro daný typ programu) a další průběh spolupráce. 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Jedná-li se o problém vyžadující intervenci jiné odborné služby, který nelze uspokojit službami Poskytovatele, pak je Objednatel odkázán na některou z kompetentních organizací (viz Mapa spolupracujících služeb). 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both"/>
        <w:rPr>
          <w:rFonts w:ascii="Calibri" w:cs="Calibri" w:eastAsia="Calibri" w:hAnsi="Calibri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both"/>
        <w:rPr>
          <w:rFonts w:ascii="Calibri" w:cs="Calibri" w:eastAsia="Calibri" w:hAnsi="Calibri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Článek IV - Selektivní primární prevence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Objednatel se zavazuje, že při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programech SPP budou po celou dobu programu přítomni třídní učitelé (v případě jejich dlouhodobé absence zastupující třídní učitel) jako aktivní pozorovatelé.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Před samotným programem SPP zajistí objednatel schůzku pověřených osob (zpravidla třídní učitel, školní metodik prevence, ředitel školy) s pověřenými osobami Poskytovatele (lektor/ka či odborný/á gara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nt/ka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) za účelem seznámení se s aktuální situací ve třídě, s její historií a zakázkou na program. Tato schůzk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může být 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uskutečněna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rovněž telefonicky.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Podmínkou pro uskutečnění programu SPP je přítomnost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highlight w:val="white"/>
          <w:rtl w:val="0"/>
        </w:rPr>
        <w:t xml:space="preserve">minimálně 70 % žáků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. V případě větší absence může pověřená osoba Poskytovatele (lektor/ka) 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program na místě zrušit 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s nárokem Poskytovatele na stornopoplatek (viz níže, Článek VII), neboť se jedná o nedodržení podmínek poskytování programu ze strany Objednatele.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Výstupem SPP je závěrečná zpráva obsahující stručný screening třídy a doporučení na další práci se třídou. 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Termíny programů SPP jsou domlouvány individuálně s pověřenou osobou Objednatele dle časových možností lektora. 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Poskytovatel má právo přerušit nebo ukončit program SPP v případě zjištění kontraindikace programu, např. přítomnost neprošetřené šikany, bez udělení výchovných opatření.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Dále platí, že všeobecná primární prevence by neměla probíhat ve třídě, kde současně běží program selektivní prevence, a to i v případě, kdy je realizován jiným Poskytovatelem.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Článek V - Asistenční služby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V situaci, kdy se ve třídním kolektivu objeví podezření na šikanu a Objednatel odhadne třetí a vyšší stupeň šikany (podle Koláře, M.), může Poskytovatel zajistit asistenční služby, kdy se provází celým šetřením zjišťování přítomnosti šikany.  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Asistenční služby zahrnují dotazníkové šetření, pozorování skupiny při aktivitách, vedení rozhovoru s jednotlivými aktéry, analýza dokumentů a další relevantních zdrojů (fotografie, sociální sítě). 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Podmínkou je součinnost školy, kdy jeden pověřený pracovník ze strany Objednatele bude přítomen po celou dobu šetření a zajistí jeho průběh ve spolupráci s asistentem Poskytovatele. Celkový postup bude definován v objednávce. 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Výstupem jsou podklady ze strany Poskytovatele, na základě kterých se může škola rozhodnout, zda se v daném třídním kolektivu jedná o šikanu.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Financování asistenční služby je možné z dotačního programu Poskytovatele, je-li k dispozici, anebo si Objednatel hradí celou částku z vlastních zdrojů. 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Článek VI - Objednávky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K uzavření dílčí realizační smlouvy („objednávky“) dochází tak, že Poskytovatel potvrdí písemnou objednávku Objednatele, jež je považována za nabídku pro uzavření smlouvy, a to písemně nebo e-mailem. 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Každá objednávka dle této smlouvy bude obsahovat zejména: číslo této smlouvy, název programu, počet hodin programu, místo konání programu, cíle programu, indikace, kontraindikace, třídu a aktuální cenu. 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3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Článek VII - Cena, úhrada a storno podmínky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Cena za programy a související služby je hrazena Objednatelem Poskytovateli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po skončení objednaných programů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na základě Poskytovatelem vystavené faktury.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V případě prodlení s placením bude účtována smluvní pokuta ve výši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10 %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za každý započatý měsíc prodlení.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V případě zrušení či změny termínu domluveného programu platí následující storno podmínky: 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více než týden před domluveným termínem programu lze program zrušit/přesunout bez nároku Poskytovatele na storno poplatek. 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týden až 72 hodin před domluveným termínem programu má Poskytovatel právo uplatnit nárok na storno poplatek ve výši 25 % ceny programu.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od 72 hodin do 17:00 před-posledního pracovního dne před domluveným termínem programu má Poskytovatel právo uplatnit nárok na storno poplatek ve výši 50 % ceny programu. 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od 17:00 před-posledního pracovního dne před domluveným termínem programu má Poskytovatel právo uplatnit nárok na storno poplatek v plné výši ceny programu. 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ind w:left="284"/>
        <w:jc w:val="both"/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V případě zrušení programu v důsledku působení vyšší moci znemožňující konání programu (např. živelní pohroma, karanténa žáků) lze program zrušit bez stornopoplatku kdykoli před započetím programu.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Podmínkou bezplatného zrušení programu je ale nabídnutí alternativního termínu či alespoň iniciace jednání o něm.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ind w:left="284"/>
        <w:jc w:val="both"/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V případě účasti méně než 70 % žáků třídy, ve které je program primární prevence realizován, má Poskytovatel nárok program na místě zrušit při nároku na plnou úhradu ceny programu (viz výše).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0" w:firstLine="0"/>
        <w:jc w:val="both"/>
        <w:rPr>
          <w:rFonts w:ascii="Calibri" w:cs="Calibri" w:eastAsia="Calibri" w:hAnsi="Calibri"/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center"/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Článek VIII – Doba trvání smlouvy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11" w:right="0" w:firstLine="425.0000000000003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Tato smlouva se uzavírá na dobu neurčitou a nabývá účinnosti dnem jejího podpisu oběma smluvními stranami. 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Obě strany mají právo písemně odstoupit od smlouvy.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Článek IX – Závěrečná ujednání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Závazné informace k plnění této Smlouvy a objednávek jsou adresovány následujícím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pověřeným osobám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 to v písemné nebo elektronické podobě: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Poskytovatele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koordinátor programů uvedený na webu www.julesajim.cz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(v době uzavření smlouvy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Atrin Matuštík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programy@julesajim.cz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Objednatele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Mgr. Michal Hlavatý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hlavaty@zssolidarita.cz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Smluvní strany neposkytnou žádné informace týkající se předmětu této smlouvy třetím stranám, tj. jiným fyzickým a právnickým osobám než příslušným zaměstnancům Objednatele a Poskytovatele.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Podmínky sjednané v této smlouvě a dohodnutá práva a povinnosti smluvních stran lze měnit pouze písemným dodatkem k této smlouvě.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 záležitostech neupravených touto dohodou se práva a povinnosti smluvních stran řídí zákonem č. 89/2012 Sb., občanský zákoník.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Tato smlouva je sepsána ve dvou vyhotoveních. Každá strana obdrží po jednom z nich.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Objednatel prohlašuje, že se před uzavřením této smlouvy seznámil s následujícími přílohami zaslanými Poskytovatelem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 elektronické podobě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Práva příjemců programu (Kodex příjemců)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Etický kodex Jules a Jim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Informace o programu PPRCH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Mapa spolupracujících služeb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Směrnice pro podávání stížností</w:t>
      </w:r>
    </w:p>
    <w:p w:rsidR="00000000" w:rsidDel="00000000" w:rsidP="00000000" w:rsidRDefault="00000000" w:rsidRPr="00000000" w14:paraId="00000084">
      <w:pPr>
        <w:ind w:left="284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Podpisem této smlouvy vyjadřuje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objednatel informovaný souhlas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 podmínkami a průběhem programu včetně případných omezení, jak jsou uvedeny v přílohách této smlouvy.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Zástupci obou stran prohlašují, že jsou k podpisu této smlouvy oprávněni. Po přečtení jejího textu prohlašují, že mu rozumějí, že smlouva je sepsána v souladu s jejich pravou a svobodnou vůlí a cítí se jí vázáni. Na důkaz všeho připojují své podpisy a otisky razítek.</w:t>
      </w:r>
    </w:p>
    <w:p w:rsidR="00000000" w:rsidDel="00000000" w:rsidP="00000000" w:rsidRDefault="00000000" w:rsidRPr="00000000" w14:paraId="00000086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V Praze dne 1.9.2024</w:t>
      </w:r>
    </w:p>
    <w:p w:rsidR="00000000" w:rsidDel="00000000" w:rsidP="00000000" w:rsidRDefault="00000000" w:rsidRPr="00000000" w14:paraId="00000089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……………….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……………………………</w:t>
        <w:tab/>
        <w:tab/>
        <w:tab/>
        <w:tab/>
        <w:tab/>
        <w:t xml:space="preserve">.….………………………………………………..</w:t>
      </w:r>
    </w:p>
    <w:p w:rsidR="00000000" w:rsidDel="00000000" w:rsidP="00000000" w:rsidRDefault="00000000" w:rsidRPr="00000000" w14:paraId="0000008D">
      <w:pPr>
        <w:ind w:left="600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Poskytovatel</w:t>
        <w:tab/>
        <w:tab/>
        <w:tab/>
        <w:tab/>
        <w:tab/>
        <w:tab/>
        <w:tab/>
        <w:tab/>
        <w:t xml:space="preserve">Objednatel</w:t>
      </w:r>
    </w:p>
    <w:p w:rsidR="00000000" w:rsidDel="00000000" w:rsidP="00000000" w:rsidRDefault="00000000" w:rsidRPr="00000000" w14:paraId="0000008E">
      <w:pP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276" w:top="1417" w:left="1417" w:right="1190" w:header="42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shd w:fill="ffffff" w:val="clear"/>
      <w:tabs>
        <w:tab w:val="left" w:leader="none" w:pos="709"/>
        <w:tab w:val="left" w:leader="none" w:pos="4253"/>
        <w:tab w:val="left" w:leader="none" w:pos="9072"/>
      </w:tabs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26dcb"/>
        <w:sz w:val="20"/>
        <w:szCs w:val="20"/>
        <w:rtl w:val="0"/>
      </w:rPr>
      <w:t xml:space="preserve">e-mail:</w:t>
      <w:tab/>
    </w:r>
    <w:hyperlink r:id="rId1">
      <w:r w:rsidDel="00000000" w:rsidR="00000000" w:rsidRPr="00000000">
        <w:rPr>
          <w:rFonts w:ascii="Calibri" w:cs="Calibri" w:eastAsia="Calibri" w:hAnsi="Calibri"/>
          <w:color w:val="0000ff"/>
          <w:sz w:val="20"/>
          <w:szCs w:val="20"/>
          <w:u w:val="single"/>
          <w:rtl w:val="0"/>
        </w:rPr>
        <w:t xml:space="preserve">info@julesajim.cz</w:t>
      </w:r>
    </w:hyperlink>
    <w:r w:rsidDel="00000000" w:rsidR="00000000" w:rsidRPr="00000000">
      <w:rPr>
        <w:rFonts w:ascii="Calibri" w:cs="Calibri" w:eastAsia="Calibri" w:hAnsi="Calibri"/>
        <w:color w:val="026dcb"/>
        <w:sz w:val="20"/>
        <w:szCs w:val="20"/>
        <w:rtl w:val="0"/>
      </w:rPr>
      <w:tab/>
    </w:r>
    <w:hyperlink r:id="rId2">
      <w:r w:rsidDel="00000000" w:rsidR="00000000" w:rsidRPr="00000000">
        <w:rPr>
          <w:rFonts w:ascii="Calibri" w:cs="Calibri" w:eastAsia="Calibri" w:hAnsi="Calibri"/>
          <w:color w:val="026dcb"/>
          <w:sz w:val="20"/>
          <w:szCs w:val="20"/>
          <w:u w:val="single"/>
          <w:rtl w:val="0"/>
        </w:rPr>
        <w:t xml:space="preserve">www.julesajim.cz</w:t>
      </w:r>
    </w:hyperlink>
    <w:r w:rsidDel="00000000" w:rsidR="00000000" w:rsidRPr="00000000">
      <w:rPr>
        <w:rFonts w:ascii="Calibri" w:cs="Calibri" w:eastAsia="Calibri" w:hAnsi="Calibri"/>
        <w:color w:val="026dcb"/>
        <w:sz w:val="20"/>
        <w:szCs w:val="20"/>
        <w:rtl w:val="0"/>
      </w:rPr>
      <w:tab/>
    </w: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shd w:fill="ffffff" w:val="clear"/>
      <w:tabs>
        <w:tab w:val="left" w:leader="none" w:pos="709"/>
        <w:tab w:val="left" w:leader="none" w:pos="4253"/>
      </w:tabs>
      <w:rPr>
        <w:rFonts w:ascii="Calibri" w:cs="Calibri" w:eastAsia="Calibri" w:hAnsi="Calibri"/>
        <w:color w:val="026dcb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26dcb"/>
        <w:sz w:val="20"/>
        <w:szCs w:val="20"/>
        <w:rtl w:val="0"/>
      </w:rPr>
      <w:tab/>
    </w:r>
  </w:p>
  <w:p w:rsidR="00000000" w:rsidDel="00000000" w:rsidP="00000000" w:rsidRDefault="00000000" w:rsidRPr="00000000" w14:paraId="00000094">
    <w:pPr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tabs>
        <w:tab w:val="left" w:leader="none" w:pos="1134"/>
        <w:tab w:val="left" w:leader="none" w:pos="4601"/>
      </w:tabs>
      <w:rPr>
        <w:rFonts w:ascii="Calibri" w:cs="Calibri" w:eastAsia="Calibri" w:hAnsi="Calibri"/>
        <w:color w:val="026dcb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ab/>
    </w:r>
    <w:r w:rsidDel="00000000" w:rsidR="00000000" w:rsidRPr="00000000">
      <w:rPr>
        <w:rFonts w:ascii="Calibri" w:cs="Calibri" w:eastAsia="Calibri" w:hAnsi="Calibri"/>
        <w:color w:val="026dcb"/>
        <w:sz w:val="20"/>
        <w:szCs w:val="20"/>
        <w:rtl w:val="0"/>
      </w:rPr>
      <w:t xml:space="preserve">Jules a Jim, z.ú.</w:t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-137158</wp:posOffset>
          </wp:positionV>
          <wp:extent cx="576000" cy="597600"/>
          <wp:effectExtent b="0" l="0" r="0" t="0"/>
          <wp:wrapSquare wrapText="bothSides" distB="0" distT="0" distL="114300" distR="114300"/>
          <wp:docPr descr="C:\Users\Waktor\Desktop\JaJ\dokumenty k uprave\logo\jpg\Jules_a_Jim_logo_barevne_zakladni_RGB.jpg" id="1" name="image1.jpg"/>
          <a:graphic>
            <a:graphicData uri="http://schemas.openxmlformats.org/drawingml/2006/picture">
              <pic:pic>
                <pic:nvPicPr>
                  <pic:cNvPr descr="C:\Users\Waktor\Desktop\JaJ\dokumenty k uprave\logo\jpg\Jules_a_Jim_logo_barevne_zakladni_RGB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00" cy="5976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0">
    <w:pPr>
      <w:tabs>
        <w:tab w:val="left" w:leader="none" w:pos="1134"/>
      </w:tabs>
      <w:ind w:left="-180" w:firstLine="0"/>
      <w:rPr>
        <w:rFonts w:ascii="Calibri" w:cs="Calibri" w:eastAsia="Calibri" w:hAnsi="Calibri"/>
        <w:color w:val="026dcb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26dcb"/>
        <w:sz w:val="20"/>
        <w:szCs w:val="20"/>
        <w:rtl w:val="0"/>
      </w:rPr>
      <w:tab/>
      <w:t xml:space="preserve">Krkonošská 1534/6, 120 00 Praha 2, IČ: 26587084</w:t>
    </w:r>
  </w:p>
  <w:p w:rsidR="00000000" w:rsidDel="00000000" w:rsidP="00000000" w:rsidRDefault="00000000" w:rsidRPr="00000000" w14:paraId="0000009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26dcb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284" w:hanging="284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cs="Calibri" w:eastAsia="Calibri" w:hAnsi="Calibri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800" w:hanging="36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decimal"/>
      <w:lvlText w:val="%5."/>
      <w:lvlJc w:val="left"/>
      <w:pPr>
        <w:ind w:left="3240" w:hanging="360"/>
      </w:pPr>
      <w:rPr/>
    </w:lvl>
    <w:lvl w:ilvl="5">
      <w:start w:val="1"/>
      <w:numFmt w:val="decimal"/>
      <w:lvlText w:val="%6."/>
      <w:lvlJc w:val="left"/>
      <w:pPr>
        <w:ind w:left="3960" w:hanging="36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decimal"/>
      <w:lvlText w:val="%8."/>
      <w:lvlJc w:val="left"/>
      <w:pPr>
        <w:ind w:left="5400" w:hanging="360"/>
      </w:pPr>
      <w:rPr/>
    </w:lvl>
    <w:lvl w:ilvl="8">
      <w:start w:val="1"/>
      <w:numFmt w:val="decimal"/>
      <w:lvlText w:val="%9."/>
      <w:lvlJc w:val="left"/>
      <w:pPr>
        <w:ind w:left="612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284" w:hanging="284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284" w:hanging="284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800" w:hanging="36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decimal"/>
      <w:lvlText w:val="%5."/>
      <w:lvlJc w:val="left"/>
      <w:pPr>
        <w:ind w:left="3240" w:hanging="360"/>
      </w:pPr>
      <w:rPr/>
    </w:lvl>
    <w:lvl w:ilvl="5">
      <w:start w:val="1"/>
      <w:numFmt w:val="decimal"/>
      <w:lvlText w:val="%6."/>
      <w:lvlJc w:val="left"/>
      <w:pPr>
        <w:ind w:left="3960" w:hanging="36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decimal"/>
      <w:lvlText w:val="%8."/>
      <w:lvlJc w:val="left"/>
      <w:pPr>
        <w:ind w:left="5400" w:hanging="360"/>
      </w:pPr>
      <w:rPr/>
    </w:lvl>
    <w:lvl w:ilvl="8">
      <w:start w:val="1"/>
      <w:numFmt w:val="decimal"/>
      <w:lvlText w:val="%9."/>
      <w:lvlJc w:val="left"/>
      <w:pPr>
        <w:ind w:left="612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284" w:hanging="284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2"/>
      <w:numFmt w:val="lowerLetter"/>
      <w:lvlText w:val="%1."/>
      <w:lvlJc w:val="left"/>
      <w:pPr>
        <w:ind w:left="630" w:hanging="360"/>
      </w:pPr>
      <w:rPr/>
    </w:lvl>
    <w:lvl w:ilvl="1">
      <w:start w:val="1"/>
      <w:numFmt w:val="lowerLetter"/>
      <w:lvlText w:val="%2."/>
      <w:lvlJc w:val="left"/>
      <w:pPr>
        <w:ind w:left="1350" w:hanging="360"/>
      </w:pPr>
      <w:rPr/>
    </w:lvl>
    <w:lvl w:ilvl="2">
      <w:start w:val="1"/>
      <w:numFmt w:val="lowerRoman"/>
      <w:lvlText w:val="%3."/>
      <w:lvlJc w:val="right"/>
      <w:pPr>
        <w:ind w:left="2070" w:hanging="180"/>
      </w:pPr>
      <w:rPr/>
    </w:lvl>
    <w:lvl w:ilvl="3">
      <w:start w:val="1"/>
      <w:numFmt w:val="decimal"/>
      <w:lvlText w:val="%4."/>
      <w:lvlJc w:val="left"/>
      <w:pPr>
        <w:ind w:left="2790" w:hanging="360"/>
      </w:pPr>
      <w:rPr/>
    </w:lvl>
    <w:lvl w:ilvl="4">
      <w:start w:val="1"/>
      <w:numFmt w:val="lowerLetter"/>
      <w:lvlText w:val="%5."/>
      <w:lvlJc w:val="left"/>
      <w:pPr>
        <w:ind w:left="3510" w:hanging="360"/>
      </w:pPr>
      <w:rPr/>
    </w:lvl>
    <w:lvl w:ilvl="5">
      <w:start w:val="1"/>
      <w:numFmt w:val="lowerRoman"/>
      <w:lvlText w:val="%6."/>
      <w:lvlJc w:val="right"/>
      <w:pPr>
        <w:ind w:left="4230" w:hanging="180"/>
      </w:pPr>
      <w:rPr/>
    </w:lvl>
    <w:lvl w:ilvl="6">
      <w:start w:val="1"/>
      <w:numFmt w:val="decimal"/>
      <w:lvlText w:val="%7."/>
      <w:lvlJc w:val="left"/>
      <w:pPr>
        <w:ind w:left="4950" w:hanging="360"/>
      </w:pPr>
      <w:rPr/>
    </w:lvl>
    <w:lvl w:ilvl="7">
      <w:start w:val="1"/>
      <w:numFmt w:val="lowerLetter"/>
      <w:lvlText w:val="%8."/>
      <w:lvlJc w:val="left"/>
      <w:pPr>
        <w:ind w:left="5670" w:hanging="360"/>
      </w:pPr>
      <w:rPr/>
    </w:lvl>
    <w:lvl w:ilvl="8">
      <w:start w:val="1"/>
      <w:numFmt w:val="lowerRoman"/>
      <w:lvlText w:val="%9."/>
      <w:lvlJc w:val="right"/>
      <w:pPr>
        <w:ind w:left="639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284" w:hanging="284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center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pBdr>
        <w:top w:color="d21360" w:space="0" w:sz="4" w:val="single"/>
        <w:left w:color="d21360" w:space="2" w:sz="48" w:val="single"/>
        <w:bottom w:color="d21360" w:space="0" w:sz="4" w:val="single"/>
        <w:right w:color="d21360" w:space="1" w:sz="4" w:val="single"/>
      </w:pBdr>
      <w:spacing w:after="100" w:before="200" w:line="266" w:lineRule="auto"/>
      <w:ind w:left="142"/>
    </w:pPr>
    <w:rPr>
      <w:rFonts w:ascii="Calibri" w:cs="Calibri" w:eastAsia="Calibri" w:hAnsi="Calibri"/>
      <w:b w:val="1"/>
      <w:color w:val="9d0e47"/>
    </w:rPr>
  </w:style>
  <w:style w:type="paragraph" w:styleId="Heading3">
    <w:name w:val="heading 3"/>
    <w:basedOn w:val="Normal"/>
    <w:next w:val="Normal"/>
    <w:pPr>
      <w:pBdr>
        <w:left w:color="d21360" w:space="2" w:sz="48" w:val="single"/>
        <w:bottom w:color="d21360" w:space="0" w:sz="4" w:val="single"/>
      </w:pBdr>
      <w:spacing w:after="100" w:before="200" w:lineRule="auto"/>
      <w:ind w:left="144"/>
    </w:pPr>
    <w:rPr>
      <w:rFonts w:ascii="Calibri" w:cs="Calibri" w:eastAsia="Calibri" w:hAnsi="Calibri"/>
      <w:b w:val="1"/>
      <w:i w:val="1"/>
      <w:color w:val="9d0e47"/>
    </w:rPr>
  </w:style>
  <w:style w:type="paragraph" w:styleId="Heading4">
    <w:name w:val="heading 4"/>
    <w:basedOn w:val="Normal"/>
    <w:next w:val="Normal"/>
    <w:pPr>
      <w:pBdr>
        <w:left w:color="d21360" w:space="2" w:sz="4" w:val="single"/>
        <w:bottom w:color="d21360" w:space="2" w:sz="4" w:val="single"/>
      </w:pBdr>
      <w:spacing w:after="100" w:before="200" w:lineRule="auto"/>
      <w:ind w:left="86"/>
    </w:pPr>
    <w:rPr>
      <w:rFonts w:ascii="Calibri" w:cs="Calibri" w:eastAsia="Calibri" w:hAnsi="Calibri"/>
      <w:b w:val="1"/>
      <w:i w:val="1"/>
      <w:color w:val="9d0e47"/>
      <w:sz w:val="22"/>
      <w:szCs w:val="22"/>
    </w:rPr>
  </w:style>
  <w:style w:type="paragraph" w:styleId="Heading5">
    <w:name w:val="heading 5"/>
    <w:basedOn w:val="Normal"/>
    <w:next w:val="Normal"/>
    <w:pPr>
      <w:pBdr>
        <w:left w:color="d21360" w:space="2" w:sz="4" w:val="dotted"/>
        <w:bottom w:color="d21360" w:space="2" w:sz="4" w:val="dotted"/>
      </w:pBdr>
      <w:spacing w:after="100" w:before="200" w:lineRule="auto"/>
      <w:ind w:left="86"/>
    </w:pPr>
    <w:rPr>
      <w:rFonts w:ascii="Calibri" w:cs="Calibri" w:eastAsia="Calibri" w:hAnsi="Calibri"/>
      <w:b w:val="1"/>
      <w:i w:val="1"/>
      <w:color w:val="9d0e47"/>
      <w:sz w:val="22"/>
      <w:szCs w:val="22"/>
    </w:rPr>
  </w:style>
  <w:style w:type="paragraph" w:styleId="Heading6">
    <w:name w:val="heading 6"/>
    <w:basedOn w:val="Normal"/>
    <w:next w:val="Normal"/>
    <w:pPr>
      <w:pBdr>
        <w:bottom w:color="f597bd" w:space="2" w:sz="4" w:val="single"/>
      </w:pBdr>
      <w:spacing w:after="100" w:before="200" w:lineRule="auto"/>
    </w:pPr>
    <w:rPr>
      <w:rFonts w:ascii="Calibri" w:cs="Calibri" w:eastAsia="Calibri" w:hAnsi="Calibri"/>
      <w:i w:val="1"/>
      <w:color w:val="9d0e47"/>
      <w:sz w:val="22"/>
      <w:szCs w:val="22"/>
    </w:rPr>
  </w:style>
  <w:style w:type="paragraph" w:styleId="Title">
    <w:name w:val="Title"/>
    <w:basedOn w:val="Normal"/>
    <w:next w:val="Normal"/>
    <w:pPr>
      <w:pBdr>
        <w:top w:color="d21360" w:space="0" w:sz="48" w:val="single"/>
        <w:bottom w:color="d21360" w:space="0" w:sz="48" w:val="single"/>
      </w:pBdr>
      <w:shd w:fill="d21360" w:val="clear"/>
      <w:jc w:val="center"/>
    </w:pPr>
    <w:rPr>
      <w:rFonts w:ascii="Calibri" w:cs="Calibri" w:eastAsia="Calibri" w:hAnsi="Calibri"/>
      <w:b w:val="1"/>
      <w:color w:val="ffffff"/>
      <w:sz w:val="48"/>
      <w:szCs w:val="48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d21360" w:space="10" w:sz="8" w:val="dotted"/>
        <w:right w:space="0" w:sz="0" w:val="nil"/>
        <w:between w:space="0" w:sz="0" w:val="nil"/>
      </w:pBdr>
      <w:shd w:fill="auto" w:val="clear"/>
      <w:spacing w:after="360" w:before="200" w:line="240" w:lineRule="auto"/>
      <w:ind w:left="0" w:right="0" w:firstLine="0"/>
      <w:jc w:val="center"/>
    </w:pPr>
    <w:rPr>
      <w:rFonts w:ascii="Calibri" w:cs="Calibri" w:eastAsia="Calibri" w:hAnsi="Calibri"/>
      <w:b w:val="1"/>
      <w:i w:val="0"/>
      <w:smallCaps w:val="0"/>
      <w:strike w:val="0"/>
      <w:color w:val="68092f"/>
      <w:sz w:val="32"/>
      <w:szCs w:val="32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info@julesajim.cz" TargetMode="External"/><Relationship Id="rId2" Type="http://schemas.openxmlformats.org/officeDocument/2006/relationships/hyperlink" Target="http://www.julesajim.cz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