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383E0" w14:textId="2F3BBCBA" w:rsidR="00367F2B" w:rsidRPr="004F4681" w:rsidRDefault="001E712E" w:rsidP="004F4681">
      <w:pPr>
        <w:pStyle w:val="cpNzevsmlouvy"/>
        <w:spacing w:after="240"/>
      </w:pPr>
      <w:r w:rsidRPr="004F4681">
        <w:t xml:space="preserve">Dodatek č. </w:t>
      </w:r>
      <w:r w:rsidR="0019723C">
        <w:t>10</w:t>
      </w:r>
      <w:r w:rsidRPr="004F4681">
        <w:t xml:space="preserve"> k</w:t>
      </w:r>
      <w:r w:rsidR="00AE18F2">
        <w:t xml:space="preserve"> </w:t>
      </w:r>
      <w:r w:rsidRPr="004F4681">
        <w:t xml:space="preserve">Dohodě </w:t>
      </w:r>
      <w:r w:rsidR="00AE18F2">
        <w:t>o bezhotovostní úhradě cen poštovních služeb</w:t>
      </w:r>
      <w:r w:rsidR="001C2D26" w:rsidRPr="004F4681">
        <w:t xml:space="preserve"> </w:t>
      </w:r>
      <w:r w:rsidR="001C2D26" w:rsidRPr="004F4681">
        <w:br/>
      </w:r>
      <w:r w:rsidR="00367F2B" w:rsidRPr="004F4681">
        <w:t xml:space="preserve">Číslo </w:t>
      </w:r>
      <w:r w:rsidR="00DC6B78">
        <w:t>982707-1071/2009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367F2B" w:rsidRPr="001C2D26" w14:paraId="438EAD56" w14:textId="77777777" w:rsidTr="003C5BF8">
        <w:tc>
          <w:tcPr>
            <w:tcW w:w="3528" w:type="dxa"/>
          </w:tcPr>
          <w:p w14:paraId="6FC7079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14:paraId="417BC05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367F2B" w:rsidRPr="001C2D26" w14:paraId="59F6D797" w14:textId="77777777" w:rsidTr="003C5BF8">
        <w:tc>
          <w:tcPr>
            <w:tcW w:w="3528" w:type="dxa"/>
          </w:tcPr>
          <w:p w14:paraId="539C8D04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14:paraId="37DAA4F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367F2B" w:rsidRPr="001C2D26" w14:paraId="627AB2EA" w14:textId="77777777" w:rsidTr="003C5BF8">
        <w:tc>
          <w:tcPr>
            <w:tcW w:w="3528" w:type="dxa"/>
          </w:tcPr>
          <w:p w14:paraId="6DB9A979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6A77D33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367F2B" w:rsidRPr="001C2D26" w14:paraId="5D23E280" w14:textId="77777777" w:rsidTr="003C5BF8">
        <w:tc>
          <w:tcPr>
            <w:tcW w:w="3528" w:type="dxa"/>
          </w:tcPr>
          <w:p w14:paraId="182EAD5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14:paraId="51BD103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367F2B" w:rsidRPr="001C2D26" w14:paraId="34E8944E" w14:textId="77777777" w:rsidTr="003C5BF8">
        <w:tc>
          <w:tcPr>
            <w:tcW w:w="3528" w:type="dxa"/>
          </w:tcPr>
          <w:p w14:paraId="44B51E25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73523C84" w14:textId="4EBCA2B4" w:rsidR="00367F2B" w:rsidRPr="001C2D26" w:rsidRDefault="008F15ED" w:rsidP="004B146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8F15ED">
              <w:t>Bc. Pavel Krejčík, DiS., manažer specializovaného útvaru, specializovaný útvar vnitrostátní obchod</w:t>
            </w:r>
          </w:p>
        </w:tc>
      </w:tr>
      <w:tr w:rsidR="00367F2B" w:rsidRPr="001C2D26" w14:paraId="044E6AAE" w14:textId="77777777" w:rsidTr="003C5BF8">
        <w:tc>
          <w:tcPr>
            <w:tcW w:w="3528" w:type="dxa"/>
          </w:tcPr>
          <w:p w14:paraId="598E5405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14:paraId="443A1BEF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367F2B" w:rsidRPr="001C2D26" w14:paraId="6641C35D" w14:textId="77777777" w:rsidTr="003C5BF8">
        <w:tc>
          <w:tcPr>
            <w:tcW w:w="3528" w:type="dxa"/>
          </w:tcPr>
          <w:p w14:paraId="4F5F5A4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1817DB3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367F2B" w:rsidRPr="001C2D26" w14:paraId="5F72EAF4" w14:textId="77777777" w:rsidTr="003C5BF8">
        <w:tc>
          <w:tcPr>
            <w:tcW w:w="3528" w:type="dxa"/>
          </w:tcPr>
          <w:p w14:paraId="03F0C6B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47032A19" w14:textId="77777777" w:rsidR="00367F2B" w:rsidRPr="001C2D26" w:rsidRDefault="00AE18F2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AE18F2">
              <w:t>133406370</w:t>
            </w:r>
            <w:r w:rsidR="003D3E09">
              <w:t>/</w:t>
            </w:r>
            <w:r w:rsidRPr="00AE18F2">
              <w:t>0300</w:t>
            </w:r>
          </w:p>
        </w:tc>
      </w:tr>
      <w:tr w:rsidR="00367F2B" w:rsidRPr="001C2D26" w14:paraId="41220656" w14:textId="77777777" w:rsidTr="003C5BF8">
        <w:tc>
          <w:tcPr>
            <w:tcW w:w="3528" w:type="dxa"/>
          </w:tcPr>
          <w:p w14:paraId="56AC85B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339330C6" w14:textId="4EE10DCC" w:rsidR="00AE18F2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Česká pošta, s.p.</w:t>
            </w:r>
            <w:r w:rsidR="00CC55D9">
              <w:t>, útvar</w:t>
            </w:r>
            <w:r w:rsidR="008F15ED" w:rsidRPr="008F15ED">
              <w:t xml:space="preserve"> VOBCH </w:t>
            </w:r>
            <w:r>
              <w:t xml:space="preserve">, Poštovní přihrádka 99, </w:t>
            </w:r>
          </w:p>
          <w:p w14:paraId="30C2ED9A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225 99 Praha 025</w:t>
            </w:r>
          </w:p>
        </w:tc>
      </w:tr>
      <w:tr w:rsidR="00367F2B" w:rsidRPr="001C2D26" w14:paraId="21058450" w14:textId="77777777" w:rsidTr="003C5BF8">
        <w:tc>
          <w:tcPr>
            <w:tcW w:w="3528" w:type="dxa"/>
          </w:tcPr>
          <w:p w14:paraId="5159DF77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14:paraId="7FDECA58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367F2B" w:rsidRPr="001C2D26" w14:paraId="5A2654E1" w14:textId="77777777" w:rsidTr="003C5BF8">
        <w:tc>
          <w:tcPr>
            <w:tcW w:w="3528" w:type="dxa"/>
          </w:tcPr>
          <w:p w14:paraId="6BB1ABBB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14:paraId="1A160764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CZ62 0300 0000 0001 3340 6370</w:t>
            </w:r>
          </w:p>
        </w:tc>
      </w:tr>
      <w:tr w:rsidR="00367F2B" w:rsidRPr="001C2D26" w14:paraId="12645830" w14:textId="77777777" w:rsidTr="003C5BF8">
        <w:tc>
          <w:tcPr>
            <w:tcW w:w="3528" w:type="dxa"/>
          </w:tcPr>
          <w:p w14:paraId="0B93158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14:paraId="24ACC092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14:paraId="2E97F74A" w14:textId="77777777" w:rsidR="00367F2B" w:rsidRPr="001C2D26" w:rsidRDefault="00367F2B" w:rsidP="001C2D26"/>
    <w:p w14:paraId="16F6A129" w14:textId="77777777" w:rsidR="00367F2B" w:rsidRPr="001C2D26" w:rsidRDefault="00367F2B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AE18F2" w:rsidRPr="001C2D26" w14:paraId="7987A38B" w14:textId="77777777" w:rsidTr="00E03343">
        <w:tc>
          <w:tcPr>
            <w:tcW w:w="9851" w:type="dxa"/>
            <w:gridSpan w:val="2"/>
          </w:tcPr>
          <w:p w14:paraId="0E915C1E" w14:textId="4EABACCE" w:rsidR="00AE18F2" w:rsidRPr="001C2D26" w:rsidRDefault="00030B45" w:rsidP="006E0674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 xml:space="preserve">Česká </w:t>
            </w:r>
            <w:r w:rsidR="00CC55D9">
              <w:rPr>
                <w:b/>
              </w:rPr>
              <w:t>republika – Krajské</w:t>
            </w:r>
            <w:r>
              <w:rPr>
                <w:b/>
              </w:rPr>
              <w:t xml:space="preserve"> ředitelství policie </w:t>
            </w:r>
            <w:r w:rsidR="006E0674">
              <w:rPr>
                <w:b/>
              </w:rPr>
              <w:t>Olomouckého kraje</w:t>
            </w:r>
          </w:p>
        </w:tc>
      </w:tr>
      <w:tr w:rsidR="00367F2B" w:rsidRPr="001C2D26" w14:paraId="1642D157" w14:textId="77777777" w:rsidTr="003C5BF8">
        <w:tc>
          <w:tcPr>
            <w:tcW w:w="3528" w:type="dxa"/>
          </w:tcPr>
          <w:p w14:paraId="6399F19F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sídlem:</w:t>
            </w:r>
          </w:p>
        </w:tc>
        <w:tc>
          <w:tcPr>
            <w:tcW w:w="6323" w:type="dxa"/>
          </w:tcPr>
          <w:p w14:paraId="23D750C8" w14:textId="77777777" w:rsidR="00367F2B" w:rsidRPr="001C2D26" w:rsidRDefault="006E0674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tř. Kosmonautů 189/10, 779 00 Olomouc</w:t>
            </w:r>
          </w:p>
        </w:tc>
      </w:tr>
      <w:tr w:rsidR="00367F2B" w:rsidRPr="001C2D26" w14:paraId="35D821A6" w14:textId="77777777" w:rsidTr="003C5BF8">
        <w:tc>
          <w:tcPr>
            <w:tcW w:w="3528" w:type="dxa"/>
          </w:tcPr>
          <w:p w14:paraId="1C65B16D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 w:rsidR="00B75D17"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14:paraId="04546CA1" w14:textId="77777777" w:rsidR="00367F2B" w:rsidRPr="001C2D26" w:rsidRDefault="006E067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72051795</w:t>
            </w:r>
          </w:p>
        </w:tc>
      </w:tr>
      <w:tr w:rsidR="00367F2B" w:rsidRPr="001C2D26" w14:paraId="76CD7346" w14:textId="77777777" w:rsidTr="003C5BF8">
        <w:tc>
          <w:tcPr>
            <w:tcW w:w="3528" w:type="dxa"/>
          </w:tcPr>
          <w:p w14:paraId="3F8FA9E2" w14:textId="77777777" w:rsidR="00367F2B" w:rsidRPr="001C2D26" w:rsidRDefault="00367F2B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14:paraId="05750F02" w14:textId="01061AA7" w:rsidR="00367F2B" w:rsidRPr="001C2D26" w:rsidRDefault="000423F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brig. gen</w:t>
            </w:r>
            <w:r w:rsidR="009B7110">
              <w:t>. Mgr. Tomáš Landsfeld, ředitel</w:t>
            </w:r>
          </w:p>
        </w:tc>
      </w:tr>
      <w:tr w:rsidR="00367F2B" w:rsidRPr="001C2D26" w14:paraId="115C4BB1" w14:textId="77777777" w:rsidTr="003C5BF8">
        <w:tc>
          <w:tcPr>
            <w:tcW w:w="3528" w:type="dxa"/>
          </w:tcPr>
          <w:p w14:paraId="42CC436F" w14:textId="77777777" w:rsidR="00367F2B" w:rsidRPr="001C2D26" w:rsidRDefault="00367F2B" w:rsidP="00AE18F2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</w:t>
            </w:r>
          </w:p>
        </w:tc>
        <w:tc>
          <w:tcPr>
            <w:tcW w:w="6323" w:type="dxa"/>
          </w:tcPr>
          <w:p w14:paraId="3143CEAB" w14:textId="77777777" w:rsidR="00367F2B" w:rsidRPr="001C2D26" w:rsidRDefault="00AE18F2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Registru ekonomických subjektů</w:t>
            </w:r>
          </w:p>
        </w:tc>
      </w:tr>
      <w:tr w:rsidR="00367F2B" w:rsidRPr="001C2D26" w14:paraId="7F371FD8" w14:textId="77777777" w:rsidTr="003C5BF8">
        <w:tc>
          <w:tcPr>
            <w:tcW w:w="3528" w:type="dxa"/>
          </w:tcPr>
          <w:p w14:paraId="1CD0896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14:paraId="07345F42" w14:textId="77777777" w:rsidR="00367F2B" w:rsidRPr="001C2D26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ČNB</w:t>
            </w:r>
          </w:p>
        </w:tc>
      </w:tr>
      <w:tr w:rsidR="00367F2B" w:rsidRPr="001C2D26" w14:paraId="0A03AE36" w14:textId="77777777" w:rsidTr="003C5BF8">
        <w:tc>
          <w:tcPr>
            <w:tcW w:w="3528" w:type="dxa"/>
          </w:tcPr>
          <w:p w14:paraId="00CD9C81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14:paraId="6AF9BE3A" w14:textId="77777777" w:rsidR="00367F2B" w:rsidRPr="001C2D26" w:rsidRDefault="006E067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20931881</w:t>
            </w:r>
            <w:r w:rsidR="00030B45">
              <w:t>/0710</w:t>
            </w:r>
          </w:p>
        </w:tc>
      </w:tr>
      <w:tr w:rsidR="00367F2B" w:rsidRPr="001C2D26" w14:paraId="41BC8C80" w14:textId="77777777" w:rsidTr="003C5BF8">
        <w:tc>
          <w:tcPr>
            <w:tcW w:w="3528" w:type="dxa"/>
          </w:tcPr>
          <w:p w14:paraId="4A3F054A" w14:textId="77777777" w:rsidR="00367F2B" w:rsidRPr="001C2D26" w:rsidRDefault="00367F2B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14:paraId="6EBAC025" w14:textId="77777777" w:rsidR="00030B45" w:rsidRDefault="00030B45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ČR – Krajské ředitelství policie </w:t>
            </w:r>
            <w:r w:rsidR="006E0674">
              <w:t>Olomouckého kraje</w:t>
            </w:r>
            <w:r>
              <w:t xml:space="preserve">,  </w:t>
            </w:r>
          </w:p>
          <w:p w14:paraId="0D6A4A99" w14:textId="77777777" w:rsidR="00367F2B" w:rsidRPr="001C2D26" w:rsidRDefault="006E0674" w:rsidP="00B12D6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tř. Kosmonautů 189/10, 779 00 Olomouc</w:t>
            </w:r>
          </w:p>
        </w:tc>
      </w:tr>
      <w:tr w:rsidR="00367F2B" w:rsidRPr="001C2D26" w14:paraId="3E2BFC84" w14:textId="77777777" w:rsidTr="003C5BF8">
        <w:tc>
          <w:tcPr>
            <w:tcW w:w="3528" w:type="dxa"/>
          </w:tcPr>
          <w:p w14:paraId="7966D7D3" w14:textId="77777777" w:rsidR="00367F2B" w:rsidRPr="001C2D26" w:rsidRDefault="00400629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přidělené ID složky CČK</w:t>
            </w:r>
            <w:r w:rsidR="00367F2B" w:rsidRPr="001C2D26">
              <w:t>:</w:t>
            </w:r>
          </w:p>
        </w:tc>
        <w:tc>
          <w:tcPr>
            <w:tcW w:w="6323" w:type="dxa"/>
          </w:tcPr>
          <w:p w14:paraId="7972A4DF" w14:textId="7C39C9A6" w:rsidR="00367F2B" w:rsidRPr="001C2D26" w:rsidRDefault="00502FE1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XXX</w:t>
            </w:r>
          </w:p>
        </w:tc>
      </w:tr>
      <w:tr w:rsidR="001C2D26" w:rsidRPr="001C2D26" w14:paraId="524C5244" w14:textId="77777777" w:rsidTr="001C2D26">
        <w:tc>
          <w:tcPr>
            <w:tcW w:w="9851" w:type="dxa"/>
            <w:gridSpan w:val="2"/>
          </w:tcPr>
          <w:p w14:paraId="38833762" w14:textId="77777777" w:rsidR="00F50512" w:rsidRDefault="00F50512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14:paraId="1CF085DE" w14:textId="77777777" w:rsidR="001C2D26" w:rsidRPr="001C2D26" w:rsidRDefault="001C2D26" w:rsidP="00AE18F2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"Uživatel</w:t>
            </w:r>
            <w:r w:rsidR="00AE18F2">
              <w:t>"</w:t>
            </w:r>
          </w:p>
        </w:tc>
      </w:tr>
    </w:tbl>
    <w:p w14:paraId="54FCD285" w14:textId="77777777" w:rsidR="00367F2B" w:rsidRPr="001C2D26" w:rsidRDefault="00367F2B" w:rsidP="001C2D26">
      <w:pPr>
        <w:spacing w:after="480"/>
      </w:pPr>
    </w:p>
    <w:p w14:paraId="02250DAA" w14:textId="77777777" w:rsidR="001E712E" w:rsidRPr="001C2D26" w:rsidRDefault="001E712E" w:rsidP="001C2D26">
      <w:pPr>
        <w:pStyle w:val="cpTabulkasmluvnistrany"/>
        <w:framePr w:hSpace="0" w:wrap="auto" w:vAnchor="margin" w:hAnchor="text" w:yAlign="inline"/>
        <w:jc w:val="both"/>
      </w:pPr>
    </w:p>
    <w:p w14:paraId="6289E1F6" w14:textId="77777777" w:rsidR="001E712E" w:rsidRPr="00A05A24" w:rsidRDefault="001C2D26" w:rsidP="001C2D26">
      <w:pPr>
        <w:pStyle w:val="cplnekslovan"/>
      </w:pPr>
      <w:r w:rsidRPr="00A05A24">
        <w:t>Ujednání</w:t>
      </w:r>
    </w:p>
    <w:p w14:paraId="5EAE84D7" w14:textId="77777777" w:rsidR="001E712E" w:rsidRPr="00B27BC8" w:rsidRDefault="001E712E" w:rsidP="001C2D26">
      <w:pPr>
        <w:pStyle w:val="cpodstavecslovan1"/>
      </w:pPr>
      <w:r w:rsidRPr="00B27BC8">
        <w:t xml:space="preserve">Strany Dohody se dohodly na změně obsahu Dohody </w:t>
      </w:r>
      <w:r w:rsidR="00B9023F">
        <w:rPr>
          <w:rStyle w:val="P-HEAD-WBULLETSChar"/>
          <w:rFonts w:ascii="Times New Roman" w:hAnsi="Times New Roman"/>
        </w:rPr>
        <w:t>o bezhotovostní úhradě cen poštovních služeb</w:t>
      </w:r>
      <w:r w:rsidRPr="00B27BC8">
        <w:t xml:space="preserve">, č. </w:t>
      </w:r>
      <w:r w:rsidR="006E0674">
        <w:rPr>
          <w:rStyle w:val="P-HEAD-WBULLETSChar"/>
          <w:rFonts w:ascii="Times New Roman" w:hAnsi="Times New Roman"/>
        </w:rPr>
        <w:t>982707-1071/2009</w:t>
      </w:r>
      <w:r w:rsidRPr="00B27BC8">
        <w:t xml:space="preserve"> ze dne </w:t>
      </w:r>
      <w:r w:rsidR="006E0674">
        <w:rPr>
          <w:rStyle w:val="P-HEAD-WBULLETSChar"/>
          <w:rFonts w:ascii="Times New Roman" w:hAnsi="Times New Roman"/>
        </w:rPr>
        <w:t>29.12.2009</w:t>
      </w:r>
      <w:r w:rsidRPr="00B27BC8">
        <w:rPr>
          <w:b/>
          <w:bCs/>
        </w:rPr>
        <w:t xml:space="preserve"> </w:t>
      </w:r>
      <w:r w:rsidR="00B74EF5">
        <w:rPr>
          <w:rStyle w:val="P-HEAD-WBULLETSChar"/>
          <w:rFonts w:ascii="Times New Roman" w:hAnsi="Times New Roman"/>
        </w:rPr>
        <w:t>(</w:t>
      </w:r>
      <w:r w:rsidRPr="00B27BC8">
        <w:rPr>
          <w:bCs/>
        </w:rPr>
        <w:t>dále jen „Dohoda“</w:t>
      </w:r>
      <w:r w:rsidRPr="00B27BC8">
        <w:t>), a to následujícím způsobem:</w:t>
      </w:r>
    </w:p>
    <w:p w14:paraId="682B2137" w14:textId="77777777" w:rsidR="001F4AE2" w:rsidRDefault="001F4AE2" w:rsidP="001F4AE2">
      <w:pPr>
        <w:pStyle w:val="cpodstavecslovan1"/>
      </w:pPr>
      <w:r>
        <w:lastRenderedPageBreak/>
        <w:t xml:space="preserve">Strany Dohody se dohodly na úplném nahrazení stávajícího ustanovení Čl. </w:t>
      </w:r>
      <w:r w:rsidR="006E0674">
        <w:t xml:space="preserve">V. Závěrečná ustanovení, bod </w:t>
      </w:r>
      <w:r>
        <w:t>1, následujícím textem:</w:t>
      </w:r>
    </w:p>
    <w:p w14:paraId="59A63783" w14:textId="3DCCBBA9" w:rsidR="001F4AE2" w:rsidRDefault="001F4AE2" w:rsidP="001F4AE2">
      <w:pPr>
        <w:pStyle w:val="cpodstavecslovan1"/>
        <w:numPr>
          <w:ilvl w:val="0"/>
          <w:numId w:val="0"/>
        </w:numPr>
        <w:ind w:left="624"/>
      </w:pPr>
      <w:r>
        <w:t>1</w:t>
      </w:r>
      <w:r w:rsidR="006E0674">
        <w:t>.</w:t>
      </w:r>
      <w:r>
        <w:t xml:space="preserve"> Tato Dohoda se uzavírá na dobu </w:t>
      </w:r>
      <w:r w:rsidRPr="008C49E7">
        <w:t>určitou</w:t>
      </w:r>
      <w:r w:rsidR="00B2132C">
        <w:t xml:space="preserve"> a to do 31.12.202</w:t>
      </w:r>
      <w:r w:rsidR="008F15ED">
        <w:t>7</w:t>
      </w:r>
      <w:r>
        <w:t xml:space="preserve">. Každá ze Stran Dohody může Dohodu vypovědět i bez udání důvodů s tím, že výpovědní doba 1 měsíc začne běžet dnem následujícím po doručení výpovědi druhé Straně Dohody. Výpověď musí být učiněna písemně. </w:t>
      </w:r>
      <w:r w:rsidRPr="00257903">
        <w:t>Pokud Uživatel</w:t>
      </w:r>
      <w:r w:rsidRPr="0075389B">
        <w:t xml:space="preserve"> písemně odmítne změnu </w:t>
      </w:r>
      <w:r w:rsidRPr="008D4AEA">
        <w:t>Ceníku</w:t>
      </w:r>
      <w:r w:rsidRPr="00257903">
        <w:t xml:space="preserve">, současně s tímto oznámením o odmítnutí navrhovaných změn vypovídá tuto Dohodu. Výpovědní doba počíná běžet dnem doručení výpovědi </w:t>
      </w:r>
      <w:r>
        <w:t>ČP</w:t>
      </w:r>
      <w:r w:rsidRPr="00257903">
        <w:t xml:space="preserve">, přičemž skončí ke dni účinnosti změny </w:t>
      </w:r>
      <w:r w:rsidRPr="008D4AEA">
        <w:t>Ceníku</w:t>
      </w:r>
      <w:r w:rsidRPr="00257903">
        <w:t xml:space="preserve">. Výpověď musí být doručena </w:t>
      </w:r>
      <w:r>
        <w:t>ČP</w:t>
      </w:r>
      <w:r w:rsidRPr="008D4AEA">
        <w:t xml:space="preserve"> </w:t>
      </w:r>
      <w:r w:rsidRPr="00257903">
        <w:t xml:space="preserve">přede dnem, kdy má změna nabýt účinnosti. Výpověď a oznámení o odmítnutí změn </w:t>
      </w:r>
      <w:r w:rsidRPr="008D4AEA">
        <w:t>Ceníku</w:t>
      </w:r>
      <w:r w:rsidRPr="00257903">
        <w:t xml:space="preserve"> učiněné Uživatelem musí mít písemnou formu</w:t>
      </w:r>
      <w:r>
        <w:t>.</w:t>
      </w:r>
    </w:p>
    <w:p w14:paraId="58AC7215" w14:textId="77777777" w:rsidR="006E0674" w:rsidRPr="00444467" w:rsidRDefault="006E0674" w:rsidP="00D80DE6">
      <w:pPr>
        <w:keepNext/>
        <w:numPr>
          <w:ilvl w:val="0"/>
          <w:numId w:val="36"/>
        </w:numPr>
        <w:spacing w:before="480" w:after="120"/>
        <w:jc w:val="center"/>
        <w:outlineLvl w:val="0"/>
      </w:pPr>
      <w:r>
        <w:rPr>
          <w:b/>
          <w:sz w:val="24"/>
        </w:rPr>
        <w:t>Závěrečná ustanovení</w:t>
      </w:r>
    </w:p>
    <w:p w14:paraId="6AA17322" w14:textId="77777777" w:rsidR="006E0674" w:rsidRPr="00444467" w:rsidRDefault="006E0674" w:rsidP="006E0674">
      <w:pPr>
        <w:numPr>
          <w:ilvl w:val="1"/>
          <w:numId w:val="36"/>
        </w:numPr>
        <w:spacing w:after="120"/>
        <w:ind w:left="624" w:hanging="624"/>
      </w:pPr>
      <w:r>
        <w:t>Ostatní ujednání Dohody se nemění a zůstávají nadále v platnosti.</w:t>
      </w:r>
    </w:p>
    <w:p w14:paraId="41223CB3" w14:textId="46536A81" w:rsidR="008F15ED" w:rsidRPr="008F15ED" w:rsidRDefault="008F15ED" w:rsidP="00D80DE6">
      <w:pPr>
        <w:numPr>
          <w:ilvl w:val="1"/>
          <w:numId w:val="36"/>
        </w:numPr>
        <w:spacing w:after="120"/>
        <w:ind w:left="624" w:hanging="624"/>
      </w:pPr>
      <w:r w:rsidRPr="008F15ED">
        <w:t xml:space="preserve">Dodatek č. </w:t>
      </w:r>
      <w:r>
        <w:t>10</w:t>
      </w:r>
      <w:r w:rsidRPr="008F15ED">
        <w:t xml:space="preserve"> je uzavřen dnem jeho podpisu oběma stranami Dohody a účinný dnem uveřejnění v registru smluv.</w:t>
      </w:r>
    </w:p>
    <w:p w14:paraId="597F8108" w14:textId="721E6AB3" w:rsidR="008F15ED" w:rsidRPr="008F15ED" w:rsidRDefault="008F15ED" w:rsidP="00D80DE6">
      <w:pPr>
        <w:numPr>
          <w:ilvl w:val="1"/>
          <w:numId w:val="36"/>
        </w:numPr>
        <w:spacing w:after="120"/>
        <w:ind w:left="624" w:hanging="624"/>
      </w:pPr>
      <w:r w:rsidRPr="008F15ED">
        <w:t xml:space="preserve">Dodatek č. </w:t>
      </w:r>
      <w:r>
        <w:t>10</w:t>
      </w:r>
      <w:r w:rsidRPr="008F15ED">
        <w:t xml:space="preserve"> je podepsán vlastnoručně nebo elektronicky. Je-li Dodatek podepsán vlastnoručně, je vyhotoven ve dvou (2) stejnopisech, z nichž každý bude považován za prvopis; každá strana Dohody obdrží jeden (1) stejnopis Dodatku. Je-li Dodatek podepsán elektronicky, je podepsán pomocí kvalifikovaného elektronického podpisu.</w:t>
      </w:r>
    </w:p>
    <w:p w14:paraId="21973845" w14:textId="77777777" w:rsidR="00400629" w:rsidRDefault="00400629" w:rsidP="00400629">
      <w:pPr>
        <w:pStyle w:val="cpodstavecslovan1"/>
        <w:numPr>
          <w:ilvl w:val="0"/>
          <w:numId w:val="0"/>
        </w:numPr>
        <w:tabs>
          <w:tab w:val="left" w:pos="708"/>
        </w:tabs>
        <w:ind w:left="624"/>
      </w:pPr>
    </w:p>
    <w:p w14:paraId="41567008" w14:textId="77777777" w:rsidR="001E712E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2C14A8E4" w14:textId="77777777" w:rsidR="00FC69AA" w:rsidRPr="001C2D26" w:rsidRDefault="00FC69AA" w:rsidP="001C2D26">
      <w:pPr>
        <w:pStyle w:val="P-NORMAL-TEXT"/>
        <w:jc w:val="both"/>
        <w:rPr>
          <w:rFonts w:ascii="Times New Roman" w:hAnsi="Times New Roman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25"/>
        <w:gridCol w:w="4813"/>
      </w:tblGrid>
      <w:tr w:rsidR="001C2D26" w:rsidRPr="002E4508" w14:paraId="01781D9A" w14:textId="77777777" w:rsidTr="001C2D26">
        <w:trPr>
          <w:trHeight w:val="709"/>
        </w:trPr>
        <w:tc>
          <w:tcPr>
            <w:tcW w:w="4889" w:type="dxa"/>
          </w:tcPr>
          <w:p w14:paraId="2F9FFF55" w14:textId="77777777" w:rsidR="001C2D26" w:rsidRDefault="001C2D26" w:rsidP="00851290">
            <w:pPr>
              <w:pStyle w:val="cpodstavecslovan1"/>
              <w:numPr>
                <w:ilvl w:val="0"/>
                <w:numId w:val="0"/>
              </w:numPr>
            </w:pPr>
            <w:r>
              <w:t xml:space="preserve">V </w:t>
            </w:r>
            <w:r w:rsidR="00FC69AA">
              <w:t>Praze</w:t>
            </w:r>
            <w:r>
              <w:t xml:space="preserve"> dne </w:t>
            </w:r>
          </w:p>
        </w:tc>
        <w:tc>
          <w:tcPr>
            <w:tcW w:w="4889" w:type="dxa"/>
          </w:tcPr>
          <w:p w14:paraId="281324D1" w14:textId="49EFCF14" w:rsidR="001C2D26" w:rsidRDefault="001C2D26" w:rsidP="004B1466">
            <w:pPr>
              <w:pStyle w:val="cpodstavecslovan1"/>
              <w:numPr>
                <w:ilvl w:val="0"/>
                <w:numId w:val="0"/>
              </w:numPr>
            </w:pPr>
            <w:r>
              <w:t>V</w:t>
            </w:r>
            <w:r w:rsidR="008F15ED">
              <w:t xml:space="preserve"> Olomouci</w:t>
            </w:r>
            <w:r>
              <w:t xml:space="preserve"> dne </w:t>
            </w:r>
          </w:p>
        </w:tc>
      </w:tr>
      <w:tr w:rsidR="001C2D26" w:rsidRPr="002E4508" w14:paraId="7235DD2C" w14:textId="77777777" w:rsidTr="001C2D26">
        <w:trPr>
          <w:trHeight w:val="703"/>
        </w:trPr>
        <w:tc>
          <w:tcPr>
            <w:tcW w:w="4889" w:type="dxa"/>
          </w:tcPr>
          <w:p w14:paraId="78144ED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>
              <w:t>za ČP:</w:t>
            </w:r>
          </w:p>
        </w:tc>
        <w:tc>
          <w:tcPr>
            <w:tcW w:w="4889" w:type="dxa"/>
          </w:tcPr>
          <w:p w14:paraId="3E21B3A0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  <w:r w:rsidRPr="001C2D26">
              <w:t xml:space="preserve">za </w:t>
            </w:r>
            <w:r w:rsidR="00FC69AA">
              <w:t>Uživatele</w:t>
            </w:r>
            <w:r w:rsidR="004B1466">
              <w:t>:</w:t>
            </w:r>
          </w:p>
          <w:p w14:paraId="2DF4C995" w14:textId="77777777" w:rsidR="00FC69AA" w:rsidRDefault="00FC69AA" w:rsidP="00FC69AA">
            <w:pPr>
              <w:pStyle w:val="cpodstavecslovan1"/>
              <w:numPr>
                <w:ilvl w:val="0"/>
                <w:numId w:val="0"/>
              </w:numPr>
            </w:pPr>
          </w:p>
          <w:p w14:paraId="22E62568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32E3A682" w14:textId="77777777" w:rsidTr="001C2D26">
        <w:trPr>
          <w:trHeight w:val="583"/>
        </w:trPr>
        <w:tc>
          <w:tcPr>
            <w:tcW w:w="4889" w:type="dxa"/>
          </w:tcPr>
          <w:p w14:paraId="1772CB63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9F145BF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89" w:type="dxa"/>
          </w:tcPr>
          <w:p w14:paraId="280D6D61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14:paraId="2629F689" w14:textId="77777777" w:rsidR="001C2D26" w:rsidRDefault="001C2D26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1C2D26" w:rsidRPr="002E4508" w14:paraId="55215AC5" w14:textId="77777777" w:rsidTr="001C2D26">
        <w:tc>
          <w:tcPr>
            <w:tcW w:w="4889" w:type="dxa"/>
          </w:tcPr>
          <w:p w14:paraId="601A63C7" w14:textId="20B769AD" w:rsidR="008F15ED" w:rsidRDefault="008F15ED" w:rsidP="008F15ED">
            <w:pPr>
              <w:pStyle w:val="cpodstavecslovan1"/>
              <w:numPr>
                <w:ilvl w:val="0"/>
                <w:numId w:val="0"/>
              </w:numPr>
              <w:ind w:left="624"/>
              <w:jc w:val="center"/>
            </w:pPr>
            <w:r>
              <w:t>Bc. Pavel Krejčík, DiS</w:t>
            </w:r>
          </w:p>
          <w:p w14:paraId="225B98FD" w14:textId="6F72C333" w:rsidR="001C2D26" w:rsidRDefault="008F15ED" w:rsidP="008F15ED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manažer specializovaného útvaru, specializovaný útvar vnitrostátní obchod</w:t>
            </w:r>
          </w:p>
        </w:tc>
        <w:tc>
          <w:tcPr>
            <w:tcW w:w="4889" w:type="dxa"/>
          </w:tcPr>
          <w:p w14:paraId="2F08E5B9" w14:textId="6464477C" w:rsidR="009B7110" w:rsidRDefault="000423FE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brig. gen</w:t>
            </w:r>
            <w:r w:rsidR="009B7110">
              <w:t>. Mgr. Tomáš Landsfeld</w:t>
            </w:r>
          </w:p>
          <w:p w14:paraId="0361AC73" w14:textId="77777777" w:rsidR="001C2D26" w:rsidRDefault="001F4AE2" w:rsidP="00FC69AA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t>ředitel</w:t>
            </w:r>
          </w:p>
        </w:tc>
      </w:tr>
    </w:tbl>
    <w:p w14:paraId="7BA40ABC" w14:textId="77777777" w:rsidR="001E712E" w:rsidRPr="001C2D26" w:rsidRDefault="001E712E" w:rsidP="001C2D26">
      <w:pPr>
        <w:pStyle w:val="P-NORMAL-TEXT"/>
        <w:jc w:val="both"/>
        <w:rPr>
          <w:rFonts w:ascii="Times New Roman" w:hAnsi="Times New Roman"/>
        </w:rPr>
      </w:pPr>
    </w:p>
    <w:p w14:paraId="5F3CBFF6" w14:textId="77777777" w:rsidR="001C2D26" w:rsidRPr="008610AA" w:rsidRDefault="001C2D26" w:rsidP="004F4681">
      <w:pPr>
        <w:ind w:left="705" w:hanging="705"/>
        <w:rPr>
          <w:b/>
        </w:rPr>
      </w:pPr>
    </w:p>
    <w:sectPr w:rsidR="001C2D26" w:rsidRPr="008610AA" w:rsidSect="003C5BF8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4A305" w14:textId="77777777" w:rsidR="004712AE" w:rsidRDefault="004712AE" w:rsidP="00BB2C84">
      <w:pPr>
        <w:spacing w:after="0" w:line="240" w:lineRule="auto"/>
      </w:pPr>
      <w:r>
        <w:separator/>
      </w:r>
    </w:p>
  </w:endnote>
  <w:endnote w:type="continuationSeparator" w:id="0">
    <w:p w14:paraId="5AFCB71C" w14:textId="77777777" w:rsidR="004712AE" w:rsidRDefault="004712AE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A4369" w14:textId="52F8052F" w:rsidR="001C2D26" w:rsidRPr="00160A6D" w:rsidRDefault="001C2D26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10129E" w:rsidRPr="00160A6D">
      <w:rPr>
        <w:sz w:val="18"/>
        <w:szCs w:val="18"/>
      </w:rPr>
      <w:fldChar w:fldCharType="separate"/>
    </w:r>
    <w:r w:rsidR="000423FE">
      <w:rPr>
        <w:noProof/>
        <w:sz w:val="18"/>
        <w:szCs w:val="18"/>
      </w:rPr>
      <w:t>1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10129E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10129E" w:rsidRPr="00160A6D">
      <w:rPr>
        <w:sz w:val="18"/>
        <w:szCs w:val="18"/>
      </w:rPr>
      <w:fldChar w:fldCharType="separate"/>
    </w:r>
    <w:r w:rsidR="000423FE">
      <w:rPr>
        <w:noProof/>
        <w:sz w:val="18"/>
        <w:szCs w:val="18"/>
      </w:rPr>
      <w:t>2</w:t>
    </w:r>
    <w:r w:rsidR="0010129E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14:paraId="75F8CBF0" w14:textId="77777777" w:rsidR="001C2D26" w:rsidRDefault="001C2D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1730" w14:textId="77777777" w:rsidR="004712AE" w:rsidRDefault="004712AE" w:rsidP="00BB2C84">
      <w:pPr>
        <w:spacing w:after="0" w:line="240" w:lineRule="auto"/>
      </w:pPr>
      <w:r>
        <w:separator/>
      </w:r>
    </w:p>
  </w:footnote>
  <w:footnote w:type="continuationSeparator" w:id="0">
    <w:p w14:paraId="6C826D2F" w14:textId="77777777" w:rsidR="004712AE" w:rsidRDefault="004712AE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66FD8" w14:textId="79CC5494" w:rsidR="008F15ED" w:rsidRDefault="008F15E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ED5B6FD" wp14:editId="679F95EA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1279386813" name="Textové pole 2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5146D0" w14:textId="1516604C" w:rsidR="008F15ED" w:rsidRPr="008F15ED" w:rsidRDefault="008F15ED" w:rsidP="008F15E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15E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D5B6F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TLP: GREEN" style="position:absolute;left:0;text-align:left;margin-left:0;margin-top:0;width:34.95pt;height:34.95pt;z-index:25166080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J9/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" filled="f" stroked="f">
              <v:textbox style="mso-fit-shape-to-text:t" inset="20pt,15pt,0,0">
                <w:txbxContent>
                  <w:p w14:paraId="3C5146D0" w14:textId="1516604C" w:rsidR="008F15ED" w:rsidRPr="008F15ED" w:rsidRDefault="008F15ED" w:rsidP="008F15E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15E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7D233" w14:textId="75CE59C1" w:rsidR="001C2D26" w:rsidRPr="00E6080F" w:rsidRDefault="008F15ED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085628BE" wp14:editId="574D145E">
              <wp:simplePos x="723900" y="42862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891911692" name="Textové pole 3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2671B7" w14:textId="12E557BE" w:rsidR="008F15ED" w:rsidRPr="008F15ED" w:rsidRDefault="008F15ED" w:rsidP="008F15E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15E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5628BE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TLP: GREEN" style="position:absolute;left:0;text-align:left;margin-left:0;margin-top:0;width:34.95pt;height:34.95pt;z-index:25166182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8XEJ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" filled="f" stroked="f">
              <v:textbox style="mso-fit-shape-to-text:t" inset="20pt,15pt,0,0">
                <w:txbxContent>
                  <w:p w14:paraId="392671B7" w14:textId="12E557BE" w:rsidR="008F15ED" w:rsidRPr="008F15ED" w:rsidRDefault="008F15ED" w:rsidP="008F15E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15E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0E4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6F72FA" wp14:editId="589A949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516C4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14:paraId="74A7D34E" w14:textId="3E4B2FDE" w:rsidR="00AE18F2" w:rsidRDefault="001C2D26" w:rsidP="001C2D26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 w:rsidRPr="001C2D26">
      <w:rPr>
        <w:rFonts w:ascii="Arial" w:hAnsi="Arial" w:cs="Arial"/>
        <w:noProof/>
        <w:lang w:eastAsia="cs-CZ"/>
      </w:rPr>
      <w:t xml:space="preserve">Dodatek č. </w:t>
    </w:r>
    <w:r w:rsidR="0019723C">
      <w:rPr>
        <w:rFonts w:ascii="Arial" w:hAnsi="Arial" w:cs="Arial"/>
        <w:noProof/>
        <w:lang w:eastAsia="cs-CZ"/>
      </w:rPr>
      <w:t>10</w:t>
    </w:r>
    <w:r w:rsidRPr="001C2D26">
      <w:rPr>
        <w:rFonts w:ascii="Arial" w:hAnsi="Arial" w:cs="Arial"/>
        <w:noProof/>
        <w:lang w:eastAsia="cs-CZ"/>
      </w:rPr>
      <w:t xml:space="preserve"> k</w:t>
    </w:r>
    <w:r w:rsidR="00AE18F2">
      <w:rPr>
        <w:rFonts w:ascii="Arial" w:hAnsi="Arial" w:cs="Arial"/>
        <w:noProof/>
        <w:lang w:eastAsia="cs-CZ"/>
      </w:rPr>
      <w:t> </w:t>
    </w:r>
    <w:r w:rsidRPr="001C2D26">
      <w:rPr>
        <w:rFonts w:ascii="Arial" w:hAnsi="Arial" w:cs="Arial"/>
        <w:noProof/>
        <w:lang w:eastAsia="cs-CZ"/>
      </w:rPr>
      <w:t>Dohodě</w:t>
    </w:r>
    <w:r w:rsidR="00AE18F2">
      <w:rPr>
        <w:rFonts w:ascii="Arial" w:hAnsi="Arial" w:cs="Arial"/>
        <w:noProof/>
        <w:lang w:eastAsia="cs-CZ"/>
      </w:rPr>
      <w:t xml:space="preserve"> o bezhotovostní úhradě cen poštovních služeb</w:t>
    </w:r>
    <w:r w:rsidRPr="001C2D26">
      <w:rPr>
        <w:rFonts w:ascii="Arial" w:hAnsi="Arial" w:cs="Arial"/>
        <w:noProof/>
        <w:lang w:eastAsia="cs-CZ"/>
      </w:rPr>
      <w:t xml:space="preserve"> </w:t>
    </w:r>
  </w:p>
  <w:p w14:paraId="65623D03" w14:textId="77777777" w:rsidR="001C2D26" w:rsidRDefault="00AE18F2" w:rsidP="00AE18F2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>Číslo</w:t>
    </w:r>
    <w:r w:rsidR="001C2D26" w:rsidRPr="001C2D26">
      <w:rPr>
        <w:rFonts w:ascii="Arial" w:hAnsi="Arial" w:cs="Arial"/>
        <w:noProof/>
        <w:lang w:eastAsia="cs-CZ"/>
      </w:rPr>
      <w:t xml:space="preserve"> </w:t>
    </w:r>
    <w:r w:rsidR="001C2D26"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3D438FC4" wp14:editId="63EF3867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C6B78">
      <w:rPr>
        <w:rFonts w:ascii="Arial" w:hAnsi="Arial" w:cs="Arial"/>
        <w:noProof/>
        <w:lang w:eastAsia="cs-CZ"/>
      </w:rPr>
      <w:t>982707-1071/2009</w:t>
    </w:r>
  </w:p>
  <w:p w14:paraId="04CB88AA" w14:textId="77777777" w:rsidR="001C2D26" w:rsidRPr="00BB2C84" w:rsidRDefault="001C2D26" w:rsidP="001C2D26">
    <w:pPr>
      <w:pStyle w:val="Zhlav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6B53BE54" wp14:editId="06B9807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ED1CB" w14:textId="4513BE96" w:rsidR="008F15ED" w:rsidRDefault="008F15ED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218361AD" wp14:editId="0DEEED16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4445" b="6350"/>
              <wp:wrapNone/>
              <wp:docPr id="636158194" name="Textové pole 1" descr="TLP: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961B21" w14:textId="4C9BB341" w:rsidR="008F15ED" w:rsidRPr="008F15ED" w:rsidRDefault="008F15ED" w:rsidP="008F15ED">
                          <w:pPr>
                            <w:spacing w:after="0"/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F15ED">
                            <w:rPr>
                              <w:rFonts w:ascii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TLP: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361A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TLP: GREEN" style="position:absolute;left:0;text-align:left;margin-left:0;margin-top:0;width:34.95pt;height:34.95pt;z-index:25165977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JL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" filled="f" stroked="f">
              <v:textbox style="mso-fit-shape-to-text:t" inset="20pt,15pt,0,0">
                <w:txbxContent>
                  <w:p w14:paraId="4F961B21" w14:textId="4C9BB341" w:rsidR="008F15ED" w:rsidRPr="008F15ED" w:rsidRDefault="008F15ED" w:rsidP="008F15ED">
                    <w:pPr>
                      <w:spacing w:after="0"/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F15ED">
                      <w:rPr>
                        <w:rFonts w:ascii="Calibri" w:hAnsi="Calibri" w:cs="Calibri"/>
                        <w:noProof/>
                        <w:color w:val="000000"/>
                        <w:sz w:val="20"/>
                        <w:szCs w:val="20"/>
                      </w:rPr>
                      <w:t>TLP: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F35AB"/>
    <w:multiLevelType w:val="hybridMultilevel"/>
    <w:tmpl w:val="CCCC2F48"/>
    <w:lvl w:ilvl="0" w:tplc="BC02091C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406DE"/>
    <w:multiLevelType w:val="hybridMultilevel"/>
    <w:tmpl w:val="A63A678A"/>
    <w:lvl w:ilvl="0" w:tplc="0E9AA7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5" w15:restartNumberingAfterBreak="0">
    <w:nsid w:val="69523656"/>
    <w:multiLevelType w:val="hybridMultilevel"/>
    <w:tmpl w:val="7B004F28"/>
    <w:lvl w:ilvl="0" w:tplc="5A0AC036">
      <w:start w:val="1"/>
      <w:numFmt w:val="lowerLetter"/>
      <w:lvlText w:val="%1)"/>
      <w:lvlJc w:val="left"/>
      <w:pPr>
        <w:ind w:left="1404" w:hanging="7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04" w:hanging="360"/>
      </w:pPr>
    </w:lvl>
    <w:lvl w:ilvl="2" w:tplc="0405001B" w:tentative="1">
      <w:start w:val="1"/>
      <w:numFmt w:val="lowerRoman"/>
      <w:lvlText w:val="%3."/>
      <w:lvlJc w:val="right"/>
      <w:pPr>
        <w:ind w:left="2424" w:hanging="180"/>
      </w:pPr>
    </w:lvl>
    <w:lvl w:ilvl="3" w:tplc="0405000F" w:tentative="1">
      <w:start w:val="1"/>
      <w:numFmt w:val="decimal"/>
      <w:lvlText w:val="%4."/>
      <w:lvlJc w:val="left"/>
      <w:pPr>
        <w:ind w:left="3144" w:hanging="360"/>
      </w:pPr>
    </w:lvl>
    <w:lvl w:ilvl="4" w:tplc="04050019" w:tentative="1">
      <w:start w:val="1"/>
      <w:numFmt w:val="lowerLetter"/>
      <w:lvlText w:val="%5."/>
      <w:lvlJc w:val="left"/>
      <w:pPr>
        <w:ind w:left="3864" w:hanging="360"/>
      </w:pPr>
    </w:lvl>
    <w:lvl w:ilvl="5" w:tplc="0405001B" w:tentative="1">
      <w:start w:val="1"/>
      <w:numFmt w:val="lowerRoman"/>
      <w:lvlText w:val="%6."/>
      <w:lvlJc w:val="right"/>
      <w:pPr>
        <w:ind w:left="4584" w:hanging="180"/>
      </w:pPr>
    </w:lvl>
    <w:lvl w:ilvl="6" w:tplc="0405000F" w:tentative="1">
      <w:start w:val="1"/>
      <w:numFmt w:val="decimal"/>
      <w:lvlText w:val="%7."/>
      <w:lvlJc w:val="left"/>
      <w:pPr>
        <w:ind w:left="5304" w:hanging="360"/>
      </w:pPr>
    </w:lvl>
    <w:lvl w:ilvl="7" w:tplc="04050019" w:tentative="1">
      <w:start w:val="1"/>
      <w:numFmt w:val="lowerLetter"/>
      <w:lvlText w:val="%8."/>
      <w:lvlJc w:val="left"/>
      <w:pPr>
        <w:ind w:left="6024" w:hanging="360"/>
      </w:pPr>
    </w:lvl>
    <w:lvl w:ilvl="8" w:tplc="0405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 w15:restartNumberingAfterBreak="0">
    <w:nsid w:val="6E992CFD"/>
    <w:multiLevelType w:val="multilevel"/>
    <w:tmpl w:val="8410D49E"/>
    <w:lvl w:ilvl="0">
      <w:start w:val="2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7" w15:restartNumberingAfterBreak="0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8" w15:restartNumberingAfterBreak="0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 w15:restartNumberingAfterBreak="0">
    <w:nsid w:val="7AA9778E"/>
    <w:multiLevelType w:val="multilevel"/>
    <w:tmpl w:val="BAD658F0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0" w15:restartNumberingAfterBreak="0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 w16cid:durableId="1534419692">
    <w:abstractNumId w:val="9"/>
  </w:num>
  <w:num w:numId="2" w16cid:durableId="1877235561">
    <w:abstractNumId w:val="2"/>
  </w:num>
  <w:num w:numId="3" w16cid:durableId="936521938">
    <w:abstractNumId w:val="3"/>
  </w:num>
  <w:num w:numId="4" w16cid:durableId="335962666">
    <w:abstractNumId w:val="8"/>
  </w:num>
  <w:num w:numId="5" w16cid:durableId="338124313">
    <w:abstractNumId w:val="3"/>
  </w:num>
  <w:num w:numId="6" w16cid:durableId="703794143">
    <w:abstractNumId w:val="3"/>
  </w:num>
  <w:num w:numId="7" w16cid:durableId="504783560">
    <w:abstractNumId w:val="3"/>
  </w:num>
  <w:num w:numId="8" w16cid:durableId="923034956">
    <w:abstractNumId w:val="3"/>
  </w:num>
  <w:num w:numId="9" w16cid:durableId="1088620385">
    <w:abstractNumId w:val="3"/>
  </w:num>
  <w:num w:numId="10" w16cid:durableId="886334776">
    <w:abstractNumId w:val="3"/>
  </w:num>
  <w:num w:numId="11" w16cid:durableId="1762020517">
    <w:abstractNumId w:val="9"/>
  </w:num>
  <w:num w:numId="12" w16cid:durableId="787701643">
    <w:abstractNumId w:val="9"/>
  </w:num>
  <w:num w:numId="13" w16cid:durableId="266236388">
    <w:abstractNumId w:val="9"/>
  </w:num>
  <w:num w:numId="14" w16cid:durableId="608974999">
    <w:abstractNumId w:val="9"/>
  </w:num>
  <w:num w:numId="15" w16cid:durableId="40788017">
    <w:abstractNumId w:val="2"/>
  </w:num>
  <w:num w:numId="16" w16cid:durableId="896665538">
    <w:abstractNumId w:val="2"/>
  </w:num>
  <w:num w:numId="17" w16cid:durableId="503210749">
    <w:abstractNumId w:val="2"/>
  </w:num>
  <w:num w:numId="18" w16cid:durableId="606616151">
    <w:abstractNumId w:val="2"/>
  </w:num>
  <w:num w:numId="19" w16cid:durableId="674452507">
    <w:abstractNumId w:val="7"/>
  </w:num>
  <w:num w:numId="20" w16cid:durableId="215242098">
    <w:abstractNumId w:val="10"/>
  </w:num>
  <w:num w:numId="21" w16cid:durableId="1314213821">
    <w:abstractNumId w:val="3"/>
  </w:num>
  <w:num w:numId="22" w16cid:durableId="721560390">
    <w:abstractNumId w:val="9"/>
  </w:num>
  <w:num w:numId="23" w16cid:durableId="1290743105">
    <w:abstractNumId w:val="1"/>
  </w:num>
  <w:num w:numId="24" w16cid:durableId="491603784">
    <w:abstractNumId w:val="9"/>
  </w:num>
  <w:num w:numId="25" w16cid:durableId="806749843">
    <w:abstractNumId w:val="9"/>
  </w:num>
  <w:num w:numId="26" w16cid:durableId="1066535784">
    <w:abstractNumId w:val="9"/>
  </w:num>
  <w:num w:numId="27" w16cid:durableId="141192749">
    <w:abstractNumId w:val="9"/>
  </w:num>
  <w:num w:numId="28" w16cid:durableId="1976567357">
    <w:abstractNumId w:val="9"/>
  </w:num>
  <w:num w:numId="29" w16cid:durableId="2079548322">
    <w:abstractNumId w:val="9"/>
  </w:num>
  <w:num w:numId="30" w16cid:durableId="2127041040">
    <w:abstractNumId w:val="9"/>
  </w:num>
  <w:num w:numId="31" w16cid:durableId="2085757788">
    <w:abstractNumId w:val="9"/>
  </w:num>
  <w:num w:numId="32" w16cid:durableId="365101970">
    <w:abstractNumId w:val="9"/>
  </w:num>
  <w:num w:numId="33" w16cid:durableId="239682092">
    <w:abstractNumId w:val="4"/>
  </w:num>
  <w:num w:numId="34" w16cid:durableId="475219978">
    <w:abstractNumId w:val="0"/>
  </w:num>
  <w:num w:numId="35" w16cid:durableId="1554926752">
    <w:abstractNumId w:val="5"/>
  </w:num>
  <w:num w:numId="36" w16cid:durableId="542789244">
    <w:abstractNumId w:val="6"/>
  </w:num>
  <w:num w:numId="37" w16cid:durableId="317002377">
    <w:abstractNumId w:val="9"/>
    <w:lvlOverride w:ilvl="0">
      <w:startOverride w:val="7"/>
    </w:lvlOverride>
    <w:lvlOverride w:ilvl="1">
      <w:startOverride w:val="1"/>
    </w:lvlOverride>
  </w:num>
  <w:num w:numId="38" w16cid:durableId="67964541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BFE"/>
    <w:rsid w:val="00012164"/>
    <w:rsid w:val="00030B45"/>
    <w:rsid w:val="000416B2"/>
    <w:rsid w:val="000423FE"/>
    <w:rsid w:val="00054997"/>
    <w:rsid w:val="000724E9"/>
    <w:rsid w:val="000C0B03"/>
    <w:rsid w:val="000C16E7"/>
    <w:rsid w:val="000C6A07"/>
    <w:rsid w:val="000E2816"/>
    <w:rsid w:val="0010129E"/>
    <w:rsid w:val="00105806"/>
    <w:rsid w:val="001434B6"/>
    <w:rsid w:val="001454AA"/>
    <w:rsid w:val="00150F80"/>
    <w:rsid w:val="00160A6D"/>
    <w:rsid w:val="00160BAE"/>
    <w:rsid w:val="00162252"/>
    <w:rsid w:val="0019723C"/>
    <w:rsid w:val="001C2D26"/>
    <w:rsid w:val="001E712E"/>
    <w:rsid w:val="001F46E3"/>
    <w:rsid w:val="001F4AE2"/>
    <w:rsid w:val="001F669C"/>
    <w:rsid w:val="00205A6E"/>
    <w:rsid w:val="002235CC"/>
    <w:rsid w:val="00232CBE"/>
    <w:rsid w:val="00266CC4"/>
    <w:rsid w:val="00281A7D"/>
    <w:rsid w:val="002A5F6B"/>
    <w:rsid w:val="003317F4"/>
    <w:rsid w:val="00355FFC"/>
    <w:rsid w:val="00367F2B"/>
    <w:rsid w:val="00395BA6"/>
    <w:rsid w:val="003C5BF8"/>
    <w:rsid w:val="003D3E09"/>
    <w:rsid w:val="003E0CD8"/>
    <w:rsid w:val="003E0E92"/>
    <w:rsid w:val="003E2C93"/>
    <w:rsid w:val="003E78DD"/>
    <w:rsid w:val="00400629"/>
    <w:rsid w:val="00407DEC"/>
    <w:rsid w:val="00416302"/>
    <w:rsid w:val="004433EA"/>
    <w:rsid w:val="00445C58"/>
    <w:rsid w:val="00460E56"/>
    <w:rsid w:val="004712AE"/>
    <w:rsid w:val="00493088"/>
    <w:rsid w:val="004A5077"/>
    <w:rsid w:val="004B1466"/>
    <w:rsid w:val="004C0771"/>
    <w:rsid w:val="004D1488"/>
    <w:rsid w:val="004F00FD"/>
    <w:rsid w:val="004F4681"/>
    <w:rsid w:val="00502FE1"/>
    <w:rsid w:val="00555D26"/>
    <w:rsid w:val="00560DB2"/>
    <w:rsid w:val="005746B6"/>
    <w:rsid w:val="00596717"/>
    <w:rsid w:val="005A41F7"/>
    <w:rsid w:val="005A5625"/>
    <w:rsid w:val="005D325A"/>
    <w:rsid w:val="005E26F5"/>
    <w:rsid w:val="005F73E1"/>
    <w:rsid w:val="00602989"/>
    <w:rsid w:val="006052DB"/>
    <w:rsid w:val="00612237"/>
    <w:rsid w:val="00620621"/>
    <w:rsid w:val="00644106"/>
    <w:rsid w:val="00662223"/>
    <w:rsid w:val="00675251"/>
    <w:rsid w:val="006B13BF"/>
    <w:rsid w:val="006C2ADC"/>
    <w:rsid w:val="006C67D1"/>
    <w:rsid w:val="006E0674"/>
    <w:rsid w:val="006E328F"/>
    <w:rsid w:val="006E7F15"/>
    <w:rsid w:val="00705DEA"/>
    <w:rsid w:val="00731911"/>
    <w:rsid w:val="0073255D"/>
    <w:rsid w:val="0073595F"/>
    <w:rsid w:val="00741D12"/>
    <w:rsid w:val="00767AE7"/>
    <w:rsid w:val="00786E3F"/>
    <w:rsid w:val="007A0E45"/>
    <w:rsid w:val="007C378A"/>
    <w:rsid w:val="007D2C36"/>
    <w:rsid w:val="007E36E6"/>
    <w:rsid w:val="0080649B"/>
    <w:rsid w:val="00834B01"/>
    <w:rsid w:val="00840915"/>
    <w:rsid w:val="00851290"/>
    <w:rsid w:val="00857729"/>
    <w:rsid w:val="008610AA"/>
    <w:rsid w:val="008913F1"/>
    <w:rsid w:val="008A07A1"/>
    <w:rsid w:val="008A08ED"/>
    <w:rsid w:val="008A4ACF"/>
    <w:rsid w:val="008B586E"/>
    <w:rsid w:val="008E2352"/>
    <w:rsid w:val="008F15ED"/>
    <w:rsid w:val="009374CF"/>
    <w:rsid w:val="0095032E"/>
    <w:rsid w:val="009752AE"/>
    <w:rsid w:val="0098168D"/>
    <w:rsid w:val="00993718"/>
    <w:rsid w:val="009B7110"/>
    <w:rsid w:val="009D0C5F"/>
    <w:rsid w:val="009D2E04"/>
    <w:rsid w:val="009D2F45"/>
    <w:rsid w:val="009E3EF0"/>
    <w:rsid w:val="009F5F71"/>
    <w:rsid w:val="00A05A24"/>
    <w:rsid w:val="00A3091F"/>
    <w:rsid w:val="00A40F40"/>
    <w:rsid w:val="00A47954"/>
    <w:rsid w:val="00A50C0B"/>
    <w:rsid w:val="00A56E01"/>
    <w:rsid w:val="00A773CA"/>
    <w:rsid w:val="00A77E95"/>
    <w:rsid w:val="00A8057A"/>
    <w:rsid w:val="00A8293F"/>
    <w:rsid w:val="00A96A52"/>
    <w:rsid w:val="00AA0618"/>
    <w:rsid w:val="00AB284E"/>
    <w:rsid w:val="00AC7641"/>
    <w:rsid w:val="00AE18F2"/>
    <w:rsid w:val="00AE693B"/>
    <w:rsid w:val="00B0168C"/>
    <w:rsid w:val="00B02136"/>
    <w:rsid w:val="00B12D67"/>
    <w:rsid w:val="00B2132C"/>
    <w:rsid w:val="00B27BC8"/>
    <w:rsid w:val="00B313CF"/>
    <w:rsid w:val="00B555D4"/>
    <w:rsid w:val="00B65A13"/>
    <w:rsid w:val="00B66D64"/>
    <w:rsid w:val="00B74EF5"/>
    <w:rsid w:val="00B75D17"/>
    <w:rsid w:val="00B9023F"/>
    <w:rsid w:val="00BB2C84"/>
    <w:rsid w:val="00BD073A"/>
    <w:rsid w:val="00BD5E9D"/>
    <w:rsid w:val="00C1192F"/>
    <w:rsid w:val="00C24742"/>
    <w:rsid w:val="00C342D1"/>
    <w:rsid w:val="00C41149"/>
    <w:rsid w:val="00C464A3"/>
    <w:rsid w:val="00C86954"/>
    <w:rsid w:val="00CB1E2D"/>
    <w:rsid w:val="00CC416D"/>
    <w:rsid w:val="00CC55D9"/>
    <w:rsid w:val="00CF0C52"/>
    <w:rsid w:val="00D11957"/>
    <w:rsid w:val="00D139C7"/>
    <w:rsid w:val="00D17D7F"/>
    <w:rsid w:val="00D33AD6"/>
    <w:rsid w:val="00D37F53"/>
    <w:rsid w:val="00D400BF"/>
    <w:rsid w:val="00D47EBB"/>
    <w:rsid w:val="00D80DE6"/>
    <w:rsid w:val="00D837F0"/>
    <w:rsid w:val="00D856C6"/>
    <w:rsid w:val="00DA2C01"/>
    <w:rsid w:val="00DB53EB"/>
    <w:rsid w:val="00DC6B78"/>
    <w:rsid w:val="00E04840"/>
    <w:rsid w:val="00E109A3"/>
    <w:rsid w:val="00E13657"/>
    <w:rsid w:val="00E17391"/>
    <w:rsid w:val="00E22073"/>
    <w:rsid w:val="00E25713"/>
    <w:rsid w:val="00E5459E"/>
    <w:rsid w:val="00E6080F"/>
    <w:rsid w:val="00E608B8"/>
    <w:rsid w:val="00E655DD"/>
    <w:rsid w:val="00E75510"/>
    <w:rsid w:val="00EC1BFE"/>
    <w:rsid w:val="00F15FA1"/>
    <w:rsid w:val="00F25FB9"/>
    <w:rsid w:val="00F44431"/>
    <w:rsid w:val="00F44F2F"/>
    <w:rsid w:val="00F47DFA"/>
    <w:rsid w:val="00F50512"/>
    <w:rsid w:val="00F5065B"/>
    <w:rsid w:val="00F61D1B"/>
    <w:rsid w:val="00F83270"/>
    <w:rsid w:val="00F8458D"/>
    <w:rsid w:val="00FC283F"/>
    <w:rsid w:val="00FC6791"/>
    <w:rsid w:val="00FC69AA"/>
    <w:rsid w:val="00FD12FA"/>
    <w:rsid w:val="00FE06C3"/>
    <w:rsid w:val="00FE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E0404E"/>
  <w15:docId w15:val="{316164E6-57D4-4B87-A93B-392EC6A2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FC69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Bakanová Jana</cp:lastModifiedBy>
  <cp:revision>3</cp:revision>
  <dcterms:created xsi:type="dcterms:W3CDTF">2024-11-20T08:58:00Z</dcterms:created>
  <dcterms:modified xsi:type="dcterms:W3CDTF">2024-11-20T08:58:00Z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25eb00f2,4c41e4bd,35297e0c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TLP: GREEN</vt:lpwstr>
  </property>
  <property fmtid="{D5CDD505-2E9C-101B-9397-08002B2CF9AE}" pid="5" name="MSIP_Label_2b1d3de5-f378-4f1a-98b2-045b457791ed_Enabled">
    <vt:lpwstr>true</vt:lpwstr>
  </property>
  <property fmtid="{D5CDD505-2E9C-101B-9397-08002B2CF9AE}" pid="6" name="MSIP_Label_2b1d3de5-f378-4f1a-98b2-045b457791ed_SetDate">
    <vt:lpwstr>2024-10-08T08:41:00Z</vt:lpwstr>
  </property>
  <property fmtid="{D5CDD505-2E9C-101B-9397-08002B2CF9AE}" pid="7" name="MSIP_Label_2b1d3de5-f378-4f1a-98b2-045b457791ed_Method">
    <vt:lpwstr>Standard</vt:lpwstr>
  </property>
  <property fmtid="{D5CDD505-2E9C-101B-9397-08002B2CF9AE}" pid="8" name="MSIP_Label_2b1d3de5-f378-4f1a-98b2-045b457791ed_Name">
    <vt:lpwstr>TLP-GREEN</vt:lpwstr>
  </property>
  <property fmtid="{D5CDD505-2E9C-101B-9397-08002B2CF9AE}" pid="9" name="MSIP_Label_2b1d3de5-f378-4f1a-98b2-045b457791ed_SiteId">
    <vt:lpwstr>63bc9307-946b-4c36-9003-abc36ab892f7</vt:lpwstr>
  </property>
  <property fmtid="{D5CDD505-2E9C-101B-9397-08002B2CF9AE}" pid="10" name="MSIP_Label_2b1d3de5-f378-4f1a-98b2-045b457791ed_ActionId">
    <vt:lpwstr>144d5f00-28dc-4695-91a8-e548551145f0</vt:lpwstr>
  </property>
  <property fmtid="{D5CDD505-2E9C-101B-9397-08002B2CF9AE}" pid="11" name="MSIP_Label_2b1d3de5-f378-4f1a-98b2-045b457791ed_ContentBits">
    <vt:lpwstr>1</vt:lpwstr>
  </property>
</Properties>
</file>