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6CE5"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AE379D6"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3C5EF45" w14:textId="379CEF42" w:rsidR="003A045F" w:rsidRPr="00EF3CDF" w:rsidRDefault="003A045F" w:rsidP="008B63D9">
      <w:pPr>
        <w:spacing w:after="0" w:line="240" w:lineRule="auto"/>
        <w:ind w:left="284" w:right="260"/>
        <w:jc w:val="both"/>
        <w:rPr>
          <w:rFonts w:cs="Arial"/>
        </w:rPr>
      </w:pPr>
      <w:r w:rsidRPr="00EF3CDF">
        <w:rPr>
          <w:rFonts w:cs="Arial"/>
        </w:rPr>
        <w:t>IČ</w:t>
      </w:r>
      <w:r w:rsidR="00501BE2">
        <w:rPr>
          <w:rFonts w:cs="Arial"/>
        </w:rPr>
        <w:t>O</w:t>
      </w:r>
      <w:r w:rsidRPr="00EF3CDF">
        <w:rPr>
          <w:rFonts w:cs="Arial"/>
        </w:rPr>
        <w:t>: 24146978, DIČ: CZ24146978,</w:t>
      </w:r>
    </w:p>
    <w:p w14:paraId="2B78EC74" w14:textId="71143EFE" w:rsidR="003A045F" w:rsidRPr="00EF3CDF" w:rsidRDefault="003A045F" w:rsidP="008B63D9">
      <w:pPr>
        <w:spacing w:after="0" w:line="240" w:lineRule="auto"/>
        <w:ind w:left="284" w:right="260"/>
        <w:jc w:val="both"/>
        <w:rPr>
          <w:rFonts w:cs="Arial"/>
        </w:rPr>
      </w:pPr>
      <w:r w:rsidRPr="00EF3CDF">
        <w:rPr>
          <w:rFonts w:cs="Arial"/>
        </w:rPr>
        <w:t>zastoupen</w:t>
      </w:r>
      <w:r w:rsidR="0022542E">
        <w:rPr>
          <w:rFonts w:cs="Arial"/>
        </w:rPr>
        <w:t>o</w:t>
      </w:r>
      <w:r w:rsidRPr="00EF3CDF">
        <w:rPr>
          <w:rFonts w:cs="Arial"/>
        </w:rPr>
        <w:t xml:space="preserve">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6DBB6E40"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4A817FAA" w14:textId="77777777"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650B84AE"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05EE04F2" w14:textId="753C54DB" w:rsidR="00A007AF" w:rsidRDefault="00493C38" w:rsidP="00A007AF">
      <w:pPr>
        <w:spacing w:before="240" w:after="0"/>
        <w:ind w:left="284" w:right="260"/>
        <w:jc w:val="both"/>
        <w:rPr>
          <w:b/>
        </w:rPr>
      </w:pPr>
      <w:bookmarkStart w:id="0" w:name="jmeno_firmy"/>
      <w:bookmarkEnd w:id="0"/>
      <w:r>
        <w:rPr>
          <w:b/>
        </w:rPr>
        <w:t>Nejvyšší správní soud</w:t>
      </w:r>
      <w:r w:rsidR="00A007AF">
        <w:rPr>
          <w:b/>
        </w:rPr>
        <w:t>,</w:t>
      </w:r>
    </w:p>
    <w:p w14:paraId="17406373" w14:textId="44E84D02" w:rsidR="00A007AF" w:rsidRDefault="00A007AF" w:rsidP="00A007AF">
      <w:pPr>
        <w:spacing w:after="0"/>
        <w:ind w:left="284" w:right="260"/>
        <w:jc w:val="both"/>
      </w:pPr>
      <w:r>
        <w:rPr>
          <w:rFonts w:cs="Arial"/>
        </w:rPr>
        <w:t xml:space="preserve">se sídlem </w:t>
      </w:r>
      <w:bookmarkStart w:id="1" w:name="ulice"/>
      <w:bookmarkEnd w:id="1"/>
      <w:r w:rsidR="00493C38">
        <w:rPr>
          <w:rFonts w:cs="Arial"/>
        </w:rPr>
        <w:t>Moravské náměstí 611/6</w:t>
      </w:r>
      <w:r>
        <w:rPr>
          <w:rFonts w:cs="Arial"/>
        </w:rPr>
        <w:t>,</w:t>
      </w:r>
      <w:bookmarkStart w:id="2" w:name="mesto"/>
      <w:bookmarkEnd w:id="2"/>
      <w:r w:rsidR="0054128B">
        <w:rPr>
          <w:rFonts w:cs="Arial"/>
        </w:rPr>
        <w:t xml:space="preserve"> </w:t>
      </w:r>
      <w:r w:rsidR="00493C38">
        <w:rPr>
          <w:rFonts w:cs="Arial"/>
        </w:rPr>
        <w:t>Brno</w:t>
      </w:r>
      <w:r>
        <w:rPr>
          <w:rFonts w:cs="Arial"/>
        </w:rPr>
        <w:t>,</w:t>
      </w:r>
      <w:r w:rsidR="0054128B">
        <w:rPr>
          <w:rFonts w:cs="Arial"/>
        </w:rPr>
        <w:t xml:space="preserve"> PSČ</w:t>
      </w:r>
      <w:r>
        <w:rPr>
          <w:rFonts w:cs="Arial"/>
        </w:rPr>
        <w:t xml:space="preserve"> </w:t>
      </w:r>
      <w:bookmarkStart w:id="3" w:name="psc"/>
      <w:bookmarkEnd w:id="3"/>
      <w:r w:rsidR="00493C38">
        <w:rPr>
          <w:rFonts w:cs="Arial"/>
        </w:rPr>
        <w:t>602 00</w:t>
      </w:r>
      <w:r>
        <w:rPr>
          <w:rFonts w:cs="Arial"/>
        </w:rPr>
        <w:t>,</w:t>
      </w:r>
    </w:p>
    <w:p w14:paraId="1C33FAB6" w14:textId="1A938AD3" w:rsidR="00A007AF" w:rsidRDefault="00A007AF" w:rsidP="00A007AF">
      <w:pPr>
        <w:spacing w:after="0"/>
        <w:ind w:left="284" w:right="260"/>
        <w:jc w:val="both"/>
        <w:rPr>
          <w:rFonts w:cs="Arial"/>
        </w:rPr>
      </w:pPr>
      <w:r>
        <w:rPr>
          <w:rFonts w:cs="Arial"/>
        </w:rPr>
        <w:t>IČ</w:t>
      </w:r>
      <w:r w:rsidR="00501BE2">
        <w:rPr>
          <w:rFonts w:cs="Arial"/>
        </w:rPr>
        <w:t>O</w:t>
      </w:r>
      <w:r>
        <w:rPr>
          <w:rFonts w:cs="Arial"/>
        </w:rPr>
        <w:t xml:space="preserve">: </w:t>
      </w:r>
      <w:bookmarkStart w:id="4" w:name="ico"/>
      <w:bookmarkEnd w:id="4"/>
      <w:r w:rsidR="00493C38">
        <w:rPr>
          <w:rFonts w:cs="Arial"/>
        </w:rPr>
        <w:t>75003716</w:t>
      </w:r>
      <w:r>
        <w:rPr>
          <w:rFonts w:cs="Arial"/>
        </w:rPr>
        <w:t>, DIČ:</w:t>
      </w:r>
      <w:r>
        <w:t xml:space="preserve"> </w:t>
      </w:r>
      <w:bookmarkStart w:id="5" w:name="dic"/>
      <w:bookmarkEnd w:id="5"/>
      <w:r w:rsidR="00493C38">
        <w:t>CZ75003716</w:t>
      </w:r>
      <w:r>
        <w:rPr>
          <w:rFonts w:cs="Arial"/>
        </w:rPr>
        <w:t>,</w:t>
      </w:r>
    </w:p>
    <w:p w14:paraId="7BFEF04C" w14:textId="199403B7" w:rsidR="00501BE2" w:rsidRDefault="003855C6" w:rsidP="00501BE2">
      <w:pPr>
        <w:spacing w:after="0" w:line="240" w:lineRule="auto"/>
        <w:ind w:left="284" w:right="260"/>
        <w:jc w:val="both"/>
        <w:rPr>
          <w:rFonts w:cs="Arial"/>
        </w:rPr>
      </w:pPr>
      <w:r>
        <w:rPr>
          <w:rFonts w:cs="Arial"/>
        </w:rPr>
        <w:t>z</w:t>
      </w:r>
      <w:r w:rsidR="00501BE2">
        <w:rPr>
          <w:rFonts w:cs="Arial"/>
        </w:rPr>
        <w:t>astoupen Mgr. Filip</w:t>
      </w:r>
      <w:r w:rsidR="0005697D">
        <w:rPr>
          <w:rFonts w:cs="Arial"/>
        </w:rPr>
        <w:t>em</w:t>
      </w:r>
      <w:r w:rsidR="00501BE2">
        <w:rPr>
          <w:rFonts w:cs="Arial"/>
        </w:rPr>
        <w:t xml:space="preserve"> </w:t>
      </w:r>
      <w:proofErr w:type="spellStart"/>
      <w:r w:rsidR="00501BE2">
        <w:rPr>
          <w:rFonts w:cs="Arial"/>
        </w:rPr>
        <w:t>Glotzmann</w:t>
      </w:r>
      <w:r w:rsidR="0005697D">
        <w:rPr>
          <w:rFonts w:cs="Arial"/>
        </w:rPr>
        <w:t>em</w:t>
      </w:r>
      <w:proofErr w:type="spellEnd"/>
      <w:r w:rsidR="00501BE2">
        <w:rPr>
          <w:rFonts w:cs="Arial"/>
        </w:rPr>
        <w:t>, LL.M., ředitel</w:t>
      </w:r>
      <w:r w:rsidR="0005697D">
        <w:rPr>
          <w:rFonts w:cs="Arial"/>
        </w:rPr>
        <w:t>em</w:t>
      </w:r>
      <w:r w:rsidR="00501BE2">
        <w:rPr>
          <w:rFonts w:cs="Arial"/>
        </w:rPr>
        <w:t xml:space="preserve"> správy soudu</w:t>
      </w:r>
      <w:r w:rsidR="0005697D">
        <w:rPr>
          <w:rFonts w:cs="Arial"/>
        </w:rPr>
        <w:t>,</w:t>
      </w:r>
    </w:p>
    <w:p w14:paraId="47080A3A" w14:textId="77777777" w:rsidR="00A007AF" w:rsidRDefault="00A007AF" w:rsidP="00A007AF">
      <w:pPr>
        <w:spacing w:after="0" w:line="240" w:lineRule="auto"/>
        <w:ind w:left="284" w:right="260"/>
        <w:jc w:val="both"/>
        <w:rPr>
          <w:rFonts w:cs="Arial"/>
          <w:b/>
        </w:rPr>
      </w:pPr>
      <w:r>
        <w:rPr>
          <w:rFonts w:cs="Arial"/>
        </w:rPr>
        <w:t xml:space="preserve">dále jen </w:t>
      </w:r>
      <w:r>
        <w:rPr>
          <w:rFonts w:cs="Arial"/>
          <w:b/>
        </w:rPr>
        <w:t>„uživatel“</w:t>
      </w:r>
    </w:p>
    <w:p w14:paraId="1A7D1C94" w14:textId="77777777" w:rsidR="00A007AF" w:rsidRDefault="00A007AF" w:rsidP="00A007AF">
      <w:pPr>
        <w:spacing w:after="0" w:line="240" w:lineRule="auto"/>
        <w:ind w:left="284" w:right="260"/>
        <w:jc w:val="both"/>
        <w:rPr>
          <w:rFonts w:cs="Arial"/>
        </w:rPr>
      </w:pPr>
    </w:p>
    <w:p w14:paraId="71DEC2EE" w14:textId="77777777" w:rsidR="0054128B" w:rsidRDefault="0054128B" w:rsidP="00A007AF">
      <w:pPr>
        <w:spacing w:after="0" w:line="240" w:lineRule="auto"/>
        <w:ind w:left="284" w:right="260"/>
        <w:jc w:val="both"/>
        <w:rPr>
          <w:rFonts w:cs="Arial"/>
        </w:rPr>
      </w:pPr>
    </w:p>
    <w:p w14:paraId="4CBE1482" w14:textId="77777777" w:rsidR="007B2A46" w:rsidRDefault="007B2A46" w:rsidP="007B2A46">
      <w:pPr>
        <w:spacing w:after="0" w:line="240" w:lineRule="auto"/>
        <w:ind w:left="284" w:right="260"/>
        <w:jc w:val="both"/>
        <w:rPr>
          <w:rFonts w:cs="Arial"/>
        </w:rPr>
      </w:pPr>
      <w:r>
        <w:rPr>
          <w:rFonts w:cs="Arial"/>
        </w:rPr>
        <w:t>uzavírají tuto smlouvu:</w:t>
      </w:r>
    </w:p>
    <w:p w14:paraId="3325A8A7" w14:textId="77777777" w:rsidR="007B2A46" w:rsidRDefault="007B2A46" w:rsidP="007B2A46">
      <w:pPr>
        <w:spacing w:after="0" w:line="240" w:lineRule="auto"/>
        <w:ind w:left="284" w:right="260"/>
        <w:jc w:val="both"/>
        <w:rPr>
          <w:rFonts w:cs="Arial"/>
        </w:rPr>
      </w:pPr>
    </w:p>
    <w:p w14:paraId="46C3D7F3" w14:textId="77777777"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6240517A"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7" w:history="1">
        <w:r>
          <w:rPr>
            <w:rStyle w:val="Hypertextovodkaz"/>
            <w:rFonts w:cs="Arial"/>
          </w:rPr>
          <w:t>www.beck-online.cz</w:t>
        </w:r>
      </w:hyperlink>
      <w:r>
        <w:rPr>
          <w:rFonts w:cs="Arial"/>
        </w:rPr>
        <w:t xml:space="preserve"> (dále jen </w:t>
      </w:r>
      <w:r>
        <w:rPr>
          <w:rFonts w:cs="Arial"/>
          <w:b/>
        </w:rPr>
        <w:t>„Beck-online“</w:t>
      </w:r>
      <w:r>
        <w:rPr>
          <w:rFonts w:cs="Arial"/>
        </w:rPr>
        <w:t>).</w:t>
      </w:r>
    </w:p>
    <w:p w14:paraId="5882AB1B"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7EB1954" w14:textId="77777777"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01378249"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498DEB08" w14:textId="77777777"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647E7AC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633A2187" w14:textId="661BF9DD"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w:t>
      </w:r>
      <w:r w:rsidR="00B873B7">
        <w:rPr>
          <w:rFonts w:cs="Arial"/>
        </w:rPr>
        <w:t>.</w:t>
      </w:r>
    </w:p>
    <w:p w14:paraId="4825191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27C682CF" w14:textId="77777777" w:rsidR="005A1A1C" w:rsidRDefault="005A1A1C" w:rsidP="005A1A1C">
      <w:pPr>
        <w:pStyle w:val="Odstavecseseznamem"/>
        <w:spacing w:before="240" w:after="100" w:afterAutospacing="1" w:line="240" w:lineRule="auto"/>
        <w:ind w:left="709" w:right="260"/>
        <w:jc w:val="both"/>
        <w:rPr>
          <w:rFonts w:cs="Arial"/>
          <w:b/>
        </w:rPr>
      </w:pPr>
    </w:p>
    <w:p w14:paraId="523FD05B" w14:textId="498C55DB"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752926D2"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 xml:space="preserve">Za užívání Beck-online se uživatel zavazuje platit poskytovateli odměnu, jejíž výše se odvíjí od rozsahu licence uvedeného v Příloze (dále jen </w:t>
      </w:r>
      <w:r>
        <w:rPr>
          <w:rFonts w:cs="Arial"/>
          <w:b/>
        </w:rPr>
        <w:t>„odměna“</w:t>
      </w:r>
      <w:r>
        <w:rPr>
          <w:rFonts w:cs="Arial"/>
        </w:rPr>
        <w:t>).</w:t>
      </w:r>
    </w:p>
    <w:p w14:paraId="46C3387B" w14:textId="15C72E8F" w:rsidR="007B2A46" w:rsidRDefault="00F16286" w:rsidP="007B2A46">
      <w:pPr>
        <w:pStyle w:val="Odstavecseseznamem"/>
        <w:numPr>
          <w:ilvl w:val="1"/>
          <w:numId w:val="11"/>
        </w:numPr>
        <w:spacing w:before="80" w:after="0" w:line="240" w:lineRule="auto"/>
        <w:ind w:left="709" w:right="260" w:hanging="425"/>
        <w:jc w:val="both"/>
        <w:rPr>
          <w:rFonts w:cs="Arial"/>
        </w:rPr>
      </w:pPr>
      <w:r>
        <w:rPr>
          <w:rFonts w:cs="Calibri"/>
        </w:rPr>
        <w:t xml:space="preserve">Fakturu na jednotlivá období je poskytovatel oprávněn vystavit nejdříve dva měsíce po začátku daného období. </w:t>
      </w:r>
      <w:r w:rsidR="007B2A46">
        <w:rPr>
          <w:rFonts w:cs="Arial"/>
        </w:rPr>
        <w:t xml:space="preserve">Elektronická faktura bude zasílána na email: </w:t>
      </w:r>
      <w:hyperlink r:id="rId8" w:history="1">
        <w:r w:rsidR="00834DE9" w:rsidRPr="002B086D">
          <w:rPr>
            <w:rStyle w:val="Hypertextovodkaz"/>
            <w:rFonts w:cs="Arial"/>
          </w:rPr>
          <w:t>podatelna@nssoud.cz</w:t>
        </w:r>
      </w:hyperlink>
      <w:r w:rsidR="00834DE9">
        <w:rPr>
          <w:rFonts w:cs="Arial"/>
        </w:rPr>
        <w:t xml:space="preserve">. </w:t>
      </w:r>
      <w:r w:rsidR="007B2A46">
        <w:rPr>
          <w:rFonts w:cs="Arial"/>
        </w:rPr>
        <w:t xml:space="preserve">O případné změně emailové adresy je uživatel povinen poskytovatele bezodkladně písemnou formou informovat. </w:t>
      </w:r>
    </w:p>
    <w:p w14:paraId="4A5A99A1" w14:textId="494F9191"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6" w:name="splatnost"/>
      <w:bookmarkEnd w:id="6"/>
      <w:r w:rsidR="00BF3744">
        <w:rPr>
          <w:rFonts w:cs="Arial"/>
        </w:rPr>
        <w:t>30</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 xml:space="preserve">Beck-online však nezaniká právo </w:t>
      </w:r>
      <w:r w:rsidR="00C4724E">
        <w:rPr>
          <w:rFonts w:cs="Arial"/>
        </w:rPr>
        <w:t>p</w:t>
      </w:r>
      <w:r>
        <w:rPr>
          <w:rFonts w:cs="Arial"/>
        </w:rPr>
        <w:t xml:space="preserve">oskytovatele na úhradu </w:t>
      </w:r>
      <w:r w:rsidR="00C4724E">
        <w:rPr>
          <w:rFonts w:cs="Arial"/>
        </w:rPr>
        <w:t>o</w:t>
      </w:r>
      <w:r>
        <w:rPr>
          <w:rFonts w:cs="Arial"/>
        </w:rPr>
        <w:t>dměny i za dobu, během které nebyla tato služba poskytována.</w:t>
      </w:r>
    </w:p>
    <w:p w14:paraId="414524F5" w14:textId="77777777" w:rsidR="005A1A1C" w:rsidRDefault="005A1A1C" w:rsidP="005A1A1C">
      <w:pPr>
        <w:pStyle w:val="Odstavecseseznamem"/>
        <w:spacing w:after="100" w:afterAutospacing="1" w:line="240" w:lineRule="auto"/>
        <w:ind w:left="709" w:right="260"/>
        <w:jc w:val="both"/>
        <w:rPr>
          <w:rFonts w:cs="Arial"/>
          <w:b/>
        </w:rPr>
      </w:pPr>
    </w:p>
    <w:p w14:paraId="0CC64A52" w14:textId="77777777" w:rsidR="00F07751" w:rsidRDefault="00F07751" w:rsidP="005A1A1C">
      <w:pPr>
        <w:pStyle w:val="Odstavecseseznamem"/>
        <w:spacing w:after="100" w:afterAutospacing="1" w:line="240" w:lineRule="auto"/>
        <w:ind w:left="709" w:right="260"/>
        <w:jc w:val="both"/>
        <w:rPr>
          <w:rFonts w:cs="Arial"/>
          <w:b/>
        </w:rPr>
      </w:pPr>
    </w:p>
    <w:p w14:paraId="3A74BEF0" w14:textId="77777777" w:rsidR="00B47F61" w:rsidRDefault="00B47F61" w:rsidP="005A1A1C">
      <w:pPr>
        <w:pStyle w:val="Odstavecseseznamem"/>
        <w:spacing w:after="100" w:afterAutospacing="1" w:line="240" w:lineRule="auto"/>
        <w:ind w:left="709" w:right="260"/>
        <w:jc w:val="both"/>
        <w:rPr>
          <w:rFonts w:cs="Arial"/>
          <w:b/>
        </w:rPr>
      </w:pPr>
    </w:p>
    <w:p w14:paraId="10C49241" w14:textId="05950749" w:rsidR="007B2A46" w:rsidRDefault="007B2A46" w:rsidP="005A1A1C">
      <w:pPr>
        <w:pStyle w:val="Odstavecseseznamem"/>
        <w:numPr>
          <w:ilvl w:val="0"/>
          <w:numId w:val="11"/>
        </w:numPr>
        <w:spacing w:after="100" w:afterAutospacing="1" w:line="240" w:lineRule="auto"/>
        <w:ind w:left="709" w:right="260" w:hanging="425"/>
        <w:jc w:val="both"/>
        <w:rPr>
          <w:rFonts w:cs="Arial"/>
          <w:b/>
        </w:rPr>
      </w:pPr>
      <w:r>
        <w:rPr>
          <w:rFonts w:cs="Arial"/>
          <w:b/>
        </w:rPr>
        <w:t>Inflační doložka</w:t>
      </w:r>
    </w:p>
    <w:p w14:paraId="602B7624" w14:textId="77777777" w:rsidR="0063440D"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lastRenderedPageBreak/>
        <w:t xml:space="preserve">Poskytovatel je oprávněn zvýšit cenu na druhé a každé následující předplatné období, a to podle inflace vyhlášené Českým statistickým úřadem pro poslední předcházející kalendářní rok. </w:t>
      </w:r>
    </w:p>
    <w:p w14:paraId="7E603B8F" w14:textId="77777777" w:rsidR="0063440D" w:rsidRDefault="0063440D" w:rsidP="0063440D">
      <w:pPr>
        <w:pStyle w:val="Odstavecseseznamem"/>
        <w:spacing w:before="100" w:beforeAutospacing="1" w:after="100" w:afterAutospacing="1" w:line="240" w:lineRule="auto"/>
        <w:ind w:left="709" w:right="260"/>
        <w:jc w:val="both"/>
        <w:rPr>
          <w:rFonts w:cs="Arial"/>
        </w:rPr>
      </w:pPr>
    </w:p>
    <w:p w14:paraId="4CD9E026"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5D78EDBD" w14:textId="5775BB52"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6C0AAC">
        <w:rPr>
          <w:rFonts w:cs="Arial"/>
        </w:rPr>
        <w:t xml:space="preserve"> a účinnosti dnem zveřejnění v registru smluv podle zákona</w:t>
      </w:r>
      <w:r w:rsidR="00CF1D37">
        <w:rPr>
          <w:rFonts w:cs="Arial"/>
        </w:rPr>
        <w:t xml:space="preserve"> č. 340/2015 Sb., </w:t>
      </w:r>
      <w:r w:rsidR="009C4E02" w:rsidRPr="00BB348A">
        <w:rPr>
          <w:rFonts w:cs="Arial"/>
        </w:rPr>
        <w:t>o zvláštních podmínkách účinnosti některých smluv, uveřejňování těchto smluv a o registru smluv</w:t>
      </w:r>
      <w:r w:rsidR="009C4E02">
        <w:rPr>
          <w:rFonts w:cs="Arial"/>
        </w:rPr>
        <w:t xml:space="preserve"> (zákon o registru smluv), ve znění pozdějších předpisů</w:t>
      </w:r>
      <w:r>
        <w:rPr>
          <w:rFonts w:cs="Arial"/>
        </w:rPr>
        <w:t>.</w:t>
      </w:r>
    </w:p>
    <w:p w14:paraId="5B371C2F" w14:textId="2089276E" w:rsidR="00CB23DE" w:rsidRDefault="00CB23DE" w:rsidP="007B2A46">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r w:rsidR="00493C38">
        <w:t>01.01.2025</w:t>
      </w:r>
      <w:r>
        <w:t xml:space="preserve"> a veškerá svá vzájemná plnění poskytnutá od</w:t>
      </w:r>
      <w:r w:rsidR="00AA192F">
        <w:t xml:space="preserve"> tohoto data </w:t>
      </w:r>
      <w:r>
        <w:t>do dne nabytí účinnosti této smlouvy považují za plnění poskytnutá podle této smlouvy.</w:t>
      </w:r>
    </w:p>
    <w:p w14:paraId="034566FF" w14:textId="6DBC922F"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7" w:name="doba_trvani"/>
      <w:bookmarkEnd w:id="7"/>
      <w:r w:rsidR="00493C38">
        <w:rPr>
          <w:rFonts w:cs="Arial"/>
          <w:b/>
        </w:rPr>
        <w:t xml:space="preserve">určitou, a to do </w:t>
      </w:r>
      <w:r w:rsidR="0054128B">
        <w:rPr>
          <w:rFonts w:cs="Arial"/>
          <w:b/>
        </w:rPr>
        <w:t>31.</w:t>
      </w:r>
      <w:r w:rsidR="0086053E">
        <w:rPr>
          <w:rFonts w:cs="Arial"/>
          <w:b/>
        </w:rPr>
        <w:t xml:space="preserve"> </w:t>
      </w:r>
      <w:r w:rsidR="0054128B">
        <w:rPr>
          <w:rFonts w:cs="Arial"/>
          <w:b/>
        </w:rPr>
        <w:t>12.</w:t>
      </w:r>
      <w:r w:rsidR="0086053E">
        <w:rPr>
          <w:rFonts w:cs="Arial"/>
          <w:b/>
        </w:rPr>
        <w:t xml:space="preserve"> </w:t>
      </w:r>
      <w:r w:rsidR="0054128B">
        <w:rPr>
          <w:rFonts w:cs="Arial"/>
          <w:b/>
        </w:rPr>
        <w:t>2026</w:t>
      </w:r>
      <w:r>
        <w:rPr>
          <w:rFonts w:cs="Arial"/>
        </w:rPr>
        <w:t>. Licence je uživateli udělena na dobu trvání této smlouvy.</w:t>
      </w:r>
    </w:p>
    <w:p w14:paraId="188CF75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Každá ze smluvních stran je oprávněna tuto smlouvu písemně vypovědět vždy nejpozději tři měsíce přede dnem uplynutí daného období; smlouva poté zaniká uplynutím posledního dne daného období.</w:t>
      </w:r>
    </w:p>
    <w:p w14:paraId="72FA8380" w14:textId="77777777" w:rsidR="007B2A46" w:rsidRDefault="007B2A46" w:rsidP="007B2A46">
      <w:pPr>
        <w:pStyle w:val="Odstavecseseznamem"/>
        <w:spacing w:before="100" w:beforeAutospacing="1" w:after="100" w:afterAutospacing="1" w:line="240" w:lineRule="auto"/>
        <w:ind w:left="709" w:right="118" w:hanging="425"/>
        <w:jc w:val="both"/>
        <w:rPr>
          <w:rFonts w:cs="Arial"/>
        </w:rPr>
      </w:pPr>
    </w:p>
    <w:p w14:paraId="0F93B8BE" w14:textId="77777777"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14:paraId="31231296" w14:textId="77777777"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298CDBDC"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9" w:history="1">
        <w:r>
          <w:rPr>
            <w:rStyle w:val="Hypertextovodkaz"/>
            <w:rFonts w:cs="Arial"/>
          </w:rPr>
          <w:t>www.beck-online.cz</w:t>
        </w:r>
      </w:hyperlink>
      <w:r>
        <w:rPr>
          <w:rFonts w:cs="Arial"/>
        </w:rPr>
        <w:t>.</w:t>
      </w:r>
    </w:p>
    <w:p w14:paraId="1BDB58D2"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48EB3838" w14:textId="401711AD"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V průběhu </w:t>
      </w:r>
      <w:r w:rsidR="00AE779F">
        <w:rPr>
          <w:rFonts w:cs="Arial"/>
        </w:rPr>
        <w:t>dvou</w:t>
      </w:r>
      <w:r>
        <w:rPr>
          <w:rFonts w:cs="Arial"/>
        </w:rPr>
        <w:t xml:space="preserve"> kalendářních měsíců, následujících po podpisu smlouvy, má uživatel právo využít jedenkrát školení bezplatně, a to v počtu osob, odpovídajícím počtu uživatelských účtů.</w:t>
      </w:r>
    </w:p>
    <w:p w14:paraId="02D8A493" w14:textId="77777777" w:rsidR="007B2A46" w:rsidRDefault="007B2A46" w:rsidP="007B2A46">
      <w:pPr>
        <w:pStyle w:val="Odstavecseseznamem"/>
        <w:spacing w:after="100" w:afterAutospacing="1" w:line="240" w:lineRule="auto"/>
        <w:ind w:left="709" w:right="260" w:hanging="425"/>
        <w:jc w:val="both"/>
        <w:rPr>
          <w:rFonts w:cs="Arial"/>
          <w:b/>
        </w:rPr>
      </w:pPr>
    </w:p>
    <w:p w14:paraId="4C2E41EA"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5A395CA"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7B3E48BD" w14:textId="77777777" w:rsidR="005A1A1C" w:rsidRDefault="005A1A1C" w:rsidP="005A1A1C">
      <w:pPr>
        <w:pStyle w:val="Odstavecseseznamem"/>
        <w:spacing w:before="240" w:after="100" w:afterAutospacing="1" w:line="240" w:lineRule="auto"/>
        <w:ind w:left="709" w:right="260"/>
        <w:jc w:val="both"/>
        <w:rPr>
          <w:rFonts w:cs="Arial"/>
          <w:b/>
        </w:rPr>
      </w:pPr>
    </w:p>
    <w:p w14:paraId="0FB62075" w14:textId="14A78FA4"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4FC6F36D" w14:textId="77777777" w:rsidR="00BE07B5" w:rsidRDefault="00BE07B5" w:rsidP="00BE07B5">
      <w:pPr>
        <w:pStyle w:val="Odstavecseseznamem"/>
        <w:numPr>
          <w:ilvl w:val="1"/>
          <w:numId w:val="11"/>
        </w:numPr>
        <w:spacing w:before="80" w:after="0" w:line="240" w:lineRule="auto"/>
        <w:ind w:left="709" w:right="260" w:hanging="425"/>
        <w:jc w:val="both"/>
        <w:rPr>
          <w:rFonts w:cs="Arial"/>
        </w:rPr>
      </w:pPr>
      <w:r>
        <w:rPr>
          <w:rFonts w:cs="Arial"/>
        </w:rPr>
        <w:t xml:space="preserve">Tato smlouva </w:t>
      </w:r>
      <w:r w:rsidRPr="00FE4EC1">
        <w:rPr>
          <w:rFonts w:cs="Arial"/>
        </w:rPr>
        <w:t>se vyhotovuje v elektronické podobě a každá ze stran obdrží její elektronickou podobu</w:t>
      </w:r>
      <w:r>
        <w:rPr>
          <w:rFonts w:cs="Arial"/>
        </w:rPr>
        <w:t>.</w:t>
      </w:r>
    </w:p>
    <w:p w14:paraId="1C3EACFD"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2B7F2EB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4930F7C7"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Tuto smlouvu je možné změnit nebo doplnit pouze uzavřením číslovaných písemných dodatků.</w:t>
      </w:r>
    </w:p>
    <w:p w14:paraId="4BC6807E" w14:textId="77777777" w:rsidR="00D81FEE" w:rsidRDefault="00D81FEE" w:rsidP="007B2A46">
      <w:pPr>
        <w:tabs>
          <w:tab w:val="left" w:pos="5387"/>
        </w:tabs>
        <w:spacing w:before="240" w:after="0" w:line="240" w:lineRule="auto"/>
        <w:ind w:left="284" w:right="260"/>
        <w:jc w:val="both"/>
        <w:rPr>
          <w:rFonts w:cs="Arial"/>
        </w:rPr>
      </w:pPr>
    </w:p>
    <w:p w14:paraId="380C5C53" w14:textId="384BB75F" w:rsidR="007B2A46" w:rsidRDefault="007B2A46" w:rsidP="007B2A46">
      <w:pPr>
        <w:tabs>
          <w:tab w:val="left" w:pos="5387"/>
        </w:tabs>
        <w:spacing w:before="240" w:after="0" w:line="240" w:lineRule="auto"/>
        <w:ind w:left="284" w:right="260"/>
        <w:jc w:val="both"/>
        <w:rPr>
          <w:rFonts w:cs="Arial"/>
        </w:rPr>
      </w:pPr>
      <w:r>
        <w:rPr>
          <w:rFonts w:cs="Arial"/>
        </w:rPr>
        <w:t xml:space="preserve">V Praze </w:t>
      </w:r>
      <w:r w:rsidR="00BE07B5">
        <w:rPr>
          <w:rFonts w:cs="Arial"/>
        </w:rPr>
        <w:t>dle dne el. podpisu</w:t>
      </w:r>
      <w:r>
        <w:rPr>
          <w:rFonts w:cs="Arial"/>
        </w:rPr>
        <w:tab/>
        <w:t>V</w:t>
      </w:r>
      <w:r w:rsidR="0054128B">
        <w:rPr>
          <w:rFonts w:cs="Arial"/>
        </w:rPr>
        <w:t> </w:t>
      </w:r>
      <w:bookmarkStart w:id="8" w:name="mesto_firmy1"/>
      <w:bookmarkEnd w:id="8"/>
      <w:r w:rsidR="00493C38">
        <w:rPr>
          <w:rFonts w:cs="Arial"/>
        </w:rPr>
        <w:t>Brn</w:t>
      </w:r>
      <w:r w:rsidR="0054128B">
        <w:rPr>
          <w:rFonts w:cs="Arial"/>
        </w:rPr>
        <w:t xml:space="preserve">ě </w:t>
      </w:r>
      <w:r w:rsidR="00BE07B5">
        <w:rPr>
          <w:rFonts w:cs="Arial"/>
        </w:rPr>
        <w:t>dle dne el. podpisu</w:t>
      </w:r>
    </w:p>
    <w:p w14:paraId="4D3EA1C3" w14:textId="77777777" w:rsidR="007B2A46" w:rsidRDefault="007B2A46" w:rsidP="007B2A46">
      <w:pPr>
        <w:tabs>
          <w:tab w:val="left" w:pos="5387"/>
        </w:tabs>
        <w:spacing w:after="0" w:line="240" w:lineRule="auto"/>
        <w:ind w:left="284" w:right="118"/>
        <w:jc w:val="both"/>
        <w:rPr>
          <w:rFonts w:cs="Arial"/>
        </w:rPr>
      </w:pPr>
    </w:p>
    <w:p w14:paraId="76D085DC" w14:textId="77777777" w:rsidR="007B2A46" w:rsidRDefault="007B2A46" w:rsidP="007B2A46">
      <w:pPr>
        <w:tabs>
          <w:tab w:val="left" w:pos="5387"/>
        </w:tabs>
        <w:spacing w:after="0" w:line="240" w:lineRule="auto"/>
        <w:ind w:left="284" w:right="118"/>
        <w:jc w:val="both"/>
        <w:rPr>
          <w:rFonts w:cs="Arial"/>
        </w:rPr>
      </w:pPr>
    </w:p>
    <w:p w14:paraId="38FD7B5A" w14:textId="77777777" w:rsidR="0054128B" w:rsidRDefault="0054128B" w:rsidP="007B2A46">
      <w:pPr>
        <w:tabs>
          <w:tab w:val="left" w:pos="5387"/>
        </w:tabs>
        <w:spacing w:after="0" w:line="240" w:lineRule="auto"/>
        <w:ind w:left="284" w:right="118"/>
        <w:jc w:val="both"/>
        <w:rPr>
          <w:rFonts w:cs="Arial"/>
        </w:rPr>
      </w:pPr>
    </w:p>
    <w:p w14:paraId="047EE81E" w14:textId="77777777" w:rsidR="0054128B" w:rsidRDefault="0054128B" w:rsidP="007B2A46">
      <w:pPr>
        <w:tabs>
          <w:tab w:val="left" w:pos="5387"/>
        </w:tabs>
        <w:spacing w:after="0" w:line="240" w:lineRule="auto"/>
        <w:ind w:left="284" w:right="118"/>
        <w:jc w:val="both"/>
        <w:rPr>
          <w:rFonts w:cs="Arial"/>
        </w:rPr>
      </w:pPr>
    </w:p>
    <w:p w14:paraId="4F0302ED" w14:textId="77777777" w:rsidR="0054128B" w:rsidRDefault="0054128B" w:rsidP="007B2A46">
      <w:pPr>
        <w:tabs>
          <w:tab w:val="left" w:pos="5387"/>
        </w:tabs>
        <w:spacing w:after="0" w:line="240" w:lineRule="auto"/>
        <w:ind w:left="284" w:right="118"/>
        <w:jc w:val="both"/>
        <w:rPr>
          <w:rFonts w:cs="Arial"/>
        </w:rPr>
      </w:pPr>
    </w:p>
    <w:p w14:paraId="38AC48D3"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4472A2E4" w14:textId="26903C70" w:rsidR="007B2A46" w:rsidRDefault="007B2A46" w:rsidP="007B2A46">
      <w:pPr>
        <w:tabs>
          <w:tab w:val="left" w:pos="5387"/>
        </w:tabs>
        <w:spacing w:after="0" w:line="240" w:lineRule="auto"/>
        <w:ind w:right="118"/>
        <w:jc w:val="both"/>
        <w:rPr>
          <w:rFonts w:cs="Arial"/>
          <w:b/>
        </w:rPr>
      </w:pPr>
      <w:r>
        <w:rPr>
          <w:rFonts w:cs="Arial"/>
          <w:b/>
        </w:rPr>
        <w:t xml:space="preserve">     Nakladatelství </w:t>
      </w:r>
      <w:proofErr w:type="spellStart"/>
      <w:r>
        <w:rPr>
          <w:rFonts w:cs="Arial"/>
          <w:b/>
        </w:rPr>
        <w:t>C.H.Beck</w:t>
      </w:r>
      <w:proofErr w:type="spellEnd"/>
      <w:r>
        <w:rPr>
          <w:rFonts w:cs="Arial"/>
          <w:b/>
        </w:rPr>
        <w:t>, s.r.o.</w:t>
      </w:r>
      <w:r>
        <w:rPr>
          <w:rFonts w:cs="Arial"/>
          <w:b/>
        </w:rPr>
        <w:tab/>
      </w:r>
      <w:bookmarkStart w:id="9" w:name="jmeno_firmy2"/>
      <w:bookmarkEnd w:id="9"/>
      <w:r w:rsidR="00493C38">
        <w:rPr>
          <w:rFonts w:cs="Arial"/>
          <w:b/>
        </w:rPr>
        <w:t>Nejvyšší správní soud</w:t>
      </w:r>
    </w:p>
    <w:p w14:paraId="7CDFCF4E" w14:textId="25F9129F" w:rsidR="007B2A46" w:rsidRDefault="007B2A46" w:rsidP="007B2A46">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6C3D8A">
        <w:rPr>
          <w:rFonts w:cs="Arial"/>
        </w:rPr>
        <w:t>Mgr. Filip Glotzmann, LL.M., ředitel správy soudu</w:t>
      </w:r>
      <w:r>
        <w:rPr>
          <w:rFonts w:cs="Arial"/>
        </w:rPr>
        <w:t xml:space="preserve"> </w:t>
      </w:r>
    </w:p>
    <w:p w14:paraId="3120D24E" w14:textId="77777777" w:rsidR="007B2A46" w:rsidRDefault="007B2A46" w:rsidP="007B2A46">
      <w:pPr>
        <w:spacing w:after="0" w:line="240" w:lineRule="auto"/>
        <w:ind w:left="284"/>
        <w:rPr>
          <w:rFonts w:cs="Arial"/>
          <w:b/>
        </w:rPr>
      </w:pPr>
      <w:r>
        <w:rPr>
          <w:rFonts w:cs="Arial"/>
          <w:b/>
        </w:rPr>
        <w:br w:type="page"/>
      </w:r>
      <w:r>
        <w:rPr>
          <w:rFonts w:cs="Arial"/>
          <w:b/>
        </w:rPr>
        <w:lastRenderedPageBreak/>
        <w:t>PŘÍLOHA: Rozsah licence</w:t>
      </w:r>
      <w:r>
        <w:rPr>
          <w:rFonts w:cs="Arial"/>
          <w:b/>
        </w:rPr>
        <w:tab/>
      </w:r>
    </w:p>
    <w:p w14:paraId="5330D4A0"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1359D33F" w14:textId="469CC7D9"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 xml:space="preserve">Specifikace obsahu a </w:t>
      </w:r>
      <w:r w:rsidR="009C60A5">
        <w:rPr>
          <w:rFonts w:cs="Arial"/>
          <w:b/>
        </w:rPr>
        <w:t>přístupu do Beck-online</w:t>
      </w:r>
    </w:p>
    <w:p w14:paraId="0BB2B55E" w14:textId="77777777" w:rsidR="00055E17" w:rsidRDefault="00055E17" w:rsidP="00055E17">
      <w:pPr>
        <w:spacing w:after="0" w:line="240" w:lineRule="auto"/>
        <w:ind w:left="709" w:right="260"/>
        <w:jc w:val="both"/>
        <w:rPr>
          <w:rFonts w:cs="Calibri"/>
        </w:rPr>
      </w:pPr>
      <w:r w:rsidRPr="00055E17">
        <w:rPr>
          <w:rFonts w:cs="Calibri"/>
        </w:rPr>
        <w:t>Poskytovatel umožní přístup výlučně do následujících databází (modulů) Beck-online všem oprávněným osobám uživatele prostřednictvím uživatelských účtů na jméno:</w:t>
      </w:r>
    </w:p>
    <w:p w14:paraId="16422A53" w14:textId="77777777" w:rsidR="00C27A5D" w:rsidRDefault="00C27A5D" w:rsidP="00055E17">
      <w:pPr>
        <w:spacing w:after="0" w:line="240" w:lineRule="auto"/>
        <w:ind w:left="709" w:right="260"/>
        <w:jc w:val="both"/>
        <w:rPr>
          <w:rFonts w:cs="Calibri"/>
        </w:rPr>
      </w:pPr>
    </w:p>
    <w:p w14:paraId="261F3675" w14:textId="77777777" w:rsidR="00C27A5D" w:rsidRDefault="00C27A5D" w:rsidP="00C27A5D">
      <w:pPr>
        <w:spacing w:after="0" w:line="240" w:lineRule="auto"/>
        <w:ind w:left="709" w:right="260"/>
        <w:contextualSpacing/>
        <w:jc w:val="both"/>
        <w:rPr>
          <w:rFonts w:cs="Calibri"/>
        </w:rPr>
      </w:pPr>
      <w:r>
        <w:rPr>
          <w:rFonts w:cs="Calibri"/>
        </w:rPr>
        <w:t>Beck-online PRO</w:t>
      </w:r>
    </w:p>
    <w:p w14:paraId="1678E9DE" w14:textId="77777777" w:rsidR="00C27A5D" w:rsidRDefault="00C27A5D" w:rsidP="00C27A5D">
      <w:pPr>
        <w:spacing w:after="0" w:line="240" w:lineRule="auto"/>
        <w:ind w:left="709" w:right="260"/>
        <w:contextualSpacing/>
        <w:jc w:val="both"/>
        <w:rPr>
          <w:rFonts w:cs="Calibri"/>
        </w:rPr>
      </w:pPr>
      <w:r>
        <w:rPr>
          <w:rFonts w:cs="Calibri"/>
        </w:rPr>
        <w:t>Daňové právo</w:t>
      </w:r>
    </w:p>
    <w:p w14:paraId="37B0A870" w14:textId="77777777" w:rsidR="00C27A5D" w:rsidRDefault="00C27A5D" w:rsidP="00C27A5D">
      <w:pPr>
        <w:spacing w:after="0" w:line="240" w:lineRule="auto"/>
        <w:ind w:left="709" w:right="260"/>
        <w:contextualSpacing/>
        <w:jc w:val="both"/>
        <w:rPr>
          <w:rFonts w:cs="Calibri"/>
        </w:rPr>
      </w:pPr>
      <w:r>
        <w:rPr>
          <w:rFonts w:cs="Calibri"/>
        </w:rPr>
        <w:t>Duševní vlastnictví</w:t>
      </w:r>
    </w:p>
    <w:p w14:paraId="0F3AB2C6" w14:textId="77777777" w:rsidR="00C27A5D" w:rsidRDefault="00C27A5D" w:rsidP="00C27A5D">
      <w:pPr>
        <w:spacing w:after="0" w:line="240" w:lineRule="auto"/>
        <w:ind w:left="709" w:right="260"/>
        <w:contextualSpacing/>
        <w:jc w:val="both"/>
        <w:rPr>
          <w:rFonts w:cs="Calibri"/>
        </w:rPr>
      </w:pPr>
      <w:r>
        <w:rPr>
          <w:rFonts w:cs="Calibri"/>
        </w:rPr>
        <w:t>Finanční právo</w:t>
      </w:r>
    </w:p>
    <w:p w14:paraId="59E9007D" w14:textId="77777777" w:rsidR="00C27A5D" w:rsidRDefault="00C27A5D" w:rsidP="00C27A5D">
      <w:pPr>
        <w:spacing w:after="0" w:line="240" w:lineRule="auto"/>
        <w:ind w:left="709" w:right="260"/>
        <w:contextualSpacing/>
        <w:jc w:val="both"/>
        <w:rPr>
          <w:rFonts w:cs="Calibri"/>
        </w:rPr>
      </w:pPr>
      <w:r>
        <w:rPr>
          <w:rFonts w:cs="Calibri"/>
        </w:rPr>
        <w:t>Justiční a procesní právo PLUS</w:t>
      </w:r>
    </w:p>
    <w:p w14:paraId="5AC49BD7" w14:textId="77777777" w:rsidR="00C27A5D" w:rsidRDefault="00C27A5D" w:rsidP="00C27A5D">
      <w:pPr>
        <w:spacing w:after="0" w:line="240" w:lineRule="auto"/>
        <w:ind w:left="709" w:right="260"/>
        <w:contextualSpacing/>
        <w:jc w:val="both"/>
        <w:rPr>
          <w:rFonts w:cs="Calibri"/>
        </w:rPr>
      </w:pPr>
      <w:r>
        <w:rPr>
          <w:rFonts w:cs="Calibri"/>
        </w:rPr>
        <w:t>Občanské právo PLUS</w:t>
      </w:r>
    </w:p>
    <w:p w14:paraId="439B7E8B" w14:textId="77777777" w:rsidR="00C27A5D" w:rsidRDefault="00C27A5D" w:rsidP="00C27A5D">
      <w:pPr>
        <w:spacing w:after="0" w:line="240" w:lineRule="auto"/>
        <w:ind w:left="709" w:right="260"/>
        <w:contextualSpacing/>
        <w:jc w:val="both"/>
        <w:rPr>
          <w:rFonts w:cs="Calibri"/>
        </w:rPr>
      </w:pPr>
      <w:r>
        <w:rPr>
          <w:rFonts w:cs="Calibri"/>
        </w:rPr>
        <w:t>Obchodní korporace PLUS</w:t>
      </w:r>
    </w:p>
    <w:p w14:paraId="3F526281" w14:textId="77777777" w:rsidR="00C27A5D" w:rsidRDefault="00C27A5D" w:rsidP="00C27A5D">
      <w:pPr>
        <w:spacing w:after="0" w:line="240" w:lineRule="auto"/>
        <w:ind w:left="709" w:right="260"/>
        <w:contextualSpacing/>
        <w:jc w:val="both"/>
        <w:rPr>
          <w:rFonts w:cs="Calibri"/>
        </w:rPr>
      </w:pPr>
      <w:r>
        <w:rPr>
          <w:rFonts w:cs="Calibri"/>
        </w:rPr>
        <w:t>Pracovní a sociální právo PLUS</w:t>
      </w:r>
    </w:p>
    <w:p w14:paraId="5699B7B1" w14:textId="77777777" w:rsidR="00C27A5D" w:rsidRDefault="00C27A5D" w:rsidP="00C27A5D">
      <w:pPr>
        <w:spacing w:after="0" w:line="240" w:lineRule="auto"/>
        <w:ind w:left="709" w:right="260"/>
        <w:contextualSpacing/>
        <w:jc w:val="both"/>
        <w:rPr>
          <w:rFonts w:cs="Calibri"/>
        </w:rPr>
      </w:pPr>
      <w:r>
        <w:rPr>
          <w:rFonts w:cs="Calibri"/>
        </w:rPr>
        <w:t>Soutěžní právo</w:t>
      </w:r>
    </w:p>
    <w:p w14:paraId="6228F06B" w14:textId="77777777" w:rsidR="00C27A5D" w:rsidRDefault="00C27A5D" w:rsidP="00C27A5D">
      <w:pPr>
        <w:spacing w:after="0" w:line="240" w:lineRule="auto"/>
        <w:ind w:left="709" w:right="260"/>
        <w:contextualSpacing/>
        <w:jc w:val="both"/>
        <w:rPr>
          <w:rFonts w:cs="Calibri"/>
        </w:rPr>
      </w:pPr>
      <w:r>
        <w:rPr>
          <w:rFonts w:cs="Calibri"/>
        </w:rPr>
        <w:t>Správní a ústavní právo</w:t>
      </w:r>
    </w:p>
    <w:p w14:paraId="579C2105" w14:textId="77777777" w:rsidR="00C27A5D" w:rsidRDefault="00C27A5D" w:rsidP="00C27A5D">
      <w:pPr>
        <w:spacing w:after="0" w:line="240" w:lineRule="auto"/>
        <w:ind w:left="709" w:right="260"/>
        <w:contextualSpacing/>
        <w:jc w:val="both"/>
        <w:rPr>
          <w:rFonts w:cs="Calibri"/>
        </w:rPr>
      </w:pPr>
      <w:r>
        <w:rPr>
          <w:rFonts w:cs="Calibri"/>
        </w:rPr>
        <w:t>Správní právo – obce a kraje</w:t>
      </w:r>
    </w:p>
    <w:p w14:paraId="1BABA917" w14:textId="77777777" w:rsidR="00C27A5D" w:rsidRDefault="00C27A5D" w:rsidP="00C27A5D">
      <w:pPr>
        <w:spacing w:after="0" w:line="240" w:lineRule="auto"/>
        <w:ind w:left="709" w:right="260"/>
        <w:contextualSpacing/>
        <w:jc w:val="both"/>
        <w:rPr>
          <w:rFonts w:cs="Calibri"/>
        </w:rPr>
      </w:pPr>
      <w:r>
        <w:rPr>
          <w:rFonts w:cs="Calibri"/>
        </w:rPr>
        <w:t>Správní právo – stavební právo</w:t>
      </w:r>
    </w:p>
    <w:p w14:paraId="23829CE4" w14:textId="77777777" w:rsidR="00C27A5D" w:rsidRDefault="00C27A5D" w:rsidP="00C27A5D">
      <w:pPr>
        <w:spacing w:after="0" w:line="240" w:lineRule="auto"/>
        <w:ind w:left="709" w:right="260"/>
        <w:contextualSpacing/>
        <w:jc w:val="both"/>
        <w:rPr>
          <w:rFonts w:cs="Calibri"/>
        </w:rPr>
      </w:pPr>
      <w:r>
        <w:rPr>
          <w:rFonts w:cs="Calibri"/>
        </w:rPr>
        <w:t>Správní právo – zvláštní předpisy</w:t>
      </w:r>
    </w:p>
    <w:p w14:paraId="64C99FE2" w14:textId="77777777" w:rsidR="00C27A5D" w:rsidRPr="00573651" w:rsidRDefault="00C27A5D" w:rsidP="00C27A5D">
      <w:pPr>
        <w:spacing w:after="0" w:line="240" w:lineRule="auto"/>
        <w:ind w:left="709" w:right="260"/>
        <w:contextualSpacing/>
        <w:jc w:val="both"/>
        <w:rPr>
          <w:rFonts w:cs="Calibri"/>
        </w:rPr>
      </w:pPr>
      <w:r>
        <w:rPr>
          <w:rFonts w:cs="Calibri"/>
        </w:rPr>
        <w:t>Trestní právo PLUS</w:t>
      </w:r>
    </w:p>
    <w:p w14:paraId="35038079" w14:textId="77777777" w:rsidR="00C27A5D" w:rsidRDefault="00C27A5D" w:rsidP="007B2A46">
      <w:pPr>
        <w:ind w:left="709" w:right="260"/>
        <w:jc w:val="both"/>
        <w:rPr>
          <w:rFonts w:cs="Arial"/>
        </w:rPr>
      </w:pPr>
      <w:bookmarkStart w:id="10" w:name="sl1"/>
      <w:bookmarkEnd w:id="10"/>
    </w:p>
    <w:p w14:paraId="5C269EA3" w14:textId="79546068" w:rsidR="007B2A46" w:rsidRDefault="007B2A46" w:rsidP="007B2A46">
      <w:pPr>
        <w:ind w:left="709" w:right="260"/>
        <w:jc w:val="both"/>
        <w:rPr>
          <w:rFonts w:cs="Arial"/>
        </w:rPr>
      </w:pPr>
      <w:r>
        <w:rPr>
          <w:rFonts w:cs="Arial"/>
        </w:rPr>
        <w:t>Užívající osoby jsou součástí společnosti uživatele viz bod 3.2. VOP.</w:t>
      </w:r>
    </w:p>
    <w:p w14:paraId="42F2D787"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79433978" w14:textId="7C4B2EDC" w:rsidR="007B2A46" w:rsidRDefault="007B2A46" w:rsidP="007B2A46">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První období se sjednává od</w:t>
      </w:r>
      <w:r>
        <w:rPr>
          <w:rFonts w:cs="Arial"/>
          <w:b/>
        </w:rPr>
        <w:t xml:space="preserve"> </w:t>
      </w:r>
      <w:bookmarkStart w:id="11" w:name="datum_od"/>
      <w:bookmarkEnd w:id="11"/>
      <w:r w:rsidR="00493C38">
        <w:rPr>
          <w:rFonts w:cs="Arial"/>
          <w:b/>
        </w:rPr>
        <w:t>1. 1. 2025</w:t>
      </w:r>
      <w:r>
        <w:rPr>
          <w:rFonts w:cs="Arial"/>
          <w:b/>
        </w:rPr>
        <w:t xml:space="preserve"> </w:t>
      </w:r>
      <w:r>
        <w:rPr>
          <w:rFonts w:cs="Arial"/>
        </w:rPr>
        <w:t>do</w:t>
      </w:r>
      <w:r>
        <w:rPr>
          <w:rFonts w:cs="Arial"/>
          <w:b/>
        </w:rPr>
        <w:t xml:space="preserve"> </w:t>
      </w:r>
      <w:bookmarkStart w:id="12" w:name="datum_do"/>
      <w:bookmarkEnd w:id="12"/>
      <w:r w:rsidR="00493C38">
        <w:rPr>
          <w:rFonts w:cs="Arial"/>
          <w:b/>
        </w:rPr>
        <w:t>31. 12. 2025</w:t>
      </w:r>
      <w:r>
        <w:rPr>
          <w:rFonts w:cs="Arial"/>
          <w:b/>
        </w:rPr>
        <w:t>.</w:t>
      </w:r>
    </w:p>
    <w:p w14:paraId="2300B239" w14:textId="6A2D34B7" w:rsidR="007B2A46" w:rsidRDefault="007B2A46" w:rsidP="007B2A46">
      <w:pPr>
        <w:pStyle w:val="Odstavecseseznamem"/>
        <w:spacing w:before="120" w:after="0" w:line="240" w:lineRule="auto"/>
        <w:ind w:left="709" w:right="260"/>
        <w:jc w:val="both"/>
        <w:rPr>
          <w:rFonts w:cs="Arial"/>
        </w:rPr>
      </w:pPr>
      <w:r>
        <w:rPr>
          <w:rFonts w:cs="Arial"/>
        </w:rPr>
        <w:t>Odměna za jedno období činí</w:t>
      </w:r>
      <w:r>
        <w:rPr>
          <w:rFonts w:cs="Arial"/>
          <w:b/>
        </w:rPr>
        <w:t xml:space="preserve"> </w:t>
      </w:r>
      <w:bookmarkStart w:id="13" w:name="cena"/>
      <w:bookmarkEnd w:id="13"/>
      <w:r w:rsidR="00493C38">
        <w:rPr>
          <w:rFonts w:cs="Arial"/>
          <w:b/>
        </w:rPr>
        <w:t>312 500</w:t>
      </w:r>
      <w:r>
        <w:rPr>
          <w:rFonts w:cs="Arial"/>
          <w:b/>
        </w:rPr>
        <w:t xml:space="preserve"> Kč bez DPH</w:t>
      </w:r>
      <w:r>
        <w:rPr>
          <w:rFonts w:cs="Arial"/>
        </w:rPr>
        <w:t xml:space="preserve"> (dále jen </w:t>
      </w:r>
      <w:r>
        <w:rPr>
          <w:rFonts w:cs="Arial"/>
          <w:b/>
        </w:rPr>
        <w:t>„odměna“</w:t>
      </w:r>
      <w:r>
        <w:rPr>
          <w:rFonts w:cs="Arial"/>
        </w:rPr>
        <w:t xml:space="preserve">). Uživatel se zavazuje zároveň s odměnou uhradit DPH v zákonné výši. </w:t>
      </w:r>
    </w:p>
    <w:p w14:paraId="6CC1F179" w14:textId="77777777" w:rsidR="007B2A46" w:rsidRDefault="007B2A46" w:rsidP="007B2A46">
      <w:pPr>
        <w:ind w:left="567" w:right="260"/>
        <w:jc w:val="both"/>
        <w:rPr>
          <w:rFonts w:cs="Arial"/>
        </w:rPr>
      </w:pPr>
    </w:p>
    <w:p w14:paraId="675994B5" w14:textId="77777777" w:rsidR="004079FF" w:rsidRPr="00EF3CDF" w:rsidRDefault="004079FF" w:rsidP="007B2A46">
      <w:pPr>
        <w:spacing w:after="0" w:line="240" w:lineRule="auto"/>
        <w:ind w:left="284" w:right="260"/>
        <w:jc w:val="both"/>
        <w:rPr>
          <w:rFonts w:cs="Arial"/>
        </w:rPr>
      </w:pPr>
    </w:p>
    <w:sectPr w:rsidR="004079FF" w:rsidRPr="00EF3CDF" w:rsidSect="00AE0052">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04DE" w14:textId="77777777" w:rsidR="00512173" w:rsidRDefault="00512173" w:rsidP="00547186">
      <w:pPr>
        <w:spacing w:after="0" w:line="240" w:lineRule="auto"/>
      </w:pPr>
      <w:r>
        <w:separator/>
      </w:r>
    </w:p>
  </w:endnote>
  <w:endnote w:type="continuationSeparator" w:id="0">
    <w:p w14:paraId="4EDE9715" w14:textId="77777777" w:rsidR="00512173" w:rsidRDefault="00512173" w:rsidP="00547186">
      <w:pPr>
        <w:spacing w:after="0" w:line="240" w:lineRule="auto"/>
      </w:pPr>
      <w:r>
        <w:continuationSeparator/>
      </w:r>
    </w:p>
  </w:endnote>
  <w:endnote w:type="continuationNotice" w:id="1">
    <w:p w14:paraId="3AF6C00B" w14:textId="77777777" w:rsidR="00512173" w:rsidRDefault="00512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9318" w14:textId="77777777" w:rsidR="00512173" w:rsidRDefault="00512173" w:rsidP="00547186">
      <w:pPr>
        <w:spacing w:after="0" w:line="240" w:lineRule="auto"/>
      </w:pPr>
      <w:r>
        <w:separator/>
      </w:r>
    </w:p>
  </w:footnote>
  <w:footnote w:type="continuationSeparator" w:id="0">
    <w:p w14:paraId="00D02339" w14:textId="77777777" w:rsidR="00512173" w:rsidRDefault="00512173" w:rsidP="00547186">
      <w:pPr>
        <w:spacing w:after="0" w:line="240" w:lineRule="auto"/>
      </w:pPr>
      <w:r>
        <w:continuationSeparator/>
      </w:r>
    </w:p>
  </w:footnote>
  <w:footnote w:type="continuationNotice" w:id="1">
    <w:p w14:paraId="02FCE0DB" w14:textId="77777777" w:rsidR="00512173" w:rsidRDefault="005121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2660401">
    <w:abstractNumId w:val="1"/>
  </w:num>
  <w:num w:numId="2" w16cid:durableId="489716170">
    <w:abstractNumId w:val="2"/>
  </w:num>
  <w:num w:numId="3" w16cid:durableId="739403475">
    <w:abstractNumId w:val="5"/>
  </w:num>
  <w:num w:numId="4" w16cid:durableId="1870948418">
    <w:abstractNumId w:val="4"/>
  </w:num>
  <w:num w:numId="5" w16cid:durableId="368144122">
    <w:abstractNumId w:val="8"/>
  </w:num>
  <w:num w:numId="6" w16cid:durableId="445123744">
    <w:abstractNumId w:val="7"/>
  </w:num>
  <w:num w:numId="7" w16cid:durableId="654535206">
    <w:abstractNumId w:val="0"/>
  </w:num>
  <w:num w:numId="8" w16cid:durableId="448938374">
    <w:abstractNumId w:val="6"/>
  </w:num>
  <w:num w:numId="9" w16cid:durableId="1600718268">
    <w:abstractNumId w:val="3"/>
  </w:num>
  <w:num w:numId="10" w16cid:durableId="38715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69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61F0"/>
    <w:rsid w:val="00044E55"/>
    <w:rsid w:val="0005315B"/>
    <w:rsid w:val="00055E17"/>
    <w:rsid w:val="0005697D"/>
    <w:rsid w:val="00060CE1"/>
    <w:rsid w:val="000646EE"/>
    <w:rsid w:val="00073CC1"/>
    <w:rsid w:val="0007402A"/>
    <w:rsid w:val="00075B98"/>
    <w:rsid w:val="00083006"/>
    <w:rsid w:val="0008358C"/>
    <w:rsid w:val="00087C1D"/>
    <w:rsid w:val="000958FA"/>
    <w:rsid w:val="000A32D4"/>
    <w:rsid w:val="000E1505"/>
    <w:rsid w:val="000F78FE"/>
    <w:rsid w:val="00123ED6"/>
    <w:rsid w:val="001255B7"/>
    <w:rsid w:val="0012718F"/>
    <w:rsid w:val="00165A38"/>
    <w:rsid w:val="00185244"/>
    <w:rsid w:val="001A0561"/>
    <w:rsid w:val="001A5FC9"/>
    <w:rsid w:val="001B6172"/>
    <w:rsid w:val="001C2E48"/>
    <w:rsid w:val="001D4173"/>
    <w:rsid w:val="001D75FC"/>
    <w:rsid w:val="00225323"/>
    <w:rsid w:val="0022542E"/>
    <w:rsid w:val="002323F5"/>
    <w:rsid w:val="002364D6"/>
    <w:rsid w:val="0024353C"/>
    <w:rsid w:val="002537C0"/>
    <w:rsid w:val="0026351B"/>
    <w:rsid w:val="002671D7"/>
    <w:rsid w:val="00273172"/>
    <w:rsid w:val="00285F70"/>
    <w:rsid w:val="002A684C"/>
    <w:rsid w:val="002B3739"/>
    <w:rsid w:val="002B75C2"/>
    <w:rsid w:val="002D1CD4"/>
    <w:rsid w:val="002D4D1C"/>
    <w:rsid w:val="002E5EF0"/>
    <w:rsid w:val="002F7BFF"/>
    <w:rsid w:val="003058D5"/>
    <w:rsid w:val="00316444"/>
    <w:rsid w:val="00332D37"/>
    <w:rsid w:val="00337725"/>
    <w:rsid w:val="00337809"/>
    <w:rsid w:val="003404A2"/>
    <w:rsid w:val="00385314"/>
    <w:rsid w:val="003855C6"/>
    <w:rsid w:val="003A045F"/>
    <w:rsid w:val="003A1B08"/>
    <w:rsid w:val="003A22B2"/>
    <w:rsid w:val="003B2487"/>
    <w:rsid w:val="003E174B"/>
    <w:rsid w:val="003E3404"/>
    <w:rsid w:val="00403FD0"/>
    <w:rsid w:val="004079FF"/>
    <w:rsid w:val="00416EDE"/>
    <w:rsid w:val="00432847"/>
    <w:rsid w:val="00441449"/>
    <w:rsid w:val="00446DE6"/>
    <w:rsid w:val="00447B09"/>
    <w:rsid w:val="0045695C"/>
    <w:rsid w:val="004655B7"/>
    <w:rsid w:val="00465810"/>
    <w:rsid w:val="00470B4F"/>
    <w:rsid w:val="004731C5"/>
    <w:rsid w:val="00493C38"/>
    <w:rsid w:val="004A161E"/>
    <w:rsid w:val="004A73FE"/>
    <w:rsid w:val="004B1AE6"/>
    <w:rsid w:val="004E1CB3"/>
    <w:rsid w:val="004E6303"/>
    <w:rsid w:val="004E6A28"/>
    <w:rsid w:val="004F17D0"/>
    <w:rsid w:val="00501BE2"/>
    <w:rsid w:val="00503A13"/>
    <w:rsid w:val="00503E20"/>
    <w:rsid w:val="00511E65"/>
    <w:rsid w:val="00512173"/>
    <w:rsid w:val="005210EA"/>
    <w:rsid w:val="005233DA"/>
    <w:rsid w:val="00530C85"/>
    <w:rsid w:val="00531CD5"/>
    <w:rsid w:val="00537A77"/>
    <w:rsid w:val="0054128B"/>
    <w:rsid w:val="005422FB"/>
    <w:rsid w:val="00543C55"/>
    <w:rsid w:val="00543C9C"/>
    <w:rsid w:val="00547186"/>
    <w:rsid w:val="00547F43"/>
    <w:rsid w:val="00561F00"/>
    <w:rsid w:val="0056217F"/>
    <w:rsid w:val="00565FD1"/>
    <w:rsid w:val="00567F36"/>
    <w:rsid w:val="005833B4"/>
    <w:rsid w:val="00591859"/>
    <w:rsid w:val="005A1A1C"/>
    <w:rsid w:val="005A46FA"/>
    <w:rsid w:val="005A7E99"/>
    <w:rsid w:val="005B0FD1"/>
    <w:rsid w:val="005C5FDE"/>
    <w:rsid w:val="005D4DF6"/>
    <w:rsid w:val="005E0650"/>
    <w:rsid w:val="005E15A9"/>
    <w:rsid w:val="005F75F1"/>
    <w:rsid w:val="00620707"/>
    <w:rsid w:val="00622111"/>
    <w:rsid w:val="006235BA"/>
    <w:rsid w:val="00623B46"/>
    <w:rsid w:val="0063440D"/>
    <w:rsid w:val="00650429"/>
    <w:rsid w:val="006576F0"/>
    <w:rsid w:val="00665C3B"/>
    <w:rsid w:val="00665C84"/>
    <w:rsid w:val="00670E60"/>
    <w:rsid w:val="0067317B"/>
    <w:rsid w:val="0068609C"/>
    <w:rsid w:val="00690122"/>
    <w:rsid w:val="006952EE"/>
    <w:rsid w:val="006A183E"/>
    <w:rsid w:val="006B19E0"/>
    <w:rsid w:val="006C0AAC"/>
    <w:rsid w:val="006C3D8A"/>
    <w:rsid w:val="006C42F3"/>
    <w:rsid w:val="006C58B8"/>
    <w:rsid w:val="006D2859"/>
    <w:rsid w:val="006D7CFA"/>
    <w:rsid w:val="006E0E24"/>
    <w:rsid w:val="007115BE"/>
    <w:rsid w:val="00714B39"/>
    <w:rsid w:val="0072498A"/>
    <w:rsid w:val="00737ABB"/>
    <w:rsid w:val="007433D6"/>
    <w:rsid w:val="00745ED1"/>
    <w:rsid w:val="0074621D"/>
    <w:rsid w:val="00761CD7"/>
    <w:rsid w:val="007703A4"/>
    <w:rsid w:val="00770D15"/>
    <w:rsid w:val="00787846"/>
    <w:rsid w:val="007B2A46"/>
    <w:rsid w:val="007C75B2"/>
    <w:rsid w:val="007D4A0D"/>
    <w:rsid w:val="007E3026"/>
    <w:rsid w:val="007E6F3D"/>
    <w:rsid w:val="007F5863"/>
    <w:rsid w:val="00804105"/>
    <w:rsid w:val="008109B4"/>
    <w:rsid w:val="00812F5E"/>
    <w:rsid w:val="00822301"/>
    <w:rsid w:val="0082259C"/>
    <w:rsid w:val="00827256"/>
    <w:rsid w:val="00834DE9"/>
    <w:rsid w:val="00842E9B"/>
    <w:rsid w:val="00843332"/>
    <w:rsid w:val="008452EE"/>
    <w:rsid w:val="00850616"/>
    <w:rsid w:val="00850834"/>
    <w:rsid w:val="0086053E"/>
    <w:rsid w:val="008607AE"/>
    <w:rsid w:val="0086100B"/>
    <w:rsid w:val="00863293"/>
    <w:rsid w:val="00865718"/>
    <w:rsid w:val="00870341"/>
    <w:rsid w:val="00871D97"/>
    <w:rsid w:val="00877B9C"/>
    <w:rsid w:val="00890700"/>
    <w:rsid w:val="00892E12"/>
    <w:rsid w:val="00893F43"/>
    <w:rsid w:val="008949E6"/>
    <w:rsid w:val="008A4DD4"/>
    <w:rsid w:val="008A77E9"/>
    <w:rsid w:val="008B5365"/>
    <w:rsid w:val="008B5C8E"/>
    <w:rsid w:val="008B63D9"/>
    <w:rsid w:val="008C0362"/>
    <w:rsid w:val="008C436E"/>
    <w:rsid w:val="008D2248"/>
    <w:rsid w:val="008E6381"/>
    <w:rsid w:val="008F467C"/>
    <w:rsid w:val="008F6C81"/>
    <w:rsid w:val="00906DF0"/>
    <w:rsid w:val="00911035"/>
    <w:rsid w:val="00924B06"/>
    <w:rsid w:val="009344E2"/>
    <w:rsid w:val="00934D79"/>
    <w:rsid w:val="00960A36"/>
    <w:rsid w:val="00967AF0"/>
    <w:rsid w:val="00972DB0"/>
    <w:rsid w:val="00974B34"/>
    <w:rsid w:val="009777E1"/>
    <w:rsid w:val="0099383E"/>
    <w:rsid w:val="009B1ECD"/>
    <w:rsid w:val="009B7175"/>
    <w:rsid w:val="009C276F"/>
    <w:rsid w:val="009C4E02"/>
    <w:rsid w:val="009C60A5"/>
    <w:rsid w:val="009C70CF"/>
    <w:rsid w:val="009D37E0"/>
    <w:rsid w:val="009F5AB5"/>
    <w:rsid w:val="009F7FF9"/>
    <w:rsid w:val="00A007AF"/>
    <w:rsid w:val="00A06019"/>
    <w:rsid w:val="00A14088"/>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192F"/>
    <w:rsid w:val="00AA21C5"/>
    <w:rsid w:val="00AA5CD9"/>
    <w:rsid w:val="00AB4A05"/>
    <w:rsid w:val="00AC233F"/>
    <w:rsid w:val="00AE0052"/>
    <w:rsid w:val="00AE779F"/>
    <w:rsid w:val="00AF255F"/>
    <w:rsid w:val="00AF6F21"/>
    <w:rsid w:val="00B015EA"/>
    <w:rsid w:val="00B41495"/>
    <w:rsid w:val="00B47F61"/>
    <w:rsid w:val="00B61FB2"/>
    <w:rsid w:val="00B67BA6"/>
    <w:rsid w:val="00B67BE9"/>
    <w:rsid w:val="00B873B7"/>
    <w:rsid w:val="00B877BC"/>
    <w:rsid w:val="00B90234"/>
    <w:rsid w:val="00B93171"/>
    <w:rsid w:val="00BA6071"/>
    <w:rsid w:val="00BB4028"/>
    <w:rsid w:val="00BB4510"/>
    <w:rsid w:val="00BC421B"/>
    <w:rsid w:val="00BD6724"/>
    <w:rsid w:val="00BD6D90"/>
    <w:rsid w:val="00BD7DF5"/>
    <w:rsid w:val="00BE07B5"/>
    <w:rsid w:val="00BE2829"/>
    <w:rsid w:val="00BE7B9C"/>
    <w:rsid w:val="00BF2030"/>
    <w:rsid w:val="00BF3744"/>
    <w:rsid w:val="00BF6B5E"/>
    <w:rsid w:val="00BF7513"/>
    <w:rsid w:val="00C13091"/>
    <w:rsid w:val="00C23EA3"/>
    <w:rsid w:val="00C27A5D"/>
    <w:rsid w:val="00C344C2"/>
    <w:rsid w:val="00C35D51"/>
    <w:rsid w:val="00C41894"/>
    <w:rsid w:val="00C4724E"/>
    <w:rsid w:val="00C602EA"/>
    <w:rsid w:val="00C73B26"/>
    <w:rsid w:val="00C948D7"/>
    <w:rsid w:val="00C961AB"/>
    <w:rsid w:val="00C9638D"/>
    <w:rsid w:val="00CA2C61"/>
    <w:rsid w:val="00CA66FD"/>
    <w:rsid w:val="00CB23DE"/>
    <w:rsid w:val="00CC5AE0"/>
    <w:rsid w:val="00CD0709"/>
    <w:rsid w:val="00CF1D37"/>
    <w:rsid w:val="00CF6B41"/>
    <w:rsid w:val="00CF7ABB"/>
    <w:rsid w:val="00D043C5"/>
    <w:rsid w:val="00D101AA"/>
    <w:rsid w:val="00D142FD"/>
    <w:rsid w:val="00D21AA3"/>
    <w:rsid w:val="00D22551"/>
    <w:rsid w:val="00D25753"/>
    <w:rsid w:val="00D34D4F"/>
    <w:rsid w:val="00D4323F"/>
    <w:rsid w:val="00D55C0A"/>
    <w:rsid w:val="00D609FA"/>
    <w:rsid w:val="00D6440C"/>
    <w:rsid w:val="00D67A93"/>
    <w:rsid w:val="00D8019B"/>
    <w:rsid w:val="00D80A93"/>
    <w:rsid w:val="00D81FEE"/>
    <w:rsid w:val="00D82BA6"/>
    <w:rsid w:val="00D86ECC"/>
    <w:rsid w:val="00D91793"/>
    <w:rsid w:val="00DA7888"/>
    <w:rsid w:val="00DE3EAA"/>
    <w:rsid w:val="00DE7823"/>
    <w:rsid w:val="00DF1A06"/>
    <w:rsid w:val="00DF3D27"/>
    <w:rsid w:val="00E02BD2"/>
    <w:rsid w:val="00E1018C"/>
    <w:rsid w:val="00E161F7"/>
    <w:rsid w:val="00E206BE"/>
    <w:rsid w:val="00E261BD"/>
    <w:rsid w:val="00E268F1"/>
    <w:rsid w:val="00E30189"/>
    <w:rsid w:val="00E37433"/>
    <w:rsid w:val="00E37C9E"/>
    <w:rsid w:val="00E40174"/>
    <w:rsid w:val="00E45699"/>
    <w:rsid w:val="00E46964"/>
    <w:rsid w:val="00E535B4"/>
    <w:rsid w:val="00E64B8F"/>
    <w:rsid w:val="00E66DA5"/>
    <w:rsid w:val="00E67775"/>
    <w:rsid w:val="00E7211B"/>
    <w:rsid w:val="00E816CB"/>
    <w:rsid w:val="00E925FE"/>
    <w:rsid w:val="00EA6936"/>
    <w:rsid w:val="00EC1E86"/>
    <w:rsid w:val="00ED67A5"/>
    <w:rsid w:val="00EE1A1A"/>
    <w:rsid w:val="00EE35FC"/>
    <w:rsid w:val="00EF3CDF"/>
    <w:rsid w:val="00F0354F"/>
    <w:rsid w:val="00F07751"/>
    <w:rsid w:val="00F13846"/>
    <w:rsid w:val="00F16286"/>
    <w:rsid w:val="00F23360"/>
    <w:rsid w:val="00F278EB"/>
    <w:rsid w:val="00F303E2"/>
    <w:rsid w:val="00F4478D"/>
    <w:rsid w:val="00F45F4D"/>
    <w:rsid w:val="00F46029"/>
    <w:rsid w:val="00F50E7B"/>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B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Nevyeenzmnka">
    <w:name w:val="Unresolved Mention"/>
    <w:basedOn w:val="Standardnpsmoodstavce"/>
    <w:uiPriority w:val="99"/>
    <w:semiHidden/>
    <w:unhideWhenUsed/>
    <w:rsid w:val="0083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nssoud.cz" TargetMode="External"/><Relationship Id="rId3" Type="http://schemas.openxmlformats.org/officeDocument/2006/relationships/settings" Target="settings.xml"/><Relationship Id="rId7" Type="http://schemas.openxmlformats.org/officeDocument/2006/relationships/hyperlink" Target="http://www.beck-onlin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ck-onlin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5834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2024-11-19T10:34:00Z</dcterms:created>
  <dcterms:modified xsi:type="dcterms:W3CDTF">2024-11-20T08:15:00Z</dcterms:modified>
</cp:coreProperties>
</file>