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920" w:firstLine="0"/>
        <w:jc w:val="right"/>
      </w:pPr>
      <w:r>
        <w:rPr>
          <w:rStyle w:val="CharStyle5"/>
        </w:rPr>
        <w:t>2024009479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7"/>
          <w:b/>
          <w:bCs/>
        </w:rPr>
        <w:t>KUPNÍ SMLOUVA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324" w:lineRule="auto"/>
        <w:ind w:left="0" w:right="0" w:firstLine="0"/>
        <w:jc w:val="center"/>
      </w:pPr>
      <w:r>
        <w:rPr>
          <w:rStyle w:val="CharStyle3"/>
        </w:rPr>
        <w:t>uzavřená v souladu s ustanovením § 2079 a násl. zákona č. 89/2012 Sb., občanský zákoník,</w:t>
        <w:br/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2659"/>
        <w:gridCol w:w="6182"/>
      </w:tblGrid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rStyle w:val="CharStyle22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shd w:val="clear" w:color="auto" w:fill="000000"/>
              </w:rPr>
              <w:t>.......​...........​.</w:t>
            </w:r>
            <w:r>
              <w:rPr>
                <w:rStyle w:val="CharStyle22"/>
                <w:spacing w:val="1"/>
                <w:shd w:val="clear" w:color="auto" w:fill="000000"/>
              </w:rPr>
              <w:t>..........</w:t>
            </w:r>
            <w:r>
              <w:rPr>
                <w:rStyle w:val="CharStyle22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2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CharStyle22"/>
                <w:spacing w:val="2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22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6"/>
                <w:shd w:val="clear" w:color="auto" w:fill="000000"/>
              </w:rPr>
              <w:t>..</w:t>
            </w:r>
            <w:r>
              <w:rPr>
                <w:rStyle w:val="CharStyle22"/>
                <w:spacing w:val="7"/>
                <w:shd w:val="clear" w:color="auto" w:fill="000000"/>
              </w:rPr>
              <w:t>....</w:t>
            </w:r>
            <w:r>
              <w:rPr>
                <w:rStyle w:val="CharStyle22"/>
                <w:shd w:val="clear" w:color="auto" w:fill="000000"/>
              </w:rPr>
              <w:t>​....</w:t>
            </w:r>
            <w:r>
              <w:rPr>
                <w:rStyle w:val="CharStyle22"/>
                <w:spacing w:val="1"/>
                <w:shd w:val="clear" w:color="auto" w:fill="000000"/>
              </w:rPr>
              <w:t>.....</w:t>
            </w:r>
            <w:r>
              <w:rPr>
                <w:rStyle w:val="CharStyle22"/>
                <w:shd w:val="clear" w:color="auto" w:fill="000000"/>
              </w:rPr>
              <w:t>​.......​</w:t>
            </w:r>
            <w:r>
              <w:rPr>
                <w:rStyle w:val="CharStyle22"/>
                <w:spacing w:val="6"/>
                <w:shd w:val="clear" w:color="auto" w:fill="000000"/>
              </w:rPr>
              <w:t>.....</w:t>
            </w:r>
            <w:r>
              <w:rPr>
                <w:rStyle w:val="CharStyle22"/>
                <w:spacing w:val="7"/>
                <w:shd w:val="clear" w:color="auto" w:fill="000000"/>
              </w:rPr>
              <w:t>.</w:t>
            </w:r>
            <w:r>
              <w:rPr>
                <w:rStyle w:val="CharStyle22"/>
                <w:shd w:val="clear" w:color="auto" w:fill="000000"/>
              </w:rPr>
              <w:t>​......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IČO: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DIČ: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00346292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CZ00346292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MONETA Money Bank, a.s., č. ú. 117203514/0600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9"/>
        </w:rPr>
        <w:t xml:space="preserve">(dále jen </w:t>
      </w:r>
      <w:r>
        <w:rPr>
          <w:rStyle w:val="CharStyle19"/>
          <w:b/>
          <w:bCs/>
          <w:i/>
          <w:iCs/>
          <w:sz w:val="18"/>
          <w:szCs w:val="18"/>
        </w:rPr>
        <w:t>„kupující'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59"/>
        <w:gridCol w:w="6178"/>
      </w:tblGrid>
      <w:tr>
        <w:trPr>
          <w:trHeight w:val="6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2"/>
                <w:sz w:val="16"/>
                <w:szCs w:val="16"/>
              </w:rPr>
              <w:t>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b/>
                <w:bCs/>
              </w:rPr>
              <w:t>PER4MANCE s.r.o.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Fišova 399/3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Ing. Petr Maleňák, jednatel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shd w:val="clear" w:color="auto" w:fill="000000"/>
              </w:rPr>
              <w:t>.......​</w:t>
            </w:r>
            <w:r>
              <w:rPr>
                <w:rStyle w:val="CharStyle22"/>
                <w:spacing w:val="8"/>
                <w:shd w:val="clear" w:color="auto" w:fill="000000"/>
              </w:rPr>
              <w:t>.....</w:t>
            </w:r>
            <w:r>
              <w:rPr>
                <w:rStyle w:val="CharStyle22"/>
                <w:shd w:val="clear" w:color="auto" w:fill="000000"/>
              </w:rPr>
              <w:t>​.</w:t>
            </w:r>
            <w:r>
              <w:rPr>
                <w:rStyle w:val="CharStyle22"/>
                <w:spacing w:val="1"/>
                <w:shd w:val="clear" w:color="auto" w:fill="000000"/>
              </w:rPr>
              <w:t>..........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60749024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CZ60749024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Krajský soud v Brně sp. zn. C19044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Komerční banka a.s., č.ú. 7217750277/0100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9"/>
        </w:rPr>
        <w:t xml:space="preserve">(dále jen </w:t>
      </w:r>
      <w:r>
        <w:rPr>
          <w:rStyle w:val="CharStyle19"/>
          <w:b/>
          <w:bCs/>
          <w:i/>
          <w:iCs/>
          <w:sz w:val="18"/>
          <w:szCs w:val="18"/>
        </w:rPr>
        <w:t>„prodávající )</w:t>
      </w:r>
    </w:p>
    <w:p>
      <w:pPr>
        <w:widowControl w:val="0"/>
        <w:spacing w:after="6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3"/>
        </w:rPr>
        <w:t xml:space="preserve">Prodávající je oprávněn na základě svého vlastnického práva nakládat se zbožím v podobě: </w:t>
      </w:r>
      <w:r>
        <w:rPr>
          <w:rStyle w:val="CharStyle3"/>
          <w:b/>
          <w:bCs/>
        </w:rPr>
        <w:t xml:space="preserve">4 ks switch. </w:t>
      </w:r>
      <w:r>
        <w:rPr>
          <w:rStyle w:val="CharStyle3"/>
        </w:rPr>
        <w:t>Podrobná specifikace tohoto zboží je uvedena v příloze č. 1, která je nedílnou součástí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0" w:lineRule="auto"/>
        <w:ind w:left="420" w:right="0" w:hanging="420"/>
        <w:jc w:val="both"/>
      </w:pPr>
      <w:r>
        <w:rPr>
          <w:rStyle w:val="CharStyle3"/>
        </w:rPr>
        <w:t>Prodávající prodává zboží podle čl. 1 této smlouvy se všemi jejich součástmi a příslušenstvím kupujícímu, a kupující kupuje toto zboží do vlastnictví Jihomoravského kraje, jako svého zřizovatele, za kupní cenu podle čl. 6 této smlouvy. Součástí tohoto závazku prodávajícího je také dodání technické dokumentace příslušného zboží a návodu k jeho obsluze, a dokladů prokazujících shodu, to vše v českém jazyce, a v tištěné i elektronické podobě.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7" w:lineRule="auto"/>
        <w:ind w:left="420" w:right="0" w:hanging="420"/>
        <w:jc w:val="both"/>
      </w:pPr>
      <w:r>
        <w:rPr>
          <w:rStyle w:val="CharStyle3"/>
        </w:rPr>
        <w:t xml:space="preserve">Prodávající se zavazuje splnit svůj závazek k dodání zboží podle čl. 1 této smlouvy nejpozději do </w:t>
      </w:r>
      <w:r>
        <w:rPr>
          <w:rStyle w:val="CharStyle3"/>
          <w:b/>
          <w:bCs/>
        </w:rPr>
        <w:t xml:space="preserve">16. 12. 2024 </w:t>
      </w:r>
      <w:r>
        <w:rPr>
          <w:rStyle w:val="CharStyle3"/>
        </w:rPr>
        <w:t>a to v místě splnění tohoto závazku, kterým je sídlo kupujícího v Brně, Kamenice 798/1 d, 625 00 Brno.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0" w:lineRule="auto"/>
        <w:ind w:left="420" w:right="0" w:hanging="420"/>
        <w:jc w:val="both"/>
      </w:pPr>
      <w:r>
        <w:rPr>
          <w:rStyle w:val="CharStyle3"/>
        </w:rPr>
        <w:t>Závazek prodávajícího ke splnění jeho závazku k dodání zboží podle čl. 1 této smlouvy se pak považuje za splněný po faktickém předání a převzetí zboží prostého všech vad, po jeho instalaci a konfiguraci v místě plnění včetně všech firmware na poslední aktuální a stabilní verze a součinnosti při zařazení do stávajícího prostředí-na základě písemného předávacího protokolu, podepsaného oběma stranami. Přílohou předávacího protokolu bude rovněž oboustranně potvrzený akceptační protokol.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0" w:line="283" w:lineRule="auto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celkovou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83" w:lineRule="auto"/>
        <w:ind w:left="0" w:right="0" w:firstLine="0"/>
        <w:jc w:val="center"/>
      </w:pPr>
      <w:r>
        <w:rPr>
          <w:rStyle w:val="CharStyle3"/>
          <w:b/>
          <w:bCs/>
        </w:rPr>
        <w:t>787 400,- Kč bez DPH, tj. 952 754,- 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400" w:right="0" w:firstLine="0"/>
        <w:jc w:val="both"/>
      </w:pPr>
      <w:r>
        <w:rPr>
          <w:rStyle w:val="CharStyle3"/>
        </w:rPr>
        <w:t>Součástí této ceny jsou veškeré náklady prodávajícího na splnění jeho závazku k dodání zboží podle této smlouvy a daň z přidané hodnoty v sazbě podle zákona.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3"/>
          <w:spacing w:val="1"/>
          <w:u w:val="single"/>
          <w:shd w:val="clear" w:color="auto" w:fill="000000"/>
        </w:rPr>
        <w:t>...........................</w:t>
      </w:r>
      <w:r>
        <w:rPr>
          <w:rStyle w:val="CharStyle3"/>
          <w:spacing w:val="2"/>
          <w:u w:val="single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.​...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color w:val="90B6D9"/>
          <w:lang w:val="en-US" w:eastAsia="en-US" w:bidi="en-US"/>
        </w:rPr>
        <w:t xml:space="preserve"> </w:t>
      </w:r>
      <w:r>
        <w:rPr>
          <w:rStyle w:val="CharStyle3"/>
        </w:rPr>
        <w:t xml:space="preserve">a musí obsahovat mimo jiné toto číslo veřejné zakázky: </w:t>
      </w:r>
      <w:r>
        <w:rPr>
          <w:rStyle w:val="CharStyle3"/>
          <w:b/>
          <w:bCs/>
        </w:rPr>
        <w:t xml:space="preserve">P24V00003477. </w:t>
      </w:r>
      <w:r>
        <w:rPr>
          <w:rStyle w:val="CharStyle3"/>
        </w:rPr>
        <w:t>Přílohou faktury bude kopie písemného předávacího protokolu podepsaného oběma stranami.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 xml:space="preserve">V případě dodání zboží podle čl. 1 této smlouvy je pak s převodem tohoto zboží spojena záruka za jakost v trvání </w:t>
      </w:r>
      <w:r>
        <w:rPr>
          <w:rStyle w:val="CharStyle3"/>
          <w:b/>
          <w:bCs/>
        </w:rPr>
        <w:t xml:space="preserve">60 měsíců </w:t>
      </w:r>
      <w:r>
        <w:rPr>
          <w:rStyle w:val="CharStyle3"/>
        </w:rPr>
        <w:t>ode dne splnění závazku prodávajícího k dodání tohoto zboží. V rámci této záruky se prodávající zavazuje odstraňovat vady na zboží podle čl. 1 této smlouvy ve lhůtě do 30 dnů od doručení příslušné reklamace kupujícího. Vzhledem k povaze zboží podle čl. 1 této smlouvy lze dodržet lhůtu podle tohoto článku této smlouvy i zapůjčením stejného zboží na dobu potřebnou k odstranění vady.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0" w:lineRule="auto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či. 7 této smlouvy o více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0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300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</w:t>
        <w:br w:type="page"/>
      </w:r>
      <w:r>
        <w:rPr>
          <w:rStyle w:val="CharStyle3"/>
        </w:rPr>
        <w:t>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0" w:right="0" w:firstLine="0"/>
        <w:jc w:val="both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300" w:lineRule="auto"/>
        <w:ind w:left="400" w:right="0" w:hanging="40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0" w:right="0" w:firstLine="0"/>
        <w:jc w:val="both"/>
      </w:pPr>
      <w:r>
        <w:rPr>
          <w:rStyle w:val="CharStyle3"/>
        </w:rPr>
        <w:t>Tato smlouva nabývá účinnosti dnem jejího uveřejnění v registru smluv dle čl. 16.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400" w:right="0" w:hanging="400"/>
        <w:jc w:val="both"/>
      </w:pPr>
      <w:r>
        <w:rPr>
          <w:rStyle w:val="CharStyle3"/>
        </w:rPr>
        <w:t>Tato smlouva se vyhotovuje ve dvou stejnopisech s platností originálu, z nichž každá ze smluvních stran obdrží jedno vyhotovení. V případě, že je tato smlouva uzavřena elektronickými ■prostředky, obdrží každá smluvní strana jeden identický elektronický soubor.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0"/>
        <w:ind w:left="400" w:right="0" w:hanging="40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97" w:right="1530" w:bottom="1648" w:left="1494" w:header="869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09575" distB="27305" distL="0" distR="0" simplePos="0" relativeHeight="125829378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409575</wp:posOffset>
                </wp:positionV>
                <wp:extent cx="2331720" cy="16217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1720" cy="1621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477" w:val="left"/>
                              </w:tabs>
                              <w:bidi w:val="0"/>
                              <w:spacing w:before="0" w:after="6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OI ID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Hans </w:t>
                            </w:r>
                            <w:r>
                              <w:rPr>
                                <w:rStyle w:val="CharStyle5"/>
                              </w:rPr>
                              <w:t xml:space="preserve">Digital ně podepsal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1V1UMI. ndl </w:t>
                            </w:r>
                            <w:r>
                              <w:rPr>
                                <w:rStyle w:val="CharStyle5"/>
                              </w:rPr>
                              <w:t>1^'MUDr.Hana Albrechtová</w:t>
                            </w:r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9"/>
                              </w:rPr>
                              <w:t>Albrechtová-^“™</w:t>
                            </w:r>
                            <w:r>
                              <w:rPr>
                                <w:rStyle w:val="CharStyle9"/>
                                <w:vertAlign w:val="superscript"/>
                              </w:rPr>
                              <w:t>9</w:t>
                            </w:r>
                            <w:bookmarkEnd w:id="0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150000000000006pt;margin-top:32.25pt;width:183.59999999999999pt;height:127.7pt;z-index:-125829375;mso-wrap-distance-left:0;mso-wrap-distance-top:32.25pt;mso-wrap-distance-right:0;mso-wrap-distance-bottom:2.14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477" w:val="left"/>
                        </w:tabs>
                        <w:bidi w:val="0"/>
                        <w:spacing w:before="0" w:after="6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17"/>
                          <w:szCs w:val="17"/>
                        </w:rPr>
                        <w:t xml:space="preserve">OI ID </w:t>
                      </w: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Style w:val="CharStyle5"/>
                          <w:b/>
                          <w:bCs/>
                          <w:sz w:val="17"/>
                          <w:szCs w:val="17"/>
                        </w:rPr>
                        <w:t xml:space="preserve"> Hans </w:t>
                      </w:r>
                      <w:r>
                        <w:rPr>
                          <w:rStyle w:val="CharStyle5"/>
                        </w:rPr>
                        <w:t xml:space="preserve">Digital ně podepsal </w:t>
                      </w:r>
                      <w:r>
                        <w:rPr>
                          <w:rStyle w:val="CharStyle5"/>
                          <w:b/>
                          <w:bCs/>
                          <w:sz w:val="17"/>
                          <w:szCs w:val="17"/>
                        </w:rPr>
                        <w:t xml:space="preserve">1V1UMI. ndl </w:t>
                      </w:r>
                      <w:r>
                        <w:rPr>
                          <w:rStyle w:val="CharStyle5"/>
                        </w:rPr>
                        <w:t>1^'MUDr.Hana Albrechtová</w:t>
                      </w:r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9"/>
                        </w:rPr>
                        <w:t>Albrechtová-^“™</w:t>
                      </w:r>
                      <w:r>
                        <w:rPr>
                          <w:rStyle w:val="CharStyle9"/>
                          <w:vertAlign w:val="superscript"/>
                        </w:rPr>
                        <w:t>9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6400" distB="1506220" distL="0" distR="0" simplePos="0" relativeHeight="125829380" behindDoc="0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406400</wp:posOffset>
                </wp:positionV>
                <wp:extent cx="1304290" cy="1460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429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 31/10/2024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7.65000000000003pt;margin-top:32.pt;width:102.7pt;height:11.5pt;z-index:-125829373;mso-wrap-distance-left:0;mso-wrap-distance-top:32.pt;mso-wrap-distance-right:0;mso-wrap-distance-bottom:118.6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31/10/2024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90575" distB="734695" distL="0" distR="0" simplePos="0" relativeHeight="125829382" behindDoc="0" locked="0" layoutInCell="1" allowOverlap="1">
                <wp:simplePos x="0" y="0"/>
                <wp:positionH relativeFrom="page">
                  <wp:posOffset>4179570</wp:posOffset>
                </wp:positionH>
                <wp:positionV relativeFrom="paragraph">
                  <wp:posOffset>790575</wp:posOffset>
                </wp:positionV>
                <wp:extent cx="783590" cy="5334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359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bookmarkStart w:id="2" w:name="bookmark2"/>
                            <w:r>
                              <w:rPr>
                                <w:rStyle w:val="CharStyle9"/>
                              </w:rPr>
                              <w:t>Ing. Petr</w:t>
                              <w:br/>
                              <w:t>Maleňák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9.10000000000002pt;margin-top:62.25pt;width:61.700000000000003pt;height:42.pt;z-index:-125829371;mso-wrap-distance-left:0;mso-wrap-distance-top:62.25pt;mso-wrap-distance-right:0;mso-wrap-distance-bottom:57.8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rStyle w:val="CharStyle9"/>
                        </w:rPr>
                        <w:t>Ing. Petr</w:t>
                        <w:br/>
                        <w:t>Maleňák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156335" distB="746760" distL="0" distR="0" simplePos="0" relativeHeight="125829384" behindDoc="0" locked="0" layoutInCell="1" allowOverlap="1">
            <wp:simplePos x="0" y="0"/>
            <wp:positionH relativeFrom="page">
              <wp:posOffset>5088255</wp:posOffset>
            </wp:positionH>
            <wp:positionV relativeFrom="paragraph">
              <wp:posOffset>1156335</wp:posOffset>
            </wp:positionV>
            <wp:extent cx="158750" cy="15875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587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933450" distB="896620" distL="0" distR="0" simplePos="0" relativeHeight="125829385" behindDoc="0" locked="0" layoutInCell="1" allowOverlap="1">
                <wp:simplePos x="0" y="0"/>
                <wp:positionH relativeFrom="page">
                  <wp:posOffset>5219065</wp:posOffset>
                </wp:positionH>
                <wp:positionV relativeFrom="paragraph">
                  <wp:posOffset>933450</wp:posOffset>
                </wp:positionV>
                <wp:extent cx="1243330" cy="22860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333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ÁDIgltálně podepsal Ing. Petr Maleňák / batúrrK2024.1031 08:4836 +01’00’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0.94999999999999pt;margin-top:73.5pt;width:97.900000000000006pt;height:18.pt;z-index:-125829368;mso-wrap-distance-left:0;mso-wrap-distance-top:73.5pt;mso-wrap-distance-right:0;mso-wrap-distance-bottom:70.60000000000000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ÁDIgltálně podepsal Ing. Petr Maleňák / batúrrK2024.1031 08:4836 +01’00’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43050" distB="635" distL="0" distR="0" simplePos="0" relativeHeight="125829387" behindDoc="0" locked="0" layoutInCell="1" allowOverlap="1">
                <wp:simplePos x="0" y="0"/>
                <wp:positionH relativeFrom="page">
                  <wp:posOffset>4155440</wp:posOffset>
                </wp:positionH>
                <wp:positionV relativeFrom="paragraph">
                  <wp:posOffset>1543050</wp:posOffset>
                </wp:positionV>
                <wp:extent cx="1017905" cy="51498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7905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Ing. Petr Maleňák jednatel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7.19999999999999pt;margin-top:121.5pt;width:80.150000000000006pt;height:40.550000000000004pt;z-index:-125829366;mso-wrap-distance-left:0;mso-wrap-distance-top:121.5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Ing. Petr Maleňák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7" w:after="4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79" w:right="0" w:bottom="157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79" w:right="1555" w:bottom="1579" w:left="1471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Příloha č. 1 Technická specifikace, cenová nabídka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>Příloha č. 1 Technická specifikace, cenová nabídka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>Switche L3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>Swiche mGigabit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95" w:lineRule="auto"/>
        <w:ind w:left="0" w:right="0" w:firstLine="0"/>
        <w:jc w:val="left"/>
      </w:pPr>
      <w:r>
        <w:rPr>
          <w:rStyle w:val="CharStyle3"/>
        </w:rPr>
        <w:t>Je požadována dodávka dvou switchů s mGig porty (Multigigabit: 1, 2.5, 5 a 10Gbps) zapojených do funkčního stacku(včetněstack-kabelů) dle následujícíspecifikace pro.každýze switchů:</w:t>
      </w:r>
    </w:p>
    <w:tbl>
      <w:tblPr>
        <w:tblOverlap w:val="never"/>
        <w:jc w:val="center"/>
        <w:tblLayout w:type="fixed"/>
      </w:tblPr>
      <w:tblGrid>
        <w:gridCol w:w="4003"/>
        <w:gridCol w:w="4675"/>
      </w:tblGrid>
      <w:tr>
        <w:trPr>
          <w:trHeight w:val="30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50" w:val="left"/>
                <w:tab w:pos="2885" w:val="left"/>
                <w:tab w:pos="702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'</w:t>
              <w:tab/>
              <w:t>,</w:t>
              <w:tab/>
              <w:t>Switché do štacfcs mGig porty f *' ' "</w:t>
              <w:tab/>
              <w:t>’’ /"W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Označení (obchodní/typové)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C9300X-48TX-E + C9300-NM-8X=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Výrobce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Cisco Systems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Počet kusů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2</w:t>
            </w:r>
          </w:p>
        </w:tc>
      </w:tr>
    </w:tbl>
    <w:p>
      <w:pPr>
        <w:widowControl w:val="0"/>
        <w:spacing w:after="219" w:line="1" w:lineRule="exact"/>
      </w:pPr>
    </w:p>
    <w:tbl>
      <w:tblPr>
        <w:tblOverlap w:val="never"/>
        <w:jc w:val="center"/>
        <w:tblLayout w:type="fixed"/>
      </w:tblPr>
      <w:tblGrid>
        <w:gridCol w:w="6768"/>
        <w:gridCol w:w="1920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22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£,«.** '*</w:t>
              <w:tab/>
              <w:t>Switch s mGig porty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595" w:val="left"/>
                <w:tab w:pos="97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22"/>
                <w:rFonts w:ascii="Courier New" w:eastAsia="Courier New" w:hAnsi="Courier New" w:cs="Courier New"/>
                <w:i/>
                <w:iCs/>
                <w:sz w:val="11"/>
                <w:szCs w:val="11"/>
              </w:rPr>
              <w:t>l</w:t>
            </w:r>
            <w:r>
              <w:rPr>
                <w:rStyle w:val="CharStyle22"/>
                <w:rFonts w:ascii="Times New Roman" w:eastAsia="Times New Roman" w:hAnsi="Times New Roman" w:cs="Times New Roman"/>
                <w:sz w:val="13"/>
                <w:szCs w:val="13"/>
              </w:rPr>
              <w:tab/>
              <w:t>ř</w:t>
              <w:tab/>
              <w:t>t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'Plnění požadavku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Provedení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Provedení RACK - šíře 19”, max. 1U, včetně rack mount kitu.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66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'</w:t>
              <w:tab/>
              <w:t>ANO</w:t>
            </w:r>
          </w:p>
        </w:tc>
      </w:tr>
      <w:tr>
        <w:trPr>
          <w:trHeight w:val="3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22"/>
              </w:rPr>
              <w:t>Základní požadavky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62" w:lineRule="auto"/>
              <w:ind w:left="0" w:right="0" w:firstLine="440"/>
              <w:jc w:val="both"/>
            </w:pPr>
            <w:r>
              <w:rPr>
                <w:rStyle w:val="CharStyle22"/>
              </w:rPr>
              <w:t>L2/L3 stohovatelný přepínač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62" w:lineRule="auto"/>
              <w:ind w:left="800" w:right="0" w:hanging="340"/>
              <w:jc w:val="left"/>
            </w:pPr>
            <w:r>
              <w:rPr>
                <w:rStyle w:val="CharStyle22"/>
              </w:rPr>
              <w:t>Možnost stohování přes dedikované porty, bez snížení počtu použitelných ethernetových portů, s možností zařazení až 8 přepínačů do stohu. Včetně stohovacích kabelů (0,5m)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62" w:lineRule="auto"/>
              <w:ind w:left="0" w:right="0" w:firstLine="440"/>
              <w:jc w:val="both"/>
            </w:pPr>
            <w:r>
              <w:rPr>
                <w:rStyle w:val="CharStyle22"/>
              </w:rPr>
              <w:t>Minimální kapacita sběrnice stoh 1 000 Gb/s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62" w:lineRule="auto"/>
              <w:ind w:left="0" w:right="0" w:firstLine="440"/>
              <w:jc w:val="both"/>
            </w:pPr>
            <w:r>
              <w:rPr>
                <w:rStyle w:val="CharStyle22"/>
              </w:rPr>
              <w:t>Min. přepínací kapacita 2 Tbps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62" w:lineRule="auto"/>
              <w:ind w:left="0" w:right="0" w:firstLine="440"/>
              <w:jc w:val="both"/>
            </w:pPr>
            <w:r>
              <w:rPr>
                <w:rStyle w:val="CharStyle22"/>
              </w:rPr>
              <w:t>Min. paketový výkon přepínače 1488 Mpps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62" w:lineRule="auto"/>
              <w:ind w:left="0" w:right="0" w:firstLine="440"/>
              <w:jc w:val="both"/>
            </w:pPr>
            <w:r>
              <w:rPr>
                <w:rStyle w:val="CharStyle22"/>
              </w:rPr>
              <w:t>Stateful Switch Over v rámci stohu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62" w:lineRule="auto"/>
              <w:ind w:left="0" w:right="0" w:firstLine="440"/>
              <w:jc w:val="both"/>
            </w:pPr>
            <w:r>
              <w:rPr>
                <w:rStyle w:val="CharStyle22"/>
              </w:rPr>
              <w:t>Min. velikost sdíleného systémového bufferu 32 MB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62" w:lineRule="auto"/>
              <w:ind w:left="0" w:right="0" w:firstLine="440"/>
              <w:jc w:val="both"/>
            </w:pPr>
            <w:r>
              <w:rPr>
                <w:rStyle w:val="CharStyle22"/>
              </w:rPr>
              <w:t>Redundantní ventilátory vyměnitelné za chodu zařízení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62" w:lineRule="auto"/>
              <w:ind w:left="0" w:right="0" w:firstLine="440"/>
              <w:jc w:val="both"/>
            </w:pPr>
            <w:r>
              <w:rPr>
                <w:rStyle w:val="CharStyle22"/>
              </w:rPr>
              <w:t>Non-stop Forwarding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820" w:val="left"/>
              </w:tabs>
              <w:bidi w:val="0"/>
              <w:spacing w:before="0" w:after="0" w:line="262" w:lineRule="auto"/>
              <w:ind w:left="800" w:right="0" w:hanging="340"/>
              <w:jc w:val="both"/>
            </w:pPr>
            <w:r>
              <w:rPr>
                <w:rStyle w:val="CharStyle22"/>
              </w:rPr>
              <w:t>Možnost rozšíření o sdílení výkonu napájecích zdrojů napříč celým . stohem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820" w:val="left"/>
              </w:tabs>
              <w:bidi w:val="0"/>
              <w:spacing w:before="0" w:after="0" w:line="262" w:lineRule="auto"/>
              <w:ind w:left="800" w:right="0" w:hanging="340"/>
              <w:jc w:val="both"/>
            </w:pPr>
            <w:r>
              <w:rPr>
                <w:rStyle w:val="CharStyle22"/>
              </w:rPr>
              <w:t>Možnost instalovat interní redundantní napájecí zdroj (není požadován jako součást dodávky)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18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2"/>
              </w:rPr>
              <w:t>Rozhranní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781" w:val="left"/>
              </w:tabs>
              <w:bidi w:val="0"/>
              <w:spacing w:before="0" w:after="0"/>
              <w:ind w:left="0" w:right="0" w:firstLine="440"/>
              <w:jc w:val="both"/>
            </w:pPr>
            <w:r>
              <w:rPr>
                <w:rStyle w:val="CharStyle22"/>
              </w:rPr>
              <w:t>48 portů 10/100Mb/1 /2,5/5/1 OGbps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801" w:val="left"/>
              </w:tabs>
              <w:bidi w:val="0"/>
              <w:spacing w:before="0" w:after="0"/>
              <w:ind w:left="800" w:right="0" w:hanging="340"/>
              <w:jc w:val="both"/>
            </w:pPr>
            <w:r>
              <w:rPr>
                <w:rStyle w:val="CharStyle22"/>
              </w:rPr>
              <w:t>Možnost přepínač rožšířit o modul s volitelným fyzickým rozhraním vyžadován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801" w:val="left"/>
              </w:tabs>
              <w:bidi w:val="0"/>
              <w:spacing w:before="0" w:after="0"/>
              <w:ind w:left="800" w:right="0" w:hanging="340"/>
              <w:jc w:val="both"/>
            </w:pPr>
            <w:r>
              <w:rPr>
                <w:rStyle w:val="CharStyle22"/>
              </w:rPr>
              <w:t>8x 1 /10/25Gbps_SFP+/SFP28 porty s volitelným fyzickým rozhraním typu SFP+/SFP28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781" w:val="left"/>
              </w:tabs>
              <w:bidi w:val="0"/>
              <w:spacing w:before="0" w:after="0"/>
              <w:ind w:left="0" w:right="0" w:firstLine="440"/>
              <w:jc w:val="both"/>
            </w:pPr>
            <w:r>
              <w:rPr>
                <w:rStyle w:val="CharStyle22"/>
              </w:rPr>
              <w:t>1x Oddělený Ethernet management port (OOB): RJ-45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781" w:val="left"/>
              </w:tabs>
              <w:bidi w:val="0"/>
              <w:spacing w:before="0" w:after="0"/>
              <w:ind w:left="0" w:right="0" w:firstLine="440"/>
              <w:jc w:val="both"/>
            </w:pPr>
            <w:r>
              <w:rPr>
                <w:rStyle w:val="CharStyle22"/>
              </w:rPr>
              <w:t>1x Management console port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Správa: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2"/>
              </w:rPr>
              <w:t>IPv4/IPv6 (SSHv2, telnet)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2"/>
              </w:rPr>
              <w:t>CLI rozhraní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2"/>
              </w:rPr>
              <w:t>SNMPv2/v3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2"/>
              </w:rPr>
              <w:t>RÁDIUS klient pro AAA (autentizace, autorizace, accounting)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2"/>
              </w:rPr>
              <w:t>NTPv3 server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26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22"/>
              </w:rPr>
              <w:t>Parametry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76" w:val="left"/>
              </w:tabs>
              <w:bidi w:val="0"/>
              <w:spacing w:before="0" w:after="0" w:line="257" w:lineRule="auto"/>
              <w:ind w:left="0" w:right="0" w:firstLine="440"/>
              <w:jc w:val="both"/>
            </w:pPr>
            <w:r>
              <w:rPr>
                <w:rStyle w:val="CharStyle22"/>
              </w:rPr>
              <w:t>Velikost MAC address tabulky min. 32000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76" w:val="left"/>
              </w:tabs>
              <w:bidi w:val="0"/>
              <w:spacing w:before="0" w:after="0" w:line="257" w:lineRule="auto"/>
              <w:ind w:left="0" w:right="0" w:firstLine="440"/>
              <w:jc w:val="both"/>
            </w:pPr>
            <w:r>
              <w:rPr>
                <w:rStyle w:val="CharStyle22"/>
              </w:rPr>
              <w:t>Min. počet IPv4 routes 39000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76" w:val="left"/>
              </w:tabs>
              <w:bidi w:val="0"/>
              <w:spacing w:before="0" w:after="0" w:line="257" w:lineRule="auto"/>
              <w:ind w:left="0" w:right="0" w:firstLine="440"/>
              <w:jc w:val="both"/>
            </w:pPr>
            <w:r>
              <w:rPr>
                <w:rStyle w:val="CharStyle22"/>
              </w:rPr>
              <w:t>Min. počet IPv6 routes 19500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76" w:val="left"/>
              </w:tabs>
              <w:bidi w:val="0"/>
              <w:spacing w:before="0" w:after="0" w:line="257" w:lineRule="auto"/>
              <w:ind w:left="0" w:right="0" w:firstLine="440"/>
              <w:jc w:val="both"/>
            </w:pPr>
            <w:r>
              <w:rPr>
                <w:rStyle w:val="CharStyle22"/>
              </w:rPr>
              <w:t>Min. počet konfigurovatelných security ACL 5000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76" w:val="left"/>
              </w:tabs>
              <w:bidi w:val="0"/>
              <w:spacing w:before="0" w:after="0" w:line="257" w:lineRule="auto"/>
              <w:ind w:left="0" w:right="0" w:firstLine="440"/>
              <w:jc w:val="both"/>
            </w:pPr>
            <w:r>
              <w:rPr>
                <w:rStyle w:val="CharStyle22"/>
              </w:rPr>
              <w:t>Podpora IPv4 i IPv6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76" w:val="left"/>
              </w:tabs>
              <w:bidi w:val="0"/>
              <w:spacing w:before="0" w:after="0" w:line="257" w:lineRule="auto"/>
              <w:ind w:left="0" w:right="0" w:firstLine="440"/>
              <w:jc w:val="both"/>
            </w:pPr>
            <w:r>
              <w:rPr>
                <w:rStyle w:val="CharStyle22"/>
              </w:rPr>
              <w:t>IEEE 802.3ad (Link Aggregation)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76" w:val="left"/>
              </w:tabs>
              <w:bidi w:val="0"/>
              <w:spacing w:before="0" w:after="0" w:line="257" w:lineRule="auto"/>
              <w:ind w:left="0" w:right="0" w:firstLine="440"/>
              <w:jc w:val="both"/>
            </w:pPr>
            <w:r>
              <w:rPr>
                <w:rStyle w:val="CharStyle22"/>
              </w:rPr>
              <w:t>TEEE'802.3áčl prěš vfčě přepínačů vě stohů -bó více šásiš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76" w:val="left"/>
              </w:tabs>
              <w:bidi w:val="0"/>
              <w:spacing w:before="0" w:after="0" w:line="257" w:lineRule="auto"/>
              <w:ind w:left="0" w:right="0" w:firstLine="440"/>
              <w:jc w:val="both"/>
            </w:pPr>
            <w:r>
              <w:rPr>
                <w:rStyle w:val="CharStyle22"/>
              </w:rPr>
              <w:t>Minimálně 8 li-k jako součást Link Aggregation Group trunku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796" w:val="left"/>
              </w:tabs>
              <w:bidi w:val="0"/>
              <w:spacing w:before="0" w:after="0" w:line="257" w:lineRule="auto"/>
              <w:ind w:left="800" w:right="0" w:hanging="340"/>
              <w:jc w:val="both"/>
            </w:pPr>
            <w:r>
              <w:rPr>
                <w:rStyle w:val="CharStyle22"/>
              </w:rPr>
              <w:t>Minimální počet konfigurovatelných Link Aggregation Group trunků 128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0" w:right="0" w:firstLine="720"/>
              <w:jc w:val="left"/>
            </w:pPr>
            <w:r>
              <w:rPr>
                <w:rStyle w:val="CharStyle22"/>
              </w:rPr>
              <w:t>ANO i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778"/>
        <w:gridCol w:w="1930"/>
      </w:tblGrid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''-''^-'^'Switcfx&amp;rniG^^porty^^w^w^^^^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629" w:val="left"/>
                <w:tab w:pos="4229" w:val="left"/>
                <w:tab w:pos="50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. Požadovány parámetř</w:t>
              <w:tab/>
              <w:t>.</w:t>
              <w:tab/>
              <w:t>'3í,</w:t>
              <w:tab/>
              <w:t>?\’ř-,&gt;&lt;?■, “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SRIněnÉp'óžádávl&lt;u'</w:t>
            </w:r>
            <w:r>
              <w:rPr>
                <w:rStyle w:val="CharStyle22"/>
                <w:vertAlign w:val="superscript"/>
              </w:rPr>
              <w:t>!</w:t>
            </w:r>
            <w:r>
              <w:rPr>
                <w:rStyle w:val="CharStyle22"/>
              </w:rPr>
              <w:t>‘'</w:t>
            </w:r>
          </w:p>
        </w:tc>
      </w:tr>
      <w:tr>
        <w:trPr>
          <w:trHeight w:val="128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57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IEEE 802.IQ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Minimální počet aktivních VLÁN 1000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IEEE 802.1x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780" w:right="0" w:hanging="320"/>
              <w:jc w:val="left"/>
            </w:pPr>
            <w:r>
              <w:rPr>
                <w:rStyle w:val="CharStyle22"/>
              </w:rPr>
              <w:t>Konfigurovatelná kombinace pořadí postupného ověřování zařízení na portu (IEEE 802.1x, MAC adresou, Web autentizací)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780" w:right="0" w:hanging="320"/>
              <w:jc w:val="left"/>
            </w:pPr>
            <w:r>
              <w:rPr>
                <w:rStyle w:val="CharStyle22"/>
              </w:rPr>
              <w:t>Integrace IEEE 802.1x s IP telefonním prostředím (802.1x Multi- domain aMb.en.tlQaii.Q.0).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780" w:right="0" w:hanging="320"/>
              <w:jc w:val="left"/>
            </w:pPr>
            <w:r>
              <w:rPr>
                <w:rStyle w:val="CharStyle22"/>
              </w:rPr>
              <w:t>Možnost provozu 802.1x v tzv. audit módu bez omezování přístupu koncových uživatelů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Podpora instance spanning-tree protokolu per VLÁN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IEEE 802.1w - Rapid Spanning Tree Protocol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Protokol MVRP -bo VTP pro definici a správu VLÁN sítí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Podpora jumbo rámců (min. 9100bytes)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Detekce protilehlého zařízení (např. CDP -bo LLDP)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Směrování protokolů IPv4 a IPv6 v hardware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OSPFv2, OŠPFv3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First Hop Redundancy Protokol (např. VRRP, HSRP)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Reverse path check (uRPF) pro !Pv4 i IPv6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780" w:right="0" w:hanging="320"/>
              <w:jc w:val="left"/>
            </w:pPr>
            <w:r>
              <w:rPr>
                <w:rStyle w:val="CharStyle22"/>
              </w:rPr>
              <w:t>Možnost povýšením (např.licence/firmware) rozšířit o další funkce jako jsou VXLAN, BGP, Multicast, VRF apod.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IGMPv2, IGMPv3, IGMP snooping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MLD snooping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DHCP relay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Minimální počet HW QoS front 8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QoS classification - ACL, DSCP, CoS based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QoS marking - DSCP, CoS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QoS - Strict Priority Queue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Automatické nastavení QoS parametrů (AutoQoS -bo ekvivalentní)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QoS Policing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QoS-Per Flow policing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Možnost definovat povolené MAC adresy na portu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Port ACL, VLÁN ACL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IEEE 802.1ae (AES-GCM-128) na uplink portech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780" w:right="0" w:hanging="320"/>
              <w:jc w:val="left"/>
            </w:pPr>
            <w:r>
              <w:rPr>
                <w:rStyle w:val="CharStyle22"/>
              </w:rPr>
              <w:t>Bezpečnostní funkce umožňující ochranu proti podvržení zdrojové MAC a IP adresy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780" w:right="0" w:hanging="320"/>
              <w:jc w:val="left"/>
            </w:pPr>
            <w:r>
              <w:rPr>
                <w:rStyle w:val="CharStyle22"/>
              </w:rPr>
              <w:t>Bezpečnostní funkce umožňující ochranu proti připojení neautorizovaného DHCP serveru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Bezpečnostní funkce umožňující inspekci provozu protokolu ARP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780" w:right="0" w:hanging="320"/>
              <w:jc w:val="left"/>
            </w:pPr>
            <w:r>
              <w:rPr>
                <w:rStyle w:val="CharStyle22"/>
              </w:rPr>
              <w:t>Ochrana proti nahrání modifikovaného software do zařízení prostřednictvím image signing a funkce secure boot, která ověřuje autentičnost a integritu jak bootloaderu, tak i samotného operačního systému zařízení prostřednictvím interních HW prostředků - tzv. trusted modulů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780" w:right="0" w:hanging="320"/>
              <w:jc w:val="left"/>
            </w:pPr>
            <w:r>
              <w:rPr>
                <w:rStyle w:val="CharStyle22"/>
              </w:rPr>
              <w:t>HW trusted modul využíván pro bezpečné uložení hesel a šifrovacích klíčů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Podpora SUDÍ (IEEE 802.1AR) autentizace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IEEE 802.3az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780" w:right="0" w:hanging="320"/>
              <w:jc w:val="left"/>
            </w:pPr>
            <w:r>
              <w:rPr>
                <w:rStyle w:val="CharStyle22"/>
              </w:rPr>
              <w:t>» Application. Visibility. - Monitorování, aplikačn ích. toků, (všech, paketů), prostřednictvím technologie NetFIow nebo ekvivalentní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780" w:right="0" w:hanging="320"/>
              <w:jc w:val="left"/>
            </w:pPr>
            <w:r>
              <w:rPr>
                <w:rStyle w:val="CharStyle22"/>
              </w:rPr>
              <w:t>Application Visibility - Možnost definice klíčových atributů a parametrů monitorovaných toků včetně parametrů: zdrojová/cílová MAC adresa, zdrojová/cílová IP adresa, zdrojová/cílová VLÁN, TCP flags, hodnota TTL, ICMP kód, IGMP type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Export monitorovaných dat ve formátu NetFIow v9 nebo IPFIX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95" w:val="left"/>
              </w:tabs>
              <w:bidi w:val="0"/>
              <w:spacing w:before="0" w:after="0"/>
              <w:ind w:left="0" w:right="0" w:firstLine="440"/>
              <w:jc w:val="left"/>
            </w:pPr>
            <w:r>
              <w:rPr>
                <w:rStyle w:val="CharStyle22"/>
              </w:rPr>
              <w:t>Full Flexible Netflow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758"/>
        <w:gridCol w:w="1920"/>
      </w:tblGrid>
      <w:tr>
        <w:trPr>
          <w:trHeight w:val="25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205" w:val="left"/>
                <w:tab w:pos="5693" w:val="left"/>
                <w:tab w:pos="7013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2"/>
              </w:rPr>
              <w:t>.. . .</w:t>
              <w:tab/>
              <w:t>W Switchs mGig půri^-^</w:t>
              <w:tab/>
              <w:t>^-S A</w:t>
              <w:tab/>
              <w:t>‘ "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5074" w:val="left"/>
                <w:tab w:pos="621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Požadovaný parametr ”'*7^</w:t>
              <w:tab/>
              <w:t>Z</w:t>
              <w:tab/>
              <w:t>\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Plnění požadavku</w:t>
            </w:r>
          </w:p>
        </w:tc>
      </w:tr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22"/>
              </w:rPr>
              <w:t>Instalace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22"/>
              </w:rPr>
              <w:t>Součástí dodávky je instalace a konfigurace na místě včetně aktualizací všech firmware na poslední aktuální a stabilní verze a součinnost při zařazení do stávajícího prostředí.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22"/>
              </w:rPr>
              <w:t>Realizace redundantního propojení ke stávající infrastruktuře.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21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22"/>
              </w:rPr>
              <w:t>Záruka - podpora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22"/>
              </w:rPr>
              <w:t>Záruka min. 5 let s reakční dobou NBD na kompletní HW i SW, přístup k technické podpoře výrobce 24x7.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22"/>
              </w:rPr>
              <w:t>Jediné kontaktní místo pro nahlášení poruch pro všechny komponenty dodávaného systému.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22"/>
              </w:rPr>
              <w:t>Přístup k HW a SW podpoře.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22"/>
              </w:rPr>
              <w:t>Možnost stažení ovladačů a management software na webových stránkách.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22"/>
              </w:rPr>
              <w:t>Přístup k aktualizačním SW a FW balíkům po celou dobu záruky.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ANO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Swiche Gigabit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95" w:lineRule="auto"/>
        <w:ind w:left="0" w:right="0" w:firstLine="0"/>
        <w:jc w:val="left"/>
      </w:pPr>
      <w:r>
        <w:rPr>
          <w:rStyle w:val="CharStyle3"/>
        </w:rPr>
        <w:t>Je požadována dodávka dvou switchů s Gigabit porty (1Gbps) a 8x SFP+ 10Gbps porty zapojených do funkGní</w:t>
      </w:r>
      <w:r>
        <w:rPr>
          <w:rStyle w:val="CharStyle3"/>
          <w:vertAlign w:val="superscript"/>
        </w:rPr>
        <w:t>:</w:t>
      </w:r>
      <w:r>
        <w:rPr>
          <w:rStyle w:val="CharStyle3"/>
        </w:rPr>
        <w:t>hastaGku-(V6etněata'Gk-kabelů) dlemásfedující^</w:t>
      </w:r>
    </w:p>
    <w:tbl>
      <w:tblPr>
        <w:tblOverlap w:val="never"/>
        <w:jc w:val="center"/>
        <w:tblLayout w:type="fixed"/>
      </w:tblPr>
      <w:tblGrid>
        <w:gridCol w:w="4421"/>
        <w:gridCol w:w="4258"/>
      </w:tblGrid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Označení (obchodní/typové)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C9300-24T-E + C9300-NM-8X=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Výrobce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Cisco System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Počet kusů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2</w:t>
            </w:r>
          </w:p>
        </w:tc>
      </w:tr>
    </w:tbl>
    <w:p>
      <w:pPr>
        <w:widowControl w:val="0"/>
        <w:spacing w:after="159" w:line="1" w:lineRule="exact"/>
      </w:pPr>
    </w:p>
    <w:tbl>
      <w:tblPr>
        <w:tblOverlap w:val="never"/>
        <w:jc w:val="center"/>
        <w:tblLayout w:type="fixed"/>
      </w:tblPr>
      <w:tblGrid>
        <w:gridCol w:w="6768"/>
        <w:gridCol w:w="1920"/>
      </w:tblGrid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. Požadovány par^gig^r^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Plnění požadavků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Provedení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Provedení RACK- šíře 19”, max. 1U, včetně rack mount kitu.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3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22"/>
              </w:rPr>
              <w:t>Základní požadavky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L2/L3 stohovatelný přepínač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800" w:right="0" w:hanging="360"/>
              <w:jc w:val="left"/>
            </w:pPr>
            <w:r>
              <w:rPr>
                <w:rStyle w:val="CharStyle22"/>
              </w:rPr>
              <w:t>Možnost stohování přes dedikované porty, bez snížení počtu použitelných ethernetových portů, s možností zařazení až 8 přepínačů do stohu. Včetně stahovacích kabelů (0,5m)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Minimální kapacita sběrnice stoh 480 Gb/s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o Min. přepínací kapacita 200 Gbps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Min. paketový výkon přepínače 150 Mpps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Stateful Switch Over v rámci stohu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Min. velikost sdíleného systémového bufferu 16 MB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Redundantní ventilátory vyměnitelné za chodu zařízení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Non-stop Forwarding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800" w:right="0" w:hanging="360"/>
              <w:jc w:val="left"/>
            </w:pPr>
            <w:r>
              <w:rPr>
                <w:rStyle w:val="CharStyle22"/>
              </w:rPr>
              <w:t>Možnost rozšíření o sdíleni' výkonu napájecích zdrojů napříč celým stohem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00" w:val="left"/>
              </w:tabs>
              <w:bidi w:val="0"/>
              <w:spacing w:before="0" w:after="0" w:line="257" w:lineRule="auto"/>
              <w:ind w:left="800" w:right="0" w:hanging="360"/>
              <w:jc w:val="left"/>
            </w:pPr>
            <w:r>
              <w:rPr>
                <w:rStyle w:val="CharStyle22"/>
              </w:rPr>
              <w:t>Možnost instalovat interní redundantní napájecí zdroj (není požadován jako součást dodávky)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22"/>
              </w:rPr>
              <w:t>Rozhranní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24 portů 10/100Mb/1 Gbps Base-TX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57" w:lineRule="auto"/>
              <w:ind w:left="800" w:right="0" w:hanging="360"/>
              <w:jc w:val="left"/>
            </w:pPr>
            <w:r>
              <w:rPr>
                <w:rStyle w:val="CharStyle22"/>
              </w:rPr>
              <w:t>8x 1/10Gbps SFP+ porty s volitelným fyzickým rozhraním typu SFP+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a 1x Oddělený Ethernet management port (OOB): RJ.-45-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57" w:lineRule="auto"/>
              <w:ind w:left="0" w:right="0" w:firstLine="440"/>
              <w:jc w:val="left"/>
            </w:pPr>
            <w:r>
              <w:rPr>
                <w:rStyle w:val="CharStyle22"/>
              </w:rPr>
              <w:t>1x Management console port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14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Správa: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2"/>
              </w:rPr>
              <w:t>IPv4/IPv6 (SSHv2, telnet)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2"/>
              </w:rPr>
              <w:t>CLI rozhraní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2"/>
              </w:rPr>
              <w:t>SNMPv2/v3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2"/>
              </w:rPr>
              <w:t>RÁDIUS klient pro AAA (autentizace, autorizace, accounting)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795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2"/>
              </w:rPr>
              <w:t>NTPv3 server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37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22"/>
              </w:rPr>
              <w:t>. Parametry.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Velikost MAC address tabulky min. 32000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Min. počet IPv4 routes 32000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Min. počet IPv6 routes 16000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Min. počet konfigurovatelných security ACL 5000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47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Podpora IPv4 i IPv6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42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IEEE 802.3ad (Link Aggregation)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IEEE 802.3ad přes více přepínačů ve stohu -bo více šasis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Mjnjmálně 8. Ij.-k jako součást Link Aggregation. Group, trunku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800" w:right="0" w:hanging="360"/>
              <w:jc w:val="left"/>
            </w:pPr>
            <w:r>
              <w:rPr>
                <w:rStyle w:val="CharStyle22"/>
              </w:rPr>
              <w:t>Minimální počet konfigurovatelných Link Aggregation Group trunků 128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IEEE 802.1Q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Minimální počet aktivních VLÁN 1000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0" w:right="0" w:firstLine="440"/>
              <w:jc w:val="left"/>
            </w:pPr>
            <w:r>
              <w:rPr>
                <w:rStyle w:val="CharStyle22"/>
              </w:rPr>
              <w:t>IEEE 802.1x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1" w:val="left"/>
              </w:tabs>
              <w:bidi w:val="0"/>
              <w:spacing w:before="0" w:after="0" w:line="266" w:lineRule="auto"/>
              <w:ind w:left="800" w:right="0" w:hanging="360"/>
              <w:jc w:val="left"/>
            </w:pPr>
            <w:r>
              <w:rPr>
                <w:rStyle w:val="CharStyle22"/>
              </w:rPr>
              <w:t>Konfigurovatelná kombinace pořadí postupného ověřování zařízení na portu (IEEE 802.1x, MAC adresou, Web autentizací)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22"/>
              </w:rPr>
              <w:t>ANO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768"/>
        <w:gridCol w:w="1925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630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2"/>
              </w:rPr>
              <w:t>'</w:t>
              <w:tab/>
              <w:t>Switch Gígabit porty 8SFP+ Úplink ' ’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883" w:val="left"/>
                <w:tab w:pos="1483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13"/>
                <w:szCs w:val="13"/>
              </w:rPr>
              <w:t>$4</w:t>
              <w:tab/>
              <w:t>-</w:t>
              <w:tab/>
              <w:t>.«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5683" w:val="left"/>
                <w:tab w:pos="629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Požadovaný parametr</w:t>
              <w:tab/>
              <w:t>,</w:t>
              <w:tab/>
              <w:t>* 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, Plnění požadavku</w:t>
            </w:r>
          </w:p>
        </w:tc>
      </w:tr>
      <w:tr>
        <w:trPr>
          <w:trHeight w:val="116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71" w:lineRule="auto"/>
              <w:ind w:left="780" w:right="0" w:hanging="320"/>
              <w:jc w:val="left"/>
            </w:pPr>
            <w:r>
              <w:rPr>
                <w:rStyle w:val="CharStyle22"/>
              </w:rPr>
              <w:t>Integrace IEEE 802.1x s IP telefonním prostředím (802.1x Multi- domain authentication)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71" w:lineRule="auto"/>
              <w:ind w:left="780" w:right="0" w:hanging="320"/>
              <w:jc w:val="left"/>
            </w:pPr>
            <w:r>
              <w:rPr>
                <w:rStyle w:val="CharStyle22"/>
              </w:rPr>
              <w:t>Možnost provozu 802.1x v tzv. audit módu bez omezování přístupu koncových uživatelů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71" w:lineRule="auto"/>
              <w:ind w:left="0" w:right="0" w:firstLine="440"/>
              <w:jc w:val="left"/>
            </w:pPr>
            <w:r>
              <w:rPr>
                <w:rStyle w:val="CharStyle22"/>
              </w:rPr>
              <w:t>Podpora instance spanning-tree protokolu per VLÁN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71" w:lineRule="auto"/>
              <w:ind w:left="0" w:right="0" w:firstLine="440"/>
              <w:jc w:val="left"/>
            </w:pPr>
            <w:r>
              <w:rPr>
                <w:rStyle w:val="CharStyle22"/>
              </w:rPr>
              <w:t>IEEE 802.1w - Rapid Spanning Tree Protocol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71" w:lineRule="auto"/>
              <w:ind w:left="0" w:right="0" w:firstLine="440"/>
              <w:jc w:val="left"/>
            </w:pPr>
            <w:r>
              <w:rPr>
                <w:rStyle w:val="CharStyle22"/>
              </w:rPr>
              <w:t>Protokol MVRP -bo VTP pro definici a správu VLÁN sítí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71" w:lineRule="auto"/>
              <w:ind w:left="0" w:right="0" w:firstLine="440"/>
              <w:jc w:val="left"/>
            </w:pPr>
            <w:r>
              <w:rPr>
                <w:rStyle w:val="CharStyle22"/>
              </w:rPr>
              <w:t>Podpora jumbo rámců (min. 9100bytes)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71" w:lineRule="auto"/>
              <w:ind w:left="0" w:right="0" w:firstLine="440"/>
              <w:jc w:val="left"/>
            </w:pPr>
            <w:r>
              <w:rPr>
                <w:rStyle w:val="CharStyle22"/>
              </w:rPr>
              <w:t>Detekce protilehlého zařízení (např. CDP -bo LLDP)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71" w:lineRule="auto"/>
              <w:ind w:left="0" w:right="0" w:firstLine="440"/>
              <w:jc w:val="left"/>
            </w:pPr>
            <w:r>
              <w:rPr>
                <w:rStyle w:val="CharStyle22"/>
              </w:rPr>
              <w:t>Směrování protokolů IPv4 a IPv6 v hardware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. OSPFv2, OSPFv3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First Hop Redundancy Protokol (např. VRRP, HSRP)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Reverse páth check ’(ůR‘P'F) proTPv4 i TPv6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62" w:lineRule="auto"/>
              <w:ind w:left="780" w:right="0" w:hanging="320"/>
              <w:jc w:val="left"/>
            </w:pPr>
            <w:r>
              <w:rPr>
                <w:rStyle w:val="CharStyle22"/>
              </w:rPr>
              <w:t>Možnost povýšením (např.licence/firmware) rozšířit o další funkce jako jsou VXLAN, BGP, Muíticast, VRF apod.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IGMPv2, IGMPv3, IGMP snooping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MLD snooping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DHCP relay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Minimální počet HW QoS front 8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QoS classification - ACL, DSCP, CoS based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QóSwarking - DSCP, CoS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QoS - Strict Priority Queue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Automatické nastavení QoS parametrů (AutoQoS -bo ekvivalentní)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QoS Policing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QoS-Per Flow policing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Možnost definovat povolené MAC adresy na portu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Port ACL, VLÁN ACL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IEEE 802.1 ae (AES-GCM-128) na uplink portech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62" w:lineRule="auto"/>
              <w:ind w:left="780" w:right="0" w:hanging="320"/>
              <w:jc w:val="left"/>
            </w:pPr>
            <w:r>
              <w:rPr>
                <w:rStyle w:val="CharStyle22"/>
              </w:rPr>
              <w:t>Bezpečnostní funkce umožňující ochran oproti‘podvržení zdrojové MAC a IP adresy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62" w:lineRule="auto"/>
              <w:ind w:left="780" w:right="0" w:hanging="320"/>
              <w:jc w:val="left"/>
            </w:pPr>
            <w:r>
              <w:rPr>
                <w:rStyle w:val="CharStyle22"/>
              </w:rPr>
              <w:t>Bezpečnostní funkce umožňující ochranu proti připojení - autorizovaného DHCP serveru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Bezpečnostní funkce umožňující inspekci provozu protokolu ARP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62" w:lineRule="auto"/>
              <w:ind w:left="780" w:right="0" w:hanging="320"/>
              <w:jc w:val="left"/>
            </w:pPr>
            <w:r>
              <w:rPr>
                <w:rStyle w:val="CharStyle22"/>
              </w:rPr>
              <w:t>Ochrana proti nahrání modifikovaného software do zařízení prostřednictvím image signing a funkce secure boot, která ověřuje autentičnost a integritu jak bootloaderu, tak i samotného operačního systému zařízení prostřednictvím interních HW prostředků - tzv. trusted modulů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62" w:lineRule="auto"/>
              <w:ind w:left="780" w:right="0" w:hanging="320"/>
              <w:jc w:val="left"/>
            </w:pPr>
            <w:r>
              <w:rPr>
                <w:rStyle w:val="CharStyle22"/>
              </w:rPr>
              <w:t>HW trusted modul využíván pro bezpečné uložení hesel a šifrovacích klíčů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Podpora SUDÍ (IEEE 802.1AR) autentizace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IEEE 802.3az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62" w:lineRule="auto"/>
              <w:ind w:left="780" w:right="0" w:hanging="320"/>
              <w:jc w:val="left"/>
            </w:pPr>
            <w:r>
              <w:rPr>
                <w:rStyle w:val="CharStyle22"/>
              </w:rPr>
              <w:t>Application Visibility - Monitorování aplikačních toků (všech paketů) prostřednictvím technologie NetFIow nebo ekvivalentní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62" w:lineRule="auto"/>
              <w:ind w:left="780" w:right="0" w:hanging="320"/>
              <w:jc w:val="left"/>
            </w:pPr>
            <w:r>
              <w:rPr>
                <w:rStyle w:val="CharStyle22"/>
              </w:rPr>
              <w:t>Application Visibility - Možnost definice klíčových atributů a parametrů monitorovaných toků včetně parametrů: zdrojová/cílová MAC adresa, zdrojová/cílová IP adresa, zdrojová/cílová VLÁN, TCP flags, hodnota TTL, ICMP kód, IGMP type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Export monitorovaných dat ve formátu NetFIow v9 nebo IPFIX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62" w:lineRule="auto"/>
              <w:ind w:left="0" w:right="0" w:firstLine="440"/>
              <w:jc w:val="left"/>
            </w:pPr>
            <w:r>
              <w:rPr>
                <w:rStyle w:val="CharStyle22"/>
              </w:rPr>
              <w:t>Full Flexible Netfiow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22"/>
              </w:rPr>
              <w:t>Instalace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22"/>
              </w:rPr>
              <w:t>Součástí dodávky je instalace a konfigurace na místě včetně aktualizací všech firmware na poslední aktuální a stabilní verze a součinnost při zaražení ’db stávajícího přóstřěčfí.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22"/>
              </w:rPr>
              <w:t>Realizace redundantního propojení ke stávající infrastruktuře.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ANO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758"/>
        <w:gridCol w:w="1920"/>
      </w:tblGrid>
      <w:tr>
        <w:trPr>
          <w:trHeight w:val="36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6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'</w:t>
              <w:tab/>
              <w:t>Switch Gigabit porty + 8SFP+Uplink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446" w:val="left"/>
                <w:tab w:pos="405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Požádováhy'paraniětr</w:t>
            </w:r>
            <w:r>
              <w:rPr>
                <w:rStyle w:val="CharStyle22"/>
                <w:vertAlign w:val="superscript"/>
              </w:rPr>
              <w:t>v</w:t>
            </w:r>
            <w:r>
              <w:rPr>
                <w:rStyle w:val="CharStyle22"/>
              </w:rPr>
              <w:tab/>
              <w:t>""</w:t>
              <w:tab/>
              <w:t>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61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Řlne^</w:t>
              <w:tab/>
              <w:t>’</w:t>
            </w:r>
          </w:p>
        </w:tc>
      </w:tr>
      <w:tr>
        <w:trPr>
          <w:trHeight w:val="16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22"/>
              </w:rPr>
              <w:t>Záruka - podpora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22"/>
              </w:rPr>
              <w:t>Záruka min. 5 let s reakční dobou NBD na kompletní HW i SW, přístup k technické podpoře výrobce 24x7.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22"/>
              </w:rPr>
              <w:t>Jediné kontaktní místo pro nahlášení poruch pro všechny komponenty dodávaného systému. Přístup k HW a SW podpoře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22"/>
              </w:rPr>
              <w:t>Možnost stažení ovladačů a management software na webových stránkách.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22"/>
              </w:rPr>
              <w:t>Přístup k aktualizačním SW a FW balíkům po celou dobu záruky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ANO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Obecně požadavky</w:t>
      </w:r>
    </w:p>
    <w:tbl>
      <w:tblPr>
        <w:tblOverlap w:val="never"/>
        <w:jc w:val="center"/>
        <w:tblLayout w:type="fixed"/>
      </w:tblPr>
      <w:tblGrid>
        <w:gridCol w:w="6763"/>
        <w:gridCol w:w="1915"/>
      </w:tblGrid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710" w:val="left"/>
                <w:tab w:leader="dot" w:pos="247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- —</w:t>
              <w:tab/>
              <w:tab/>
              <w:t>_ ěbeéněiSbžádavky^"^-'-</w:t>
            </w:r>
            <w:r>
              <w:rPr>
                <w:rStyle w:val="CharStyle22"/>
                <w:vertAlign w:val="superscript"/>
              </w:rPr>
              <w:t>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Požadovaný 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Plnění požadavku</w:t>
            </w:r>
          </w:p>
        </w:tc>
      </w:tr>
      <w:tr>
        <w:trPr>
          <w:trHeight w:val="12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22"/>
              </w:rPr>
              <w:t xml:space="preserve">Dodané zařízení musí být kompatibilní a integrovatelné do stávajícího prostředí které využívá infrastrukturu ethernet (iSCSl) switchů Cisco a DELL (10/25/.lQOGbpa), VM.warev.8,a.servery. DELL/HP. </w:t>
            </w:r>
            <w:r>
              <w:rPr>
                <w:rStyle w:val="CharStyle22"/>
                <w:lang w:val="en-US" w:eastAsia="en-US" w:bidi="en-US"/>
              </w:rPr>
              <w:t>Pro.monitoring.se</w:t>
            </w:r>
            <w:r>
              <w:rPr>
                <w:rStyle w:val="CharStyle22"/>
                <w:lang w:val="en-US" w:eastAsia="en-US" w:bidi="en-US"/>
              </w:rPr>
              <w:t xml:space="preserve">. </w:t>
            </w:r>
            <w:r>
              <w:rPr>
                <w:rStyle w:val="CharStyle22"/>
              </w:rPr>
              <w:t>využívá, nástroje systému WhatsUp od firmy Progress pro monitoring dostupnosti.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rStyle w:val="CharStyle22"/>
              </w:rPr>
              <w:t>Dodávaná zařízení budou zapojena redundantně a redundantně napojena i do stávající infrastruktury. Před vlastní instalací předloží dodavatel schéma zapojení, které podléhá schválení zadavatelem.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15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22"/>
              </w:rPr>
              <w:t>Součinnost pro integraci do monitoringu dostupnosti infrastruktury na bázi ICMP a SNMP monitoringu v systému WhatsUp firmy Progress.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22"/>
              </w:rPr>
              <w:t>Konfigurace odesílání bezpečnostních logů dodávaného HWdo stávajících systémů analýzy bezpečnostních logů na bázi sysiog serveru. Součinnost pro identifikaci a nastavení bezpečnostních událostí dle zasílaných logů a jejich důležitosti.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22"/>
              </w:rPr>
              <w:t>ANO</w:t>
            </w:r>
          </w:p>
        </w:tc>
      </w:tr>
      <w:tr>
        <w:trPr>
          <w:trHeight w:val="27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22"/>
              </w:rPr>
              <w:t>Dodavatel musí prokázat, že: dodávané zařízení, i jeho/jejich části jsou originální, nové, nepoužité, určené pro prodej v ČR. Jejich identifikace musí být možná na webovém portálu výrobce s výjimkou pro propojovací kabely a SFP moduly. V databázi výrobce, pokud taková existuje, musí být Zadavatel veden- jako koncový- užlvatel-zboží (zařízení, licence, ■podpora-, apoď.)-. Pokud- taková databáze neexistuje, je požadováno potvrzení podepsané zástupcem výrobce dodávaného zařízení v českém jazyce a musí z něj být zřejmé, že je vystaveno pro tento obchodní případ.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Style w:val="CharStyle22"/>
              </w:rPr>
              <w:t>Je-li součástí produktů SW či FW, pak se musí jednat o verze, které jsou standardní, běžně dostupné a určené k produkčnímu použití. Není dovoleno použití beta verzí, neoficiálních verzí ani SW/FW se zákaznickými úpravami.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22"/>
              </w:rPr>
              <w:t>ANO</w:t>
            </w:r>
          </w:p>
        </w:tc>
      </w:tr>
    </w:tbl>
    <w:p>
      <w:pPr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274" w:right="1231" w:bottom="860" w:left="1765" w:header="846" w:footer="432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Cenová nabídka</w:t>
      </w:r>
    </w:p>
    <w:tbl>
      <w:tblPr>
        <w:tblOverlap w:val="never"/>
        <w:jc w:val="center"/>
        <w:tblLayout w:type="fixed"/>
      </w:tblPr>
      <w:tblGrid>
        <w:gridCol w:w="3043"/>
        <w:gridCol w:w="5630"/>
      </w:tblGrid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Switche do stack s mGig porty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Cena za ks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273 900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Cena za ks vč.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331 419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Počet kusů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2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547 800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Cena celkem vč.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662 838</w:t>
            </w:r>
          </w:p>
        </w:tc>
      </w:tr>
      <w:tr>
        <w:trPr>
          <w:trHeight w:val="39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Switche do Gigabit porty + 8xSFP+ Uplink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Cena za ks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119 800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Cena za ks vč.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144 958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Počet kusů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2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239 600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Cena celkem vč.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289 916</w:t>
            </w:r>
          </w:p>
        </w:tc>
      </w:tr>
    </w:tbl>
    <w:p>
      <w:pPr>
        <w:widowControl w:val="0"/>
        <w:spacing w:after="6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27" w:lineRule="auto"/>
        <w:ind w:right="0"/>
        <w:jc w:val="both"/>
      </w:pPr>
      <w:r>
        <w:rPr>
          <w:rStyle w:val="CharStyle5"/>
          <w:sz w:val="32"/>
          <w:szCs w:val="32"/>
        </w:rPr>
        <w:t xml:space="preserve">I </w:t>
      </w:r>
      <w:r>
        <w:rPr>
          <w:rStyle w:val="CharStyle5"/>
          <w:sz w:val="32"/>
          <w:szCs w:val="32"/>
          <w:vertAlign w:val="subscript"/>
        </w:rPr>
        <w:t>n n</w:t>
      </w:r>
      <w:r>
        <w:rPr>
          <w:rStyle w:val="CharStyle5"/>
          <w:sz w:val="32"/>
          <w:szCs w:val="32"/>
        </w:rPr>
        <w:t xml:space="preserve"> p r </w:t>
      </w:r>
      <w:r>
        <w:rPr>
          <w:rStyle w:val="CharStyle5"/>
        </w:rPr>
        <w:t xml:space="preserve">(Digitálně podepsal </w:t>
      </w:r>
      <w:r>
        <w:rPr>
          <w:rStyle w:val="CharStyle5"/>
          <w:sz w:val="32"/>
          <w:szCs w:val="32"/>
        </w:rPr>
        <w:t xml:space="preserve">" U" * </w:t>
      </w:r>
      <w:r>
        <w:rPr>
          <w:rStyle w:val="CharStyle5"/>
        </w:rPr>
        <w:t xml:space="preserve">,Uňg. Petr Maleňák </w:t>
      </w:r>
      <w:r>
        <w:rPr>
          <w:rStyle w:val="CharStyle5"/>
          <w:sz w:val="32"/>
          <w:szCs w:val="32"/>
        </w:rPr>
        <w:t>k</w:t>
      </w:r>
      <w:r>
        <w:rPr>
          <w:rStyle w:val="CharStyle5"/>
          <w:i/>
          <w:iCs/>
          <w:sz w:val="32"/>
          <w:szCs w:val="32"/>
        </w:rPr>
        <w:t>ň</w:t>
      </w:r>
      <w:r>
        <w:rPr>
          <w:rStyle w:val="CharStyle5"/>
          <w:sz w:val="32"/>
          <w:szCs w:val="32"/>
        </w:rPr>
        <w:t xml:space="preserve"> o I</w:t>
      </w:r>
      <w:r>
        <w:rPr>
          <w:rStyle w:val="CharStyle5"/>
          <w:i/>
          <w:iCs/>
          <w:sz w:val="32"/>
          <w:szCs w:val="32"/>
        </w:rPr>
        <w:t>aň</w:t>
      </w:r>
      <w:r>
        <w:rPr>
          <w:rStyle w:val="CharStyle5"/>
          <w:sz w:val="32"/>
          <w:szCs w:val="32"/>
        </w:rPr>
        <w:t xml:space="preserve"> 4 Iz / </w:t>
      </w:r>
      <w:r>
        <w:rPr>
          <w:rStyle w:val="CharStyle5"/>
        </w:rPr>
        <w:t xml:space="preserve">Datum:2024.10.31 </w:t>
      </w:r>
      <w:r>
        <w:rPr>
          <w:rStyle w:val="CharStyle5"/>
          <w:sz w:val="32"/>
          <w:szCs w:val="32"/>
        </w:rPr>
        <w:t xml:space="preserve">iviaienaK/ </w:t>
      </w:r>
      <w:r>
        <w:rPr>
          <w:rStyle w:val="CharStyle5"/>
        </w:rPr>
        <w:t>o&amp;^+oiw</w:t>
      </w:r>
    </w:p>
    <w:sectPr>
      <w:footnotePr>
        <w:pos w:val="pageBottom"/>
        <w:numFmt w:val="decimal"/>
        <w:numRestart w:val="continuous"/>
      </w:footnotePr>
      <w:pgSz w:w="11900" w:h="16840"/>
      <w:pgMar w:top="1446" w:right="1412" w:bottom="1446" w:left="1694" w:header="1018" w:footer="1018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10055860</wp:posOffset>
              </wp:positionV>
              <wp:extent cx="2511425" cy="1155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1142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21_2024: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850000000000009pt;margin-top:791.80000000000007pt;width:197.75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21_2024: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 (4)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">
    <w:name w:val="Jiné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line="166" w:lineRule="auto"/>
      <w:ind w:left="466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auto"/>
      <w:spacing w:after="80" w:line="266" w:lineRule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auto"/>
      <w:spacing w:line="276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auto"/>
      <w:spacing w:after="2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footer" Target="footer2.xml"/></Relationships>
</file>