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C1B" w:rsidRDefault="000417D8">
      <w:pPr>
        <w:spacing w:after="505"/>
        <w:ind w:left="35" w:firstLine="2751"/>
      </w:pPr>
      <w:r>
        <w:t xml:space="preserve">SMLOUVA O ZÁPŮJČCE </w:t>
      </w:r>
    </w:p>
    <w:p w:rsidR="001D7E0B" w:rsidRDefault="000417D8" w:rsidP="004D0C1B">
      <w:pPr>
        <w:spacing w:after="505"/>
        <w:ind w:left="94" w:firstLine="0"/>
      </w:pPr>
      <w:r>
        <w:t xml:space="preserve">kterou ve smyslu 2390 a násl. zákona Č. 89/2012 Sb., občanský zákoník níže uvedeného dne, </w:t>
      </w:r>
      <w:r w:rsidR="004D0C1B">
        <w:t>m</w:t>
      </w:r>
      <w:r>
        <w:t>ěs</w:t>
      </w:r>
      <w:r w:rsidR="004D0C1B">
        <w:t>í</w:t>
      </w:r>
      <w:r>
        <w:t>ce a roku uzavřeli</w:t>
      </w:r>
    </w:p>
    <w:p w:rsidR="001D7E0B" w:rsidRDefault="000417D8">
      <w:pPr>
        <w:spacing w:after="0" w:line="259" w:lineRule="auto"/>
        <w:ind w:left="79" w:right="0" w:firstLine="0"/>
        <w:jc w:val="left"/>
      </w:pPr>
      <w:r>
        <w:rPr>
          <w:sz w:val="28"/>
        </w:rPr>
        <w:t>l.</w:t>
      </w:r>
    </w:p>
    <w:p w:rsidR="004D0C1B" w:rsidRDefault="000417D8">
      <w:pPr>
        <w:spacing w:after="0"/>
        <w:ind w:left="35" w:right="5027" w:firstLine="0"/>
      </w:pPr>
      <w:r>
        <w:t>Město Bruntál</w:t>
      </w:r>
    </w:p>
    <w:p w:rsidR="001D7E0B" w:rsidRDefault="004D0C1B">
      <w:pPr>
        <w:spacing w:after="0"/>
        <w:ind w:left="35" w:right="5027" w:firstLine="0"/>
      </w:pPr>
      <w:r>
        <w:t>IČ</w:t>
      </w:r>
      <w:r w:rsidR="000417D8">
        <w:t xml:space="preserve">: 002 95 892 </w:t>
      </w:r>
      <w:r w:rsidR="000417D8">
        <w:rPr>
          <w:noProof/>
        </w:rPr>
        <w:drawing>
          <wp:inline distT="0" distB="0" distL="0" distR="0">
            <wp:extent cx="9147" cy="4574"/>
            <wp:effectExtent l="0" t="0" r="0" b="0"/>
            <wp:docPr id="1609" name="Picture 1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" name="Picture 16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17D8">
        <w:t>sídlem Nádražní 994/20, 792 01 Bruntál zastoupené starostou</w:t>
      </w:r>
      <w:r w:rsidR="000B4DCA">
        <w:t xml:space="preserve"> </w:t>
      </w:r>
      <w:proofErr w:type="spellStart"/>
      <w:r w:rsidR="000B4DCA">
        <w:t>xxxx</w:t>
      </w:r>
      <w:proofErr w:type="spellEnd"/>
    </w:p>
    <w:p w:rsidR="001D7E0B" w:rsidRDefault="000417D8">
      <w:pPr>
        <w:spacing w:after="2" w:line="452" w:lineRule="auto"/>
        <w:ind w:left="35" w:right="4602" w:firstLine="4"/>
      </w:pPr>
      <w:r>
        <w:rPr>
          <w:sz w:val="24"/>
        </w:rPr>
        <w:t>(dále</w:t>
      </w:r>
      <w:r w:rsidR="004D0C1B">
        <w:rPr>
          <w:sz w:val="24"/>
        </w:rPr>
        <w:t xml:space="preserve"> </w:t>
      </w:r>
      <w:r>
        <w:rPr>
          <w:sz w:val="24"/>
        </w:rPr>
        <w:t>jen</w:t>
      </w:r>
      <w:r w:rsidR="004D0C1B">
        <w:rPr>
          <w:sz w:val="24"/>
        </w:rPr>
        <w:t xml:space="preserve"> </w:t>
      </w:r>
      <w:r>
        <w:rPr>
          <w:sz w:val="24"/>
        </w:rPr>
        <w:t>jako „</w:t>
      </w:r>
      <w:r>
        <w:rPr>
          <w:sz w:val="24"/>
        </w:rPr>
        <w:t>zapůjčitel” na straně</w:t>
      </w:r>
      <w:r w:rsidR="004D0C1B">
        <w:rPr>
          <w:sz w:val="24"/>
        </w:rPr>
        <w:t xml:space="preserve"> </w:t>
      </w:r>
      <w:r>
        <w:rPr>
          <w:sz w:val="24"/>
        </w:rPr>
        <w:t>jedné) a</w:t>
      </w:r>
    </w:p>
    <w:p w:rsidR="001D7E0B" w:rsidRDefault="000417D8">
      <w:pPr>
        <w:spacing w:after="10"/>
        <w:ind w:left="35" w:right="14" w:firstLine="0"/>
      </w:pPr>
      <w:r>
        <w:t>2.</w:t>
      </w:r>
    </w:p>
    <w:p w:rsidR="004D0C1B" w:rsidRDefault="000417D8">
      <w:pPr>
        <w:spacing w:after="9"/>
        <w:ind w:left="35" w:right="137" w:firstLine="0"/>
      </w:pPr>
      <w:r>
        <w:t xml:space="preserve">TS Bruntál, s.r.o. </w:t>
      </w:r>
    </w:p>
    <w:p w:rsidR="004D0C1B" w:rsidRDefault="004D0C1B">
      <w:pPr>
        <w:spacing w:after="9"/>
        <w:ind w:left="35" w:right="137" w:firstLine="0"/>
      </w:pPr>
      <w:r>
        <w:t>IČ</w:t>
      </w:r>
      <w:r w:rsidR="000417D8">
        <w:t xml:space="preserve">: 258 23 337 sídlem Zeyerova 1489/12, 792 Ol Bruntál </w:t>
      </w:r>
    </w:p>
    <w:p w:rsidR="001D7E0B" w:rsidRDefault="000417D8">
      <w:pPr>
        <w:spacing w:after="9"/>
        <w:ind w:left="35" w:right="137" w:firstLine="0"/>
      </w:pPr>
      <w:r>
        <w:t xml:space="preserve">zapsaná v obchodním </w:t>
      </w:r>
      <w:proofErr w:type="spellStart"/>
      <w:r>
        <w:t>reistříku</w:t>
      </w:r>
      <w:proofErr w:type="spellEnd"/>
      <w:r>
        <w:t xml:space="preserve"> vedeném u </w:t>
      </w:r>
      <w:proofErr w:type="spellStart"/>
      <w:r>
        <w:t>Kraiského</w:t>
      </w:r>
      <w:proofErr w:type="spellEnd"/>
      <w:r>
        <w:t xml:space="preserve"> soudu v Ostravě, oddíl C, vložka 19499 zastoupená</w:t>
      </w:r>
      <w:r w:rsidR="000B4DCA">
        <w:t xml:space="preserve"> </w:t>
      </w:r>
      <w:r w:rsidR="000B4DCA">
        <w:rPr>
          <w:noProof/>
        </w:rPr>
        <w:t>jednatelem xxxxxxx</w:t>
      </w:r>
    </w:p>
    <w:p w:rsidR="001D7E0B" w:rsidRDefault="000417D8">
      <w:pPr>
        <w:spacing w:after="285" w:line="227" w:lineRule="auto"/>
        <w:ind w:left="35" w:right="21" w:firstLine="4"/>
      </w:pPr>
      <w:r>
        <w:rPr>
          <w:sz w:val="24"/>
        </w:rPr>
        <w:t>(dále jen jako „</w:t>
      </w:r>
      <w:proofErr w:type="spellStart"/>
      <w:r>
        <w:rPr>
          <w:sz w:val="24"/>
        </w:rPr>
        <w:t>vy</w:t>
      </w:r>
      <w:r w:rsidR="004D0C1B">
        <w:rPr>
          <w:sz w:val="24"/>
        </w:rPr>
        <w:t>dlužitel</w:t>
      </w:r>
      <w:proofErr w:type="spellEnd"/>
      <w:r>
        <w:rPr>
          <w:sz w:val="24"/>
        </w:rPr>
        <w:t xml:space="preserve"> na </w:t>
      </w:r>
      <w:r w:rsidR="004D0C1B">
        <w:rPr>
          <w:sz w:val="24"/>
        </w:rPr>
        <w:t>straně</w:t>
      </w:r>
      <w:r>
        <w:rPr>
          <w:sz w:val="24"/>
        </w:rPr>
        <w:t xml:space="preserve"> </w:t>
      </w:r>
      <w:r w:rsidR="004D0C1B">
        <w:rPr>
          <w:sz w:val="24"/>
        </w:rPr>
        <w:t>d</w:t>
      </w:r>
      <w:r>
        <w:rPr>
          <w:sz w:val="24"/>
        </w:rPr>
        <w:t>ru</w:t>
      </w:r>
      <w:r w:rsidR="004D0C1B">
        <w:rPr>
          <w:sz w:val="24"/>
        </w:rPr>
        <w:t>hé)</w:t>
      </w:r>
    </w:p>
    <w:p w:rsidR="001D7E0B" w:rsidRDefault="000417D8">
      <w:pPr>
        <w:spacing w:after="236"/>
        <w:ind w:left="35" w:right="14" w:firstLine="0"/>
      </w:pPr>
      <w:r>
        <w:t xml:space="preserve">kdy zapůjčitel a </w:t>
      </w:r>
      <w:proofErr w:type="spellStart"/>
      <w:r>
        <w:t>vydlužitel</w:t>
      </w:r>
      <w:proofErr w:type="spellEnd"/>
      <w:r>
        <w:t xml:space="preserve"> jsou společně dále v této smlouvě označováni též jen jako „smluvní strany” nebo „účastníci”</w:t>
      </w:r>
    </w:p>
    <w:p w:rsidR="001D7E0B" w:rsidRDefault="000417D8">
      <w:pPr>
        <w:spacing w:after="100" w:line="259" w:lineRule="auto"/>
        <w:ind w:left="0" w:right="14" w:firstLine="0"/>
        <w:jc w:val="center"/>
      </w:pPr>
      <w:r>
        <w:rPr>
          <w:sz w:val="34"/>
        </w:rPr>
        <w:t>t a k t o:</w:t>
      </w:r>
    </w:p>
    <w:p w:rsidR="001D7E0B" w:rsidRDefault="000417D8">
      <w:pPr>
        <w:spacing w:after="0" w:line="259" w:lineRule="auto"/>
        <w:ind w:left="0" w:right="7" w:firstLine="0"/>
        <w:jc w:val="center"/>
      </w:pPr>
      <w:r>
        <w:t>1.</w:t>
      </w:r>
    </w:p>
    <w:p w:rsidR="001D7E0B" w:rsidRDefault="000417D8">
      <w:pPr>
        <w:spacing w:after="314" w:line="259" w:lineRule="auto"/>
        <w:ind w:left="10" w:right="0" w:hanging="10"/>
        <w:jc w:val="center"/>
      </w:pPr>
      <w:r>
        <w:rPr>
          <w:sz w:val="24"/>
        </w:rPr>
        <w:t>Předmět smlouvy</w:t>
      </w:r>
    </w:p>
    <w:p w:rsidR="001D7E0B" w:rsidRDefault="000417D8">
      <w:pPr>
        <w:spacing w:after="285" w:line="227" w:lineRule="auto"/>
        <w:ind w:left="345" w:right="21" w:hanging="310"/>
      </w:pPr>
      <w:proofErr w:type="gramStart"/>
      <w:r>
        <w:rPr>
          <w:sz w:val="24"/>
        </w:rPr>
        <w:t>l .</w:t>
      </w:r>
      <w:proofErr w:type="gramEnd"/>
      <w:r>
        <w:rPr>
          <w:sz w:val="24"/>
        </w:rPr>
        <w:t xml:space="preserve"> Smluvní strany se touto smlouvou dohodly, že zapůjčitel poskytuje </w:t>
      </w:r>
      <w:proofErr w:type="spellStart"/>
      <w:r>
        <w:rPr>
          <w:sz w:val="24"/>
        </w:rPr>
        <w:t>vydlužiteli</w:t>
      </w:r>
      <w:proofErr w:type="spellEnd"/>
      <w:r>
        <w:rPr>
          <w:sz w:val="24"/>
        </w:rPr>
        <w:t xml:space="preserve"> v souladu s jejich vzájemnou dohodou, touto smlouvou a občanským zákoníkem, peněžitou zápůjčku v celkové výši 1.700.000,- Kč (slovy: jeden milion sedm set tisíc korun českých</w:t>
      </w:r>
      <w:r>
        <w:rPr>
          <w:sz w:val="24"/>
        </w:rPr>
        <w:t>) (dále jen „zápůjčka").</w:t>
      </w:r>
    </w:p>
    <w:p w:rsidR="001D7E0B" w:rsidRDefault="000417D8">
      <w:pPr>
        <w:numPr>
          <w:ilvl w:val="0"/>
          <w:numId w:val="1"/>
        </w:numPr>
        <w:spacing w:after="217"/>
        <w:ind w:left="376" w:right="14"/>
      </w:pPr>
      <w:proofErr w:type="spellStart"/>
      <w:r>
        <w:t>Vydlužitel</w:t>
      </w:r>
      <w:proofErr w:type="spellEnd"/>
      <w:r>
        <w:t xml:space="preserve"> zápůjčku od zapůjčitele dle této smlouvy přijímá.</w:t>
      </w:r>
    </w:p>
    <w:p w:rsidR="001D7E0B" w:rsidRDefault="000417D8">
      <w:pPr>
        <w:numPr>
          <w:ilvl w:val="0"/>
          <w:numId w:val="1"/>
        </w:numPr>
        <w:spacing w:after="241" w:line="227" w:lineRule="auto"/>
        <w:ind w:left="376" w:right="14"/>
      </w:pPr>
      <w:r>
        <w:rPr>
          <w:sz w:val="24"/>
        </w:rPr>
        <w:t xml:space="preserve">Smluvní strany se výslovně dohodly. že zapůjčitel poukáže </w:t>
      </w:r>
      <w:proofErr w:type="spellStart"/>
      <w:r>
        <w:rPr>
          <w:sz w:val="24"/>
        </w:rPr>
        <w:t>vydlužiteli</w:t>
      </w:r>
      <w:proofErr w:type="spellEnd"/>
      <w:r>
        <w:rPr>
          <w:sz w:val="24"/>
        </w:rPr>
        <w:t xml:space="preserve"> celou peněžitou zápůjčku ve výši 1 700 000,- Kč bezhotovostní platbou na bankovní účet </w:t>
      </w:r>
      <w:proofErr w:type="spellStart"/>
      <w:r>
        <w:rPr>
          <w:sz w:val="24"/>
        </w:rPr>
        <w:t>vydlužitele</w:t>
      </w:r>
      <w:proofErr w:type="spellEnd"/>
      <w:r>
        <w:rPr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109765" cy="4574"/>
            <wp:effectExtent l="0" t="0" r="0" b="0"/>
            <wp:docPr id="1617" name="Picture 1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" name="Picture 16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765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0B4DCA">
        <w:rPr>
          <w:sz w:val="24"/>
        </w:rPr>
        <w:t>č.ú</w:t>
      </w:r>
      <w:proofErr w:type="spellEnd"/>
      <w:r w:rsidR="000B4DCA">
        <w:rPr>
          <w:sz w:val="24"/>
        </w:rPr>
        <w:t xml:space="preserve">. </w:t>
      </w:r>
      <w:proofErr w:type="spellStart"/>
      <w:r w:rsidR="000B4DCA">
        <w:rPr>
          <w:sz w:val="24"/>
        </w:rPr>
        <w:t>xxxxxxxxxxxx</w:t>
      </w:r>
      <w:proofErr w:type="spellEnd"/>
      <w:r w:rsidR="000B4DCA">
        <w:rPr>
          <w:sz w:val="24"/>
        </w:rPr>
        <w:t xml:space="preserve"> </w:t>
      </w:r>
      <w:r>
        <w:rPr>
          <w:sz w:val="24"/>
        </w:rPr>
        <w:t>pod variabilním symb</w:t>
      </w:r>
      <w:r w:rsidR="000B4DCA">
        <w:rPr>
          <w:sz w:val="24"/>
        </w:rPr>
        <w:t xml:space="preserve">olem </w:t>
      </w:r>
      <w:proofErr w:type="spellStart"/>
      <w:r w:rsidR="000B4DCA">
        <w:rPr>
          <w:sz w:val="24"/>
        </w:rPr>
        <w:t>xxxxx</w:t>
      </w:r>
      <w:proofErr w:type="spellEnd"/>
      <w:r>
        <w:rPr>
          <w:sz w:val="24"/>
        </w:rPr>
        <w:t xml:space="preserve"> o nejpozději do 30 dnů ode dne účinnosti této smlouvy dle čl. IV. odst. 2 této smlouvy.</w:t>
      </w:r>
    </w:p>
    <w:p w:rsidR="001D7E0B" w:rsidRDefault="000417D8" w:rsidP="000B4DCA">
      <w:pPr>
        <w:numPr>
          <w:ilvl w:val="0"/>
          <w:numId w:val="1"/>
        </w:numPr>
        <w:spacing w:after="224"/>
        <w:ind w:left="376" w:right="14"/>
      </w:pPr>
      <w:r>
        <w:t xml:space="preserve">Smluvní strany se dohodly, že zápůjčka dle této smlouvy se sjednává jako úročená a výslovně si sjednaly úrok ve výši 4,79 % </w:t>
      </w:r>
      <w:proofErr w:type="spellStart"/>
      <w:r>
        <w:t>p.a</w:t>
      </w:r>
      <w:proofErr w:type="spellEnd"/>
      <w:r>
        <w:t xml:space="preserve">. (ročně) z dlužné </w:t>
      </w:r>
      <w:r>
        <w:t xml:space="preserve">částky (tj. z dlužné jistiny zápůjčky postupně snížené o jednotlivé </w:t>
      </w:r>
      <w:proofErr w:type="spellStart"/>
      <w:r>
        <w:t>vydlužitelem</w:t>
      </w:r>
      <w:proofErr w:type="spellEnd"/>
      <w:r>
        <w:t xml:space="preserve"> zaplacené splátky). </w:t>
      </w:r>
      <w:proofErr w:type="spellStart"/>
      <w:r>
        <w:t>Vydlužitel</w:t>
      </w:r>
      <w:proofErr w:type="spellEnd"/>
      <w:r>
        <w:t xml:space="preserve"> se zavazuje sjednaný úrok zaplatit zapůjčiteli v jednotlivých samostatných ročních platbách, a</w:t>
      </w:r>
      <w:r w:rsidR="000B4DCA">
        <w:t xml:space="preserve"> </w:t>
      </w:r>
      <w:r w:rsidRPr="000B4DCA">
        <w:rPr>
          <w:sz w:val="24"/>
        </w:rPr>
        <w:t xml:space="preserve">to způsobem dle čl. </w:t>
      </w:r>
      <w:proofErr w:type="spellStart"/>
      <w:r w:rsidRPr="000B4DCA">
        <w:rPr>
          <w:sz w:val="24"/>
        </w:rPr>
        <w:t>Il</w:t>
      </w:r>
      <w:proofErr w:type="spellEnd"/>
      <w:r w:rsidRPr="000B4DCA">
        <w:rPr>
          <w:sz w:val="24"/>
        </w:rPr>
        <w:t>. odst. 2 této smlouvy.</w:t>
      </w:r>
    </w:p>
    <w:p w:rsidR="001D7E0B" w:rsidRDefault="000417D8">
      <w:pPr>
        <w:numPr>
          <w:ilvl w:val="0"/>
          <w:numId w:val="1"/>
        </w:numPr>
        <w:spacing w:after="212"/>
        <w:ind w:left="376" w:right="14"/>
      </w:pPr>
      <w:r>
        <w:t>Sml</w:t>
      </w:r>
      <w:r>
        <w:t xml:space="preserve">uvní strany se dále dohodly, že zápůjčka se sjednává jako účelově určená a </w:t>
      </w:r>
      <w:proofErr w:type="spellStart"/>
      <w:r>
        <w:t>vydlužitel</w:t>
      </w:r>
      <w:proofErr w:type="spellEnd"/>
      <w:r>
        <w:t xml:space="preserve"> se zavazuje celou peněžitou částku použít výhradně pro účely financování nákupu a zprovoznění parkovacích automatů a příslušenství k nim na území města Bruntálu.</w:t>
      </w:r>
    </w:p>
    <w:p w:rsidR="001D7E0B" w:rsidRDefault="000417D8">
      <w:pPr>
        <w:spacing w:after="0" w:line="259" w:lineRule="auto"/>
        <w:ind w:left="360" w:right="0" w:firstLine="0"/>
        <w:jc w:val="center"/>
      </w:pPr>
      <w:r>
        <w:rPr>
          <w:sz w:val="16"/>
        </w:rPr>
        <w:lastRenderedPageBreak/>
        <w:t xml:space="preserve">I </w:t>
      </w:r>
    </w:p>
    <w:p w:rsidR="001D7E0B" w:rsidRDefault="000417D8">
      <w:pPr>
        <w:spacing w:after="3" w:line="259" w:lineRule="auto"/>
        <w:ind w:left="442" w:right="619" w:hanging="10"/>
        <w:jc w:val="center"/>
      </w:pPr>
      <w:r>
        <w:rPr>
          <w:sz w:val="20"/>
        </w:rPr>
        <w:t>11.</w:t>
      </w:r>
    </w:p>
    <w:p w:rsidR="001D7E0B" w:rsidRDefault="000417D8">
      <w:pPr>
        <w:spacing w:after="261" w:line="259" w:lineRule="auto"/>
        <w:ind w:left="10" w:right="180" w:hanging="10"/>
        <w:jc w:val="center"/>
      </w:pPr>
      <w:r>
        <w:rPr>
          <w:sz w:val="24"/>
        </w:rPr>
        <w:t>Splatnost zápůjčky a úroku</w:t>
      </w:r>
    </w:p>
    <w:p w:rsidR="001D7E0B" w:rsidRDefault="000417D8">
      <w:pPr>
        <w:numPr>
          <w:ilvl w:val="0"/>
          <w:numId w:val="2"/>
        </w:numPr>
        <w:spacing w:after="5"/>
        <w:ind w:left="376" w:right="140"/>
      </w:pPr>
      <w:proofErr w:type="spellStart"/>
      <w:r>
        <w:t>Vydlužitel</w:t>
      </w:r>
      <w:proofErr w:type="spellEnd"/>
      <w:r>
        <w:t xml:space="preserve"> se zavazuje, že vrátí zapůjčiteli celou zápůjčku v ročních splátkách ve výši 340.000,- Kč (slovy: tři sta čtyřicet tisíc korun českých), které jsou splatné vždy nejpozději do 30.11. kalendářního roku, a to počínaje prv</w:t>
      </w:r>
      <w:r>
        <w:t>ní splátkou, která je dle dohody smluvních stran splatná 30.1 1.2025 (následující splátka bude splatná 30.1 1.2026 atd.).</w:t>
      </w:r>
    </w:p>
    <w:p w:rsidR="001D7E0B" w:rsidRDefault="000417D8">
      <w:pPr>
        <w:ind w:left="331" w:right="14" w:firstLine="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1344619</wp:posOffset>
            </wp:positionH>
            <wp:positionV relativeFrom="paragraph">
              <wp:posOffset>162786</wp:posOffset>
            </wp:positionV>
            <wp:extent cx="649442" cy="9148"/>
            <wp:effectExtent l="0" t="0" r="0" b="0"/>
            <wp:wrapSquare wrapText="bothSides"/>
            <wp:docPr id="4021" name="Picture 4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" name="Picture 40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442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Splátky budou placeny </w:t>
      </w:r>
      <w:proofErr w:type="spellStart"/>
      <w:r>
        <w:t>vydlužitelem</w:t>
      </w:r>
      <w:proofErr w:type="spellEnd"/>
      <w:r>
        <w:t xml:space="preserve"> bezhotovostním převodem na bankovní účet zapůjčitele</w:t>
      </w:r>
      <w:r w:rsidR="000B4DCA">
        <w:t xml:space="preserve"> č. </w:t>
      </w:r>
      <w:proofErr w:type="spellStart"/>
      <w:r w:rsidR="000B4DCA">
        <w:t>ú.</w:t>
      </w:r>
      <w:proofErr w:type="spellEnd"/>
      <w:r w:rsidR="000B4DCA">
        <w:t xml:space="preserve"> </w:t>
      </w:r>
      <w:proofErr w:type="spellStart"/>
      <w:r w:rsidR="000B4DCA">
        <w:t>Xxxxxxxxxxxx</w:t>
      </w:r>
      <w:proofErr w:type="spellEnd"/>
      <w:r w:rsidR="000B4DCA">
        <w:t xml:space="preserve"> variabilním</w:t>
      </w:r>
      <w:r>
        <w:t xml:space="preserve"> symbolem</w:t>
      </w:r>
      <w:r w:rsidR="000B4DCA">
        <w:t xml:space="preserve"> </w:t>
      </w:r>
      <w:proofErr w:type="spellStart"/>
      <w:r w:rsidR="000B4DCA">
        <w:t>xxxxxxxxx</w:t>
      </w:r>
      <w:proofErr w:type="spellEnd"/>
    </w:p>
    <w:p w:rsidR="001D7E0B" w:rsidRDefault="000417D8">
      <w:pPr>
        <w:numPr>
          <w:ilvl w:val="0"/>
          <w:numId w:val="2"/>
        </w:numPr>
        <w:spacing w:after="242"/>
        <w:ind w:left="376" w:right="140"/>
      </w:pPr>
      <w:r>
        <w:t>Sjednaný úrok bude zapůjčite</w:t>
      </w:r>
      <w:r>
        <w:t xml:space="preserve">lem vyčíslen </w:t>
      </w:r>
      <w:proofErr w:type="spellStart"/>
      <w:r>
        <w:t>vydlužiteli</w:t>
      </w:r>
      <w:proofErr w:type="spellEnd"/>
      <w:r>
        <w:t xml:space="preserve"> jednou ročně vždy ke dni 30.11. příslušného kalendářního roku (počínaje rokem 2025). Smluvní úroky vyčíslené zapůjčitelem dle předchozí věty tohoto odstavce této smlouvy budou </w:t>
      </w:r>
      <w:proofErr w:type="spellStart"/>
      <w:r>
        <w:t>vydlužiteli</w:t>
      </w:r>
      <w:proofErr w:type="spellEnd"/>
      <w:r>
        <w:t xml:space="preserve"> vyúčtovány fakturou — daňovým dokladem a js</w:t>
      </w:r>
      <w:r>
        <w:t>ou splatné vždy nejpozději do 31.12. příslušného kalendářního roku (počínaje rokem 2025).</w:t>
      </w:r>
    </w:p>
    <w:p w:rsidR="001D7E0B" w:rsidRDefault="000417D8">
      <w:pPr>
        <w:numPr>
          <w:ilvl w:val="0"/>
          <w:numId w:val="2"/>
        </w:numPr>
        <w:ind w:left="376" w:right="140"/>
      </w:pPr>
      <w:r>
        <w:t xml:space="preserve">V případě, že </w:t>
      </w:r>
      <w:proofErr w:type="spellStart"/>
      <w:r>
        <w:t>vydlužitel</w:t>
      </w:r>
      <w:proofErr w:type="spellEnd"/>
      <w:r>
        <w:t xml:space="preserve"> nevrátí zapůjčiteli celou zápůjčku řádně a včas dle tohoto článku smlouvy, dostane se tak do prodlení a v takovém případě je </w:t>
      </w:r>
      <w:proofErr w:type="spellStart"/>
      <w:r>
        <w:t>vydlužitel</w:t>
      </w:r>
      <w:proofErr w:type="spellEnd"/>
      <w:r>
        <w:t xml:space="preserve"> povin</w:t>
      </w:r>
      <w:r>
        <w:t>en zaplatit věřiteli úroky z prodlení v zákonné výši dle platných a účinných právních předpisů.</w:t>
      </w:r>
    </w:p>
    <w:p w:rsidR="001D7E0B" w:rsidRDefault="000417D8">
      <w:pPr>
        <w:numPr>
          <w:ilvl w:val="0"/>
          <w:numId w:val="2"/>
        </w:numPr>
        <w:ind w:left="376" w:right="140"/>
      </w:pPr>
      <w:proofErr w:type="spellStart"/>
      <w:r>
        <w:t>Vydlužitel</w:t>
      </w:r>
      <w:proofErr w:type="spellEnd"/>
      <w:r>
        <w:t xml:space="preserve"> je oprávněn po předchozím informování zapůjčitele vrátit zapůjčiteli zápůjčku či jakoukoliv její část i přede dnem splatnosti uvedeným v odst. I toho</w:t>
      </w:r>
      <w:r>
        <w:t>to článku smlouvy.</w:t>
      </w:r>
    </w:p>
    <w:p w:rsidR="001D7E0B" w:rsidRDefault="000417D8">
      <w:pPr>
        <w:spacing w:after="3" w:line="259" w:lineRule="auto"/>
        <w:ind w:left="442" w:right="562" w:hanging="10"/>
        <w:jc w:val="center"/>
      </w:pPr>
      <w:r>
        <w:rPr>
          <w:sz w:val="20"/>
        </w:rPr>
        <w:t>111.</w:t>
      </w:r>
    </w:p>
    <w:p w:rsidR="001D7E0B" w:rsidRDefault="000417D8">
      <w:pPr>
        <w:spacing w:after="261" w:line="259" w:lineRule="auto"/>
        <w:ind w:left="10" w:right="122" w:hanging="10"/>
        <w:jc w:val="center"/>
      </w:pPr>
      <w:r>
        <w:rPr>
          <w:sz w:val="24"/>
        </w:rPr>
        <w:t>Ostatní ujednání</w:t>
      </w:r>
    </w:p>
    <w:p w:rsidR="001D7E0B" w:rsidRDefault="000417D8">
      <w:pPr>
        <w:ind w:left="376" w:right="14"/>
      </w:pPr>
      <w:r>
        <w:t xml:space="preserve">I. </w:t>
      </w:r>
      <w:proofErr w:type="spellStart"/>
      <w:r>
        <w:t>Vydlužitel</w:t>
      </w:r>
      <w:proofErr w:type="spellEnd"/>
      <w:r>
        <w:t xml:space="preserve"> prohlašuje, že není v úpadku, není proti němu vedeno žádné soudní, rozhodčí, exekuční nebo vykonávací řízení a není nijak omezen v právních jednáních.</w:t>
      </w:r>
    </w:p>
    <w:p w:rsidR="001D7E0B" w:rsidRDefault="000417D8">
      <w:pPr>
        <w:numPr>
          <w:ilvl w:val="0"/>
          <w:numId w:val="3"/>
        </w:numPr>
        <w:ind w:left="376" w:right="68"/>
      </w:pPr>
      <w:r>
        <w:t>Účastníci prohlašují, že se žádný z nich necítí být při uzavření této smlouvy slabší smluvní stranou.</w:t>
      </w:r>
    </w:p>
    <w:p w:rsidR="001D7E0B" w:rsidRDefault="000417D8">
      <w:pPr>
        <w:numPr>
          <w:ilvl w:val="0"/>
          <w:numId w:val="3"/>
        </w:numPr>
        <w:spacing w:after="241"/>
        <w:ind w:left="376" w:right="68"/>
      </w:pPr>
      <w:r>
        <w:t xml:space="preserve">Zapůjčitel ani </w:t>
      </w:r>
      <w:proofErr w:type="spellStart"/>
      <w:r>
        <w:t>vydlužitel</w:t>
      </w:r>
      <w:proofErr w:type="spellEnd"/>
      <w:r>
        <w:t xml:space="preserve"> není bez předchozího písemného souhlasu druhé smluvní strany oprávněn postoupit ani jinak převést svá práva, povinnosti či pohle</w:t>
      </w:r>
      <w:r>
        <w:t>dávky vyplývající z této smlouvy nebo tuto smlouvu či její část na třetí osobu.</w:t>
      </w:r>
    </w:p>
    <w:p w:rsidR="001D7E0B" w:rsidRDefault="000417D8">
      <w:pPr>
        <w:spacing w:after="0" w:line="259" w:lineRule="auto"/>
        <w:ind w:left="10" w:right="101" w:hanging="10"/>
        <w:jc w:val="center"/>
      </w:pPr>
      <w:r>
        <w:rPr>
          <w:sz w:val="24"/>
        </w:rPr>
        <w:t>IV.</w:t>
      </w:r>
    </w:p>
    <w:p w:rsidR="001D7E0B" w:rsidRDefault="000417D8">
      <w:pPr>
        <w:spacing w:after="261" w:line="259" w:lineRule="auto"/>
        <w:ind w:left="10" w:right="94" w:hanging="10"/>
        <w:jc w:val="center"/>
      </w:pPr>
      <w:r>
        <w:rPr>
          <w:sz w:val="24"/>
        </w:rPr>
        <w:t>Závěrečná ustanovení</w:t>
      </w:r>
    </w:p>
    <w:p w:rsidR="001D7E0B" w:rsidRDefault="000417D8">
      <w:pPr>
        <w:numPr>
          <w:ilvl w:val="0"/>
          <w:numId w:val="4"/>
        </w:numPr>
        <w:spacing w:after="295"/>
        <w:ind w:left="376" w:right="14"/>
      </w:pPr>
      <w:r>
        <w:t>Tato smlouva nabývá platnosti dnem jejího podpisu oběma smluvními stranami této smlouvy.</w:t>
      </w:r>
    </w:p>
    <w:p w:rsidR="001D7E0B" w:rsidRDefault="000417D8">
      <w:pPr>
        <w:numPr>
          <w:ilvl w:val="0"/>
          <w:numId w:val="4"/>
        </w:numPr>
        <w:ind w:left="376" w:right="14"/>
      </w:pPr>
      <w:r>
        <w:t>Účinnosti tato smlouva nabývá dnem uveřejnění v registru smluv</w:t>
      </w:r>
      <w:r>
        <w:t xml:space="preserve"> podle zákona č. 340/2015 Sb., o zvláštních podmínkách účinnosti někter</w:t>
      </w:r>
      <w:bookmarkStart w:id="0" w:name="_GoBack"/>
      <w:bookmarkEnd w:id="0"/>
      <w:r>
        <w:t>ých smluv, uveřejňování těchto smluv a o registru smluv (zákon o registru smluv).</w:t>
      </w:r>
    </w:p>
    <w:p w:rsidR="001D7E0B" w:rsidRDefault="000417D8">
      <w:pPr>
        <w:numPr>
          <w:ilvl w:val="0"/>
          <w:numId w:val="4"/>
        </w:numPr>
        <w:spacing w:after="376"/>
        <w:ind w:left="376" w:right="14"/>
      </w:pPr>
      <w:r>
        <w:t>Písemná oznámení a výzvy budou účastníky smlouvy prováděny výlučně písemně, a to prostřednictvím datový</w:t>
      </w:r>
      <w:r>
        <w:t>ch schránek, doporučenou listovní zásilkou nebo kurýrní službou na adresy smluvních stran uvedených v záhlaví této smlouvy. V případě, že některý z účastníků změní adresu uvedenou v této smlouvě pro doručování, je povinen to ihned</w:t>
      </w:r>
    </w:p>
    <w:p w:rsidR="001D7E0B" w:rsidRDefault="000417D8">
      <w:pPr>
        <w:spacing w:after="0" w:line="259" w:lineRule="auto"/>
        <w:ind w:left="295" w:right="0" w:firstLine="0"/>
        <w:jc w:val="center"/>
      </w:pPr>
      <w:r>
        <w:rPr>
          <w:sz w:val="18"/>
        </w:rPr>
        <w:lastRenderedPageBreak/>
        <w:t xml:space="preserve">2 </w:t>
      </w:r>
    </w:p>
    <w:p w:rsidR="001D7E0B" w:rsidRDefault="000417D8">
      <w:pPr>
        <w:spacing w:after="306"/>
        <w:ind w:left="432" w:right="14" w:firstLine="0"/>
      </w:pPr>
      <w:r>
        <w:t>oznámit ostatním účastníkům smlouvy. Do doby doručení oznámení o změně doručovací adresy se zásilka považuje za doručenou, pokud byla odeslána na poslední uvedenou adresu. V souladu s SS 573 občanského zákoníku se bude doporučený dopis považovat za doručen</w:t>
      </w:r>
      <w:r>
        <w:t>ý třetím pracovním dnem po jeho odeslání.</w:t>
      </w:r>
    </w:p>
    <w:p w:rsidR="001D7E0B" w:rsidRDefault="000417D8">
      <w:pPr>
        <w:numPr>
          <w:ilvl w:val="0"/>
          <w:numId w:val="4"/>
        </w:numPr>
        <w:ind w:left="376" w:right="14"/>
      </w:pPr>
      <w:r>
        <w:t>Pokud se jakýkoliv závazek vyplývající z této smlouvy stane nebo bude shledán neplatným nebo nevymahatelným jako celek nebo v části, platí, že je plně oddělitelný od ostatních ustanovení smlouvy a taková neplatnost</w:t>
      </w:r>
      <w:r>
        <w:t xml:space="preserve"> nebo nevymahatelnost nebude mít žádný vliv na platnost a vymahatelnost jakýchkoliv ostatních závazků ze smlouvy. Účastníci smlouvy se zavazují neprodleně nahradit formou dodatku či jiného ujednání takovýto závazek novým, platným a vymahatelným závazkem, j</w:t>
      </w:r>
      <w:r>
        <w:t>ehož předmět a účel bude v nejvyšší možné míře odpovídat předmětu a účelu původního závazku.</w:t>
      </w:r>
    </w:p>
    <w:p w:rsidR="001D7E0B" w:rsidRDefault="000417D8">
      <w:pPr>
        <w:numPr>
          <w:ilvl w:val="0"/>
          <w:numId w:val="4"/>
        </w:numPr>
        <w:ind w:left="376" w:right="14"/>
      </w:pPr>
      <w:r>
        <w:t>Ú</w:t>
      </w:r>
      <w:r>
        <w:t>častníci prohlašují, že si smlouvu před jejím podpisem přečetli, že jejímu obsahu porozuměli a že tato smlouva byla všemi</w:t>
      </w:r>
      <w:r>
        <w:t xml:space="preserve"> účastníky uzavřena na základě jejich sv</w:t>
      </w:r>
      <w:r>
        <w:t>obodné, pravé a vážné vůle, že tato smlouva se nepříčí dobrým mravům, není uzavřena v omylu a na důkaz toho ji všichni účastníci stvrzují svými podpisy.</w:t>
      </w:r>
    </w:p>
    <w:p w:rsidR="001D7E0B" w:rsidRDefault="000417D8">
      <w:pPr>
        <w:numPr>
          <w:ilvl w:val="0"/>
          <w:numId w:val="4"/>
        </w:numPr>
        <w:spacing w:after="223"/>
        <w:ind w:left="376" w:right="14"/>
      </w:pPr>
      <w:r>
        <w:t>Jakékoliv změny nebo doplňky k této smlouvě musí být učiněny písemně, jinak jsou neplatné.</w:t>
      </w:r>
    </w:p>
    <w:p w:rsidR="001D7E0B" w:rsidRDefault="000417D8">
      <w:pPr>
        <w:numPr>
          <w:ilvl w:val="0"/>
          <w:numId w:val="4"/>
        </w:numPr>
        <w:spacing w:after="316"/>
        <w:ind w:left="376" w:right="14"/>
      </w:pPr>
      <w:r>
        <w:t>Tato smlouva je sepsána ve dvou stejnopisech, z nichž po jednom stejnopise obdrží každý z účastníků této smlouvy.</w:t>
      </w:r>
    </w:p>
    <w:p w:rsidR="001D7E0B" w:rsidRDefault="000417D8">
      <w:pPr>
        <w:numPr>
          <w:ilvl w:val="0"/>
          <w:numId w:val="4"/>
        </w:numPr>
        <w:ind w:left="376" w:right="14"/>
      </w:pPr>
      <w:r>
        <w:t>Není-li v této smlouvě stanoveno jinak, řídí se právní vztahy mezi účastníky této smlouvy obecně závaznými právními předpisy České republiky.</w:t>
      </w:r>
    </w:p>
    <w:p w:rsidR="000B4DCA" w:rsidRDefault="000417D8" w:rsidP="004D0C1B">
      <w:pPr>
        <w:numPr>
          <w:ilvl w:val="0"/>
          <w:numId w:val="4"/>
        </w:numPr>
        <w:spacing w:after="523"/>
        <w:ind w:left="35" w:right="14" w:firstLine="0"/>
      </w:pPr>
      <w:r>
        <w:t>Zap</w:t>
      </w:r>
      <w:r w:rsidR="000B4DCA">
        <w:t>ůjčitel</w:t>
      </w:r>
      <w:r>
        <w:t xml:space="preserve"> potvrzuje, že toto právní jednání bylo schváleno Zastupitelstvem města Bruntálu usnesením č. 390/14Z/2024 ze dne 3.9.2024.</w:t>
      </w:r>
      <w:r>
        <w:t>V Bruntále dne</w:t>
      </w:r>
      <w:r w:rsidR="000B4DCA">
        <w:t xml:space="preserve"> 3</w:t>
      </w:r>
      <w:r>
        <w:t>.</w:t>
      </w:r>
      <w:r w:rsidR="000B4DCA">
        <w:t>9.2024.</w:t>
      </w:r>
    </w:p>
    <w:p w:rsidR="000B4DCA" w:rsidRDefault="000B4DCA" w:rsidP="000B4DCA">
      <w:pPr>
        <w:spacing w:after="523"/>
        <w:ind w:left="35" w:right="14" w:firstLine="0"/>
      </w:pPr>
      <w:r>
        <w:t xml:space="preserve">V Bruntále dne </w:t>
      </w:r>
    </w:p>
    <w:p w:rsidR="001D7E0B" w:rsidRDefault="000417D8">
      <w:pPr>
        <w:tabs>
          <w:tab w:val="center" w:pos="5971"/>
        </w:tabs>
        <w:ind w:left="0" w:right="0" w:firstLine="0"/>
        <w:jc w:val="left"/>
      </w:pPr>
      <w:r>
        <w:rPr>
          <w:sz w:val="24"/>
        </w:rPr>
        <w:t>zapůjčitel:</w:t>
      </w:r>
      <w:r>
        <w:rPr>
          <w:sz w:val="24"/>
        </w:rPr>
        <w:tab/>
      </w:r>
      <w:proofErr w:type="spellStart"/>
      <w:r>
        <w:rPr>
          <w:sz w:val="24"/>
        </w:rPr>
        <w:t>vydlužitel</w:t>
      </w:r>
      <w:proofErr w:type="spellEnd"/>
      <w:r>
        <w:rPr>
          <w:sz w:val="24"/>
        </w:rPr>
        <w:t>:</w:t>
      </w:r>
    </w:p>
    <w:p w:rsidR="001D7E0B" w:rsidRDefault="000417D8">
      <w:pPr>
        <w:spacing w:after="872" w:line="259" w:lineRule="auto"/>
        <w:ind w:left="6950" w:right="0" w:firstLine="0"/>
        <w:jc w:val="left"/>
      </w:pPr>
      <w:r>
        <w:rPr>
          <w:noProof/>
        </w:rPr>
        <w:drawing>
          <wp:inline distT="0" distB="0" distL="0" distR="0">
            <wp:extent cx="740913" cy="68606"/>
            <wp:effectExtent l="0" t="0" r="0" b="0"/>
            <wp:docPr id="5991" name="Picture 5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1" name="Picture 59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913" cy="6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E0B" w:rsidRDefault="000417D8">
      <w:pPr>
        <w:spacing w:after="2665" w:line="259" w:lineRule="auto"/>
        <w:ind w:left="2687" w:right="0" w:firstLine="0"/>
        <w:jc w:val="left"/>
      </w:pPr>
      <w:r>
        <w:rPr>
          <w:noProof/>
        </w:rPr>
        <w:drawing>
          <wp:inline distT="0" distB="0" distL="0" distR="0">
            <wp:extent cx="461927" cy="18295"/>
            <wp:effectExtent l="0" t="0" r="0" b="0"/>
            <wp:docPr id="5992" name="Picture 5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" name="Picture 59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92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E0B" w:rsidRDefault="000417D8">
      <w:pPr>
        <w:spacing w:after="3" w:line="259" w:lineRule="auto"/>
        <w:ind w:left="442" w:right="0" w:hanging="10"/>
        <w:jc w:val="center"/>
      </w:pPr>
      <w:r>
        <w:rPr>
          <w:sz w:val="20"/>
        </w:rPr>
        <w:lastRenderedPageBreak/>
        <w:t xml:space="preserve">3 </w:t>
      </w:r>
    </w:p>
    <w:sectPr w:rsidR="001D7E0B">
      <w:footerReference w:type="even" r:id="rId12"/>
      <w:footerReference w:type="default" r:id="rId13"/>
      <w:footerReference w:type="first" r:id="rId14"/>
      <w:pgSz w:w="11920" w:h="16840"/>
      <w:pgMar w:top="1660" w:right="1577" w:bottom="1333" w:left="1570" w:header="708" w:footer="13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417D8">
      <w:pPr>
        <w:spacing w:after="0" w:line="240" w:lineRule="auto"/>
      </w:pPr>
      <w:r>
        <w:separator/>
      </w:r>
    </w:p>
  </w:endnote>
  <w:endnote w:type="continuationSeparator" w:id="0">
    <w:p w:rsidR="00000000" w:rsidRDefault="0004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E0B" w:rsidRDefault="000417D8">
    <w:pPr>
      <w:spacing w:after="0" w:line="259" w:lineRule="auto"/>
      <w:ind w:left="0" w:right="0" w:firstLine="0"/>
      <w:jc w:val="center"/>
    </w:pPr>
    <w:r>
      <w:rPr>
        <w:sz w:val="20"/>
      </w:rPr>
      <w:t xml:space="preserve">Stránka </w:t>
    </w:r>
    <w:r>
      <w:rPr>
        <w:sz w:val="18"/>
      </w:rPr>
      <w:t xml:space="preserve">z </w:t>
    </w:r>
    <w: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E0B" w:rsidRDefault="000417D8">
    <w:pPr>
      <w:spacing w:after="0" w:line="259" w:lineRule="auto"/>
      <w:ind w:left="0" w:right="0" w:firstLine="0"/>
      <w:jc w:val="center"/>
    </w:pPr>
    <w:r>
      <w:rPr>
        <w:sz w:val="20"/>
      </w:rPr>
      <w:t xml:space="preserve">Stránka </w:t>
    </w:r>
    <w:r>
      <w:rPr>
        <w:sz w:val="18"/>
      </w:rPr>
      <w:t xml:space="preserve">z </w:t>
    </w:r>
    <w: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E0B" w:rsidRDefault="000417D8">
    <w:pPr>
      <w:spacing w:after="0" w:line="259" w:lineRule="auto"/>
      <w:ind w:left="0" w:right="0" w:firstLine="0"/>
      <w:jc w:val="center"/>
    </w:pPr>
    <w:r>
      <w:rPr>
        <w:sz w:val="20"/>
      </w:rPr>
      <w:t xml:space="preserve">Stránka </w:t>
    </w:r>
    <w:r>
      <w:rPr>
        <w:sz w:val="18"/>
      </w:rPr>
      <w:t xml:space="preserve">z </w:t>
    </w: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417D8">
      <w:pPr>
        <w:spacing w:after="0" w:line="240" w:lineRule="auto"/>
      </w:pPr>
      <w:r>
        <w:separator/>
      </w:r>
    </w:p>
  </w:footnote>
  <w:footnote w:type="continuationSeparator" w:id="0">
    <w:p w:rsidR="00000000" w:rsidRDefault="00041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0727"/>
    <w:multiLevelType w:val="hybridMultilevel"/>
    <w:tmpl w:val="3B56D508"/>
    <w:lvl w:ilvl="0" w:tplc="2230CBD4">
      <w:start w:val="2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60084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A8D8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F42AA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7CD63E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4AD4C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D2F07A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AE9D4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C5D1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05229D"/>
    <w:multiLevelType w:val="hybridMultilevel"/>
    <w:tmpl w:val="31F853F0"/>
    <w:lvl w:ilvl="0" w:tplc="6D722E40">
      <w:start w:val="2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A6AFC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CAE55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A80F7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827A4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B02D4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A47B7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EE7CC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047A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3E6C8F"/>
    <w:multiLevelType w:val="hybridMultilevel"/>
    <w:tmpl w:val="E6F6F762"/>
    <w:lvl w:ilvl="0" w:tplc="FBCA3414">
      <w:start w:val="1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8AA66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AC788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608BF6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ECD3C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A8500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0B9B2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43FE6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EA38F0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C32822"/>
    <w:multiLevelType w:val="hybridMultilevel"/>
    <w:tmpl w:val="D0FAB214"/>
    <w:lvl w:ilvl="0" w:tplc="5576F094">
      <w:start w:val="1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49B1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8CC5F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E565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C0B4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E278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B88F5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68B9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2211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0B"/>
    <w:rsid w:val="000417D8"/>
    <w:rsid w:val="000B4DCA"/>
    <w:rsid w:val="001D7E0B"/>
    <w:rsid w:val="004D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B565"/>
  <w15:docId w15:val="{68EE0EEA-2C42-440E-B177-56224211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71" w:line="248" w:lineRule="auto"/>
      <w:ind w:left="435" w:right="79" w:hanging="341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902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Remešová Martina</dc:creator>
  <cp:keywords/>
  <cp:lastModifiedBy>Remešová Martina</cp:lastModifiedBy>
  <cp:revision>3</cp:revision>
  <dcterms:created xsi:type="dcterms:W3CDTF">2024-11-18T13:17:00Z</dcterms:created>
  <dcterms:modified xsi:type="dcterms:W3CDTF">2024-11-18T13:24:00Z</dcterms:modified>
</cp:coreProperties>
</file>