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0C69A9E" w:rsidR="00D859C2" w:rsidRPr="002F5A51" w:rsidRDefault="00632A3A" w:rsidP="00D859C2">
      <w:pPr>
        <w:rPr>
          <w:b/>
        </w:rPr>
      </w:pPr>
      <w:r w:rsidRPr="002F5A51">
        <w:rPr>
          <w:b/>
        </w:rPr>
        <w:t>L I N E T spol. s r.o.</w:t>
      </w:r>
    </w:p>
    <w:p w14:paraId="3DADA2B1" w14:textId="026447BE" w:rsidR="00D859C2" w:rsidRPr="002F5A51" w:rsidRDefault="00D859C2" w:rsidP="00D859C2">
      <w:r w:rsidRPr="002F5A51">
        <w:t xml:space="preserve">IČ: </w:t>
      </w:r>
      <w:r w:rsidR="00632A3A" w:rsidRPr="002F5A51">
        <w:t>00507814</w:t>
      </w:r>
    </w:p>
    <w:p w14:paraId="494735B8" w14:textId="637EB327" w:rsidR="00D859C2" w:rsidRPr="002F5A51" w:rsidRDefault="00D859C2" w:rsidP="00D859C2">
      <w:r w:rsidRPr="002F5A51">
        <w:t xml:space="preserve">DIČ: </w:t>
      </w:r>
      <w:r w:rsidR="00632A3A" w:rsidRPr="002F5A51">
        <w:t>CZ00507814</w:t>
      </w:r>
    </w:p>
    <w:p w14:paraId="4BE4B061" w14:textId="4C2C0BD9" w:rsidR="00D859C2" w:rsidRPr="002F5A51" w:rsidRDefault="00D859C2" w:rsidP="00D859C2">
      <w:r w:rsidRPr="002F5A51">
        <w:t xml:space="preserve">se </w:t>
      </w:r>
      <w:proofErr w:type="gramStart"/>
      <w:r w:rsidRPr="002F5A51">
        <w:t xml:space="preserve">sídlem:  </w:t>
      </w:r>
      <w:proofErr w:type="spellStart"/>
      <w:r w:rsidR="00632A3A" w:rsidRPr="002F5A51">
        <w:t>Želevčice</w:t>
      </w:r>
      <w:proofErr w:type="spellEnd"/>
      <w:proofErr w:type="gramEnd"/>
      <w:r w:rsidR="00632A3A" w:rsidRPr="002F5A51">
        <w:t xml:space="preserve"> 5, 274 01  Slaný</w:t>
      </w:r>
    </w:p>
    <w:p w14:paraId="1F4F5F98" w14:textId="780CA912" w:rsidR="00D859C2" w:rsidRPr="002F5A51" w:rsidRDefault="00D859C2" w:rsidP="00D859C2">
      <w:r w:rsidRPr="002F5A51">
        <w:t xml:space="preserve">zastoupena: </w:t>
      </w:r>
      <w:r w:rsidR="0000632A">
        <w:t>XXX</w:t>
      </w:r>
      <w:r w:rsidR="00632A3A" w:rsidRPr="002F5A51">
        <w:t>, vedoucím podpory obchodu pro ČR, v plné moci</w:t>
      </w:r>
    </w:p>
    <w:p w14:paraId="43130257" w14:textId="534AB2BB" w:rsidR="00D859C2" w:rsidRPr="002F5A51" w:rsidRDefault="00D859C2" w:rsidP="00D859C2">
      <w:r w:rsidRPr="002F5A51">
        <w:t xml:space="preserve">bankovní spojení: </w:t>
      </w:r>
      <w:r w:rsidR="00632A3A" w:rsidRPr="002F5A51">
        <w:t>Komerční banka, a.s.</w:t>
      </w:r>
    </w:p>
    <w:p w14:paraId="4B4D9F51" w14:textId="4B2E31CA" w:rsidR="00D859C2" w:rsidRPr="002F5A51" w:rsidRDefault="00D859C2" w:rsidP="00D859C2">
      <w:r w:rsidRPr="002F5A51">
        <w:t xml:space="preserve">číslo účtu: </w:t>
      </w:r>
      <w:r w:rsidR="00632A3A" w:rsidRPr="002F5A51">
        <w:t>58242141/0100</w:t>
      </w:r>
    </w:p>
    <w:p w14:paraId="7BE5CCD9" w14:textId="2E00D547" w:rsidR="00D859C2" w:rsidRPr="002F5A51" w:rsidRDefault="00D859C2" w:rsidP="00D859C2">
      <w:r w:rsidRPr="002F5A51">
        <w:t xml:space="preserve">zapsána v obchodním rejstříku vedeném </w:t>
      </w:r>
      <w:r w:rsidR="00632A3A" w:rsidRPr="002F5A51">
        <w:t>Městským</w:t>
      </w:r>
      <w:r w:rsidRPr="002F5A51">
        <w:t xml:space="preserve"> soudem v </w:t>
      </w:r>
      <w:r w:rsidR="00632A3A" w:rsidRPr="002F5A51">
        <w:t>Praze</w:t>
      </w:r>
      <w:r w:rsidRPr="002F5A51">
        <w:t xml:space="preserve">, oddíl </w:t>
      </w:r>
      <w:r w:rsidR="00632A3A" w:rsidRPr="002F5A51">
        <w:t>C</w:t>
      </w:r>
      <w:r w:rsidRPr="002F5A51">
        <w:t xml:space="preserve">, vložka </w:t>
      </w:r>
      <w:r w:rsidR="00632A3A" w:rsidRPr="002F5A51">
        <w:t>163</w:t>
      </w:r>
    </w:p>
    <w:p w14:paraId="39F0ACA6" w14:textId="77777777" w:rsidR="00D859C2" w:rsidRPr="002F5A51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2F5A51">
        <w:rPr>
          <w:rStyle w:val="platne1"/>
        </w:rPr>
        <w:t>jako prodávajícím (dále jen „</w:t>
      </w:r>
      <w:r w:rsidRPr="002F5A51">
        <w:rPr>
          <w:rStyle w:val="platne1"/>
          <w:b/>
        </w:rPr>
        <w:t>Prodávající</w:t>
      </w:r>
      <w:r w:rsidRPr="002F5A51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7A120FF4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AB229F">
        <w:rPr>
          <w:rFonts w:eastAsia="Arial"/>
        </w:rPr>
        <w:t>Gynekologické vyšetřovací křeslo pro GPK</w:t>
      </w:r>
      <w:r w:rsidR="719E714E" w:rsidRPr="38690F1A">
        <w:rPr>
          <w:rFonts w:eastAsia="Arial"/>
        </w:rPr>
        <w:t>“</w:t>
      </w:r>
      <w:r>
        <w:t xml:space="preserve"> 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15CBF174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E05505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45D7AB98" w:rsidR="00BA5EEC" w:rsidRDefault="00BA5EEC" w:rsidP="00BA5EEC">
      <w:pPr>
        <w:pStyle w:val="Odstavecsmlouvy"/>
        <w:numPr>
          <w:ilvl w:val="1"/>
          <w:numId w:val="3"/>
        </w:numPr>
      </w:pPr>
      <w:r w:rsidRPr="00D231CC">
        <w:t>Prodávající je povinen do 2 týdnů od převzetí Zboží Kupujícím provést zaškolení</w:t>
      </w:r>
      <w:r>
        <w:t>, tj.</w:t>
      </w:r>
      <w:r w:rsidRPr="00D231CC">
        <w:t xml:space="preserve"> instruktáž uživatele </w:t>
      </w:r>
      <w:r w:rsidR="00994805">
        <w:t xml:space="preserve">dle § 41 </w:t>
      </w:r>
      <w:r w:rsidR="001E2240" w:rsidRPr="00D859C2">
        <w:t xml:space="preserve">zákona č. </w:t>
      </w:r>
      <w:r w:rsidR="001E2240">
        <w:t>375</w:t>
      </w:r>
      <w:r w:rsidR="001E2240" w:rsidRPr="00D859C2">
        <w:t>/</w:t>
      </w:r>
      <w:r w:rsidR="001E2240">
        <w:t>2022</w:t>
      </w:r>
      <w:r w:rsidR="001E2240" w:rsidRPr="00D859C2">
        <w:t xml:space="preserve"> Sb., </w:t>
      </w:r>
      <w:r w:rsidR="001E2240" w:rsidRPr="004820A4">
        <w:t xml:space="preserve">o zdravotnických prostředcích a </w:t>
      </w:r>
      <w:r w:rsidR="001E2240">
        <w:t>diagnostických zdravotnických prostředcích in vitro</w:t>
      </w:r>
      <w:r w:rsidR="001E2240" w:rsidRPr="004820A4">
        <w:t>, ve znění pozdějších předpisů</w:t>
      </w:r>
      <w:r w:rsidR="001E2240">
        <w:t xml:space="preserve"> (dále jen „</w:t>
      </w:r>
      <w:proofErr w:type="spellStart"/>
      <w:r w:rsidR="001E2240" w:rsidRPr="00D859C2">
        <w:rPr>
          <w:b/>
        </w:rPr>
        <w:t>ZoZP</w:t>
      </w:r>
      <w:proofErr w:type="spellEnd"/>
      <w:r w:rsidR="001E2240">
        <w:t>“),</w:t>
      </w:r>
      <w:r w:rsidR="00994805">
        <w:t xml:space="preserve"> </w:t>
      </w:r>
      <w:r w:rsidRPr="00D231CC">
        <w:t xml:space="preserve">na pracovišti </w:t>
      </w:r>
      <w:r>
        <w:t xml:space="preserve">Kupujícího </w:t>
      </w:r>
      <w:r w:rsidRPr="00D231CC">
        <w:t xml:space="preserve">k obsluze </w:t>
      </w:r>
      <w:r>
        <w:t xml:space="preserve">Zboží </w:t>
      </w:r>
      <w:r w:rsidRPr="00D231CC">
        <w:t xml:space="preserve">dle </w:t>
      </w:r>
      <w:r w:rsidR="009A7E08">
        <w:t>platných právních předpisů</w:t>
      </w:r>
      <w:r w:rsidRPr="00D231CC">
        <w:t xml:space="preserve">, včetně doložení pověření školitele výrobcem nebo zplnomocněným zástupcem, a to </w:t>
      </w:r>
      <w:r>
        <w:t xml:space="preserve">alespoň </w:t>
      </w:r>
      <w:r w:rsidRPr="00D231CC">
        <w:t xml:space="preserve">v rozsahu nezbytném pro řádnou obsluhu Zboží (dále </w:t>
      </w:r>
      <w:r>
        <w:t xml:space="preserve">též </w:t>
      </w:r>
      <w:r w:rsidRPr="00D231CC">
        <w:t>jen „</w:t>
      </w:r>
      <w:r w:rsidRPr="00D231CC">
        <w:rPr>
          <w:b/>
        </w:rPr>
        <w:t>Instruktáž</w:t>
      </w:r>
      <w:r w:rsidRPr="00D231CC">
        <w:t xml:space="preserve">“). Plnění podle tohoto odstavce smlouvy je Prodávající povinen poskytnout </w:t>
      </w:r>
      <w:r w:rsidRPr="00617BD1">
        <w:rPr>
          <w:b/>
          <w:u w:val="single"/>
        </w:rPr>
        <w:t>bezplatně</w:t>
      </w:r>
      <w:r w:rsidRPr="00D231CC">
        <w:t>, a to včetně případného opakování po dobu životnosti Zboží.</w:t>
      </w:r>
    </w:p>
    <w:p w14:paraId="12D5CBFC" w14:textId="77777777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02C7BD9B" w:rsidR="00D86891" w:rsidRPr="00D859C2" w:rsidRDefault="00142BD2" w:rsidP="00D859C2">
      <w:pPr>
        <w:pStyle w:val="Odstavecsmlouvy"/>
      </w:pPr>
      <w:r w:rsidRPr="00D859C2">
        <w:t xml:space="preserve">Prodávající se </w:t>
      </w:r>
      <w:r w:rsidRPr="002F5A51">
        <w:t xml:space="preserve">zavazuje dodat </w:t>
      </w:r>
      <w:r w:rsidR="00ED3A3E" w:rsidRPr="002F5A51">
        <w:t>Kupujícímu</w:t>
      </w:r>
      <w:r w:rsidR="009E1C26" w:rsidRPr="002F5A51">
        <w:t xml:space="preserve"> </w:t>
      </w:r>
      <w:r w:rsidR="00632A3A" w:rsidRPr="002F5A51">
        <w:t>1</w:t>
      </w:r>
      <w:r w:rsidR="002F4F30" w:rsidRPr="002F5A51">
        <w:t xml:space="preserve"> ks </w:t>
      </w:r>
      <w:r w:rsidR="00632A3A" w:rsidRPr="002F5A51">
        <w:t xml:space="preserve">křesla </w:t>
      </w:r>
      <w:proofErr w:type="spellStart"/>
      <w:r w:rsidR="00632A3A" w:rsidRPr="002F5A51">
        <w:t>Graciella</w:t>
      </w:r>
      <w:proofErr w:type="spellEnd"/>
      <w:r w:rsidR="008645D8" w:rsidRPr="002F5A51">
        <w:rPr>
          <w:b/>
        </w:rPr>
        <w:t xml:space="preserve">, typ: </w:t>
      </w:r>
      <w:r w:rsidR="00632A3A" w:rsidRPr="002F5A51">
        <w:rPr>
          <w:b/>
        </w:rPr>
        <w:t>1GKC-461</w:t>
      </w:r>
      <w:r w:rsidR="004453FF" w:rsidRPr="002F5A51">
        <w:rPr>
          <w:b/>
        </w:rPr>
        <w:t xml:space="preserve">, výrobce </w:t>
      </w:r>
      <w:r w:rsidR="00632A3A" w:rsidRPr="002F5A51">
        <w:rPr>
          <w:b/>
        </w:rPr>
        <w:t>L I N E T spol. s r.o.</w:t>
      </w:r>
      <w:r w:rsidR="004453FF" w:rsidRPr="002F5A51">
        <w:rPr>
          <w:i/>
        </w:rPr>
        <w:t xml:space="preserve">, </w:t>
      </w:r>
      <w:r w:rsidRPr="002F5A51">
        <w:t xml:space="preserve">jehož přesná technická specifikace </w:t>
      </w:r>
      <w:r w:rsidR="005371E9" w:rsidRPr="002F5A51">
        <w:t xml:space="preserve">včetně příslušenství </w:t>
      </w:r>
      <w:r w:rsidRPr="002F5A51">
        <w:t>je obsažena v příloze č. 1 této smlouvy tvořící nedílnou součást této smlouvy</w:t>
      </w:r>
      <w:r w:rsidR="00094B12" w:rsidRPr="002F5A51">
        <w:t xml:space="preserve"> (</w:t>
      </w:r>
      <w:r w:rsidRPr="002F5A51">
        <w:t>dále jen „</w:t>
      </w:r>
      <w:r w:rsidRPr="002F5A51">
        <w:rPr>
          <w:b/>
        </w:rPr>
        <w:t>Zboží</w:t>
      </w:r>
      <w:r w:rsidRPr="002F5A51">
        <w:t>“</w:t>
      </w:r>
      <w:r w:rsidR="00094B12" w:rsidRPr="002F5A51">
        <w:t>)</w:t>
      </w:r>
      <w:r w:rsidRPr="002F5A51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lastRenderedPageBreak/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proofErr w:type="spellStart"/>
      <w:r w:rsidR="00994805" w:rsidRPr="00994805">
        <w:rPr>
          <w:b/>
        </w:rPr>
        <w:t>ZoTPV</w:t>
      </w:r>
      <w:proofErr w:type="spellEnd"/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proofErr w:type="spellStart"/>
      <w:r w:rsidR="00994805">
        <w:t>ZoZP</w:t>
      </w:r>
      <w:proofErr w:type="spellEnd"/>
      <w:r w:rsidR="00994805">
        <w:t xml:space="preserve">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B" w14:textId="7021F08E" w:rsidR="003F7B02" w:rsidRDefault="003A1056" w:rsidP="00713BC6">
      <w:pPr>
        <w:pStyle w:val="Odstavecsmlouvy"/>
        <w:tabs>
          <w:tab w:val="left" w:pos="709"/>
        </w:tabs>
        <w:ind w:left="709" w:hanging="709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</w:t>
      </w:r>
      <w:r w:rsidR="003F7B02" w:rsidRPr="00AB229F">
        <w:t xml:space="preserve">nejpozději </w:t>
      </w:r>
      <w:r w:rsidR="00AB229F" w:rsidRPr="00353205">
        <w:rPr>
          <w:rFonts w:eastAsia="Arial"/>
          <w:b/>
          <w:bCs/>
        </w:rPr>
        <w:t>6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61165DDD" w14:textId="77777777" w:rsidR="00353205" w:rsidRPr="00353205" w:rsidRDefault="00353205" w:rsidP="00353205">
      <w:pPr>
        <w:pStyle w:val="Nadpis1"/>
        <w:numPr>
          <w:ilvl w:val="0"/>
          <w:numId w:val="0"/>
        </w:numPr>
        <w:ind w:left="1080"/>
        <w:jc w:val="both"/>
      </w:pPr>
    </w:p>
    <w:p w14:paraId="5580C5A8" w14:textId="77777777" w:rsidR="00AB229F" w:rsidRDefault="003F7B02" w:rsidP="00AB229F">
      <w:pPr>
        <w:pStyle w:val="Odstavecsmlouvy"/>
      </w:pPr>
      <w:r>
        <w:t xml:space="preserve">Místem dodání Zboží </w:t>
      </w:r>
      <w:r w:rsidR="00AB229F">
        <w:t>je Gynekologicko-porodnická klinika, Fakultní nemocnice Brno, Jihlavská 20, 625 00 Brno.</w:t>
      </w:r>
    </w:p>
    <w:p w14:paraId="75136A6D" w14:textId="482BA85B" w:rsidR="00BE2371" w:rsidRPr="00D859C2" w:rsidRDefault="00AB229F" w:rsidP="00AB229F">
      <w:pPr>
        <w:pStyle w:val="Odstavecsmlouvy"/>
        <w:numPr>
          <w:ilvl w:val="0"/>
          <w:numId w:val="0"/>
        </w:numPr>
      </w:pPr>
      <w:r w:rsidRPr="00D859C2">
        <w:t xml:space="preserve"> </w:t>
      </w:r>
    </w:p>
    <w:p w14:paraId="75136A6F" w14:textId="3C005967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00632A">
        <w:t>XXX</w:t>
      </w:r>
      <w:r w:rsidR="00AB229F">
        <w:t xml:space="preserve">, tel.: </w:t>
      </w:r>
      <w:r w:rsidR="0000632A">
        <w:t>XXX</w:t>
      </w:r>
      <w:r w:rsidR="00AB229F" w:rsidRPr="00D859C2">
        <w:t xml:space="preserve"> </w:t>
      </w:r>
      <w:r w:rsidR="00DE3A3F">
        <w:t xml:space="preserve">a písemně na e-mail: </w:t>
      </w:r>
      <w:r w:rsidR="0000632A">
        <w:t>XXX</w:t>
      </w:r>
      <w:r>
        <w:t>. 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</w:t>
      </w:r>
      <w:proofErr w:type="spellStart"/>
      <w:r>
        <w:t>workflow</w:t>
      </w:r>
      <w:proofErr w:type="spellEnd"/>
      <w:r>
        <w:t>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</w:t>
      </w:r>
      <w:proofErr w:type="spellStart"/>
      <w:r w:rsidR="00EE155A">
        <w:t>ZoZP</w:t>
      </w:r>
      <w:proofErr w:type="spellEnd"/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 xml:space="preserve">Zástupci Prodávajícího a Kupujícího </w:t>
      </w:r>
      <w:proofErr w:type="gramStart"/>
      <w:r>
        <w:t>sepíší</w:t>
      </w:r>
      <w:proofErr w:type="gramEnd"/>
      <w:r>
        <w:t xml:space="preserve">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lastRenderedPageBreak/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proofErr w:type="spellStart"/>
      <w:r w:rsidR="00094B12">
        <w:t>ZoZP</w:t>
      </w:r>
      <w:proofErr w:type="spellEnd"/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</w:t>
      </w:r>
      <w:r>
        <w:lastRenderedPageBreak/>
        <w:t>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57"/>
        <w:gridCol w:w="3806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2F5A51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2F5A51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AB32C85" w:rsidR="00D859C2" w:rsidRPr="002F5A51" w:rsidRDefault="00E366D8" w:rsidP="000E79CE">
            <w:pPr>
              <w:pStyle w:val="Zkladntext3"/>
              <w:rPr>
                <w:b/>
                <w:sz w:val="22"/>
                <w:szCs w:val="22"/>
              </w:rPr>
            </w:pPr>
            <w:r w:rsidRPr="002F5A51">
              <w:rPr>
                <w:b/>
                <w:sz w:val="22"/>
                <w:szCs w:val="22"/>
              </w:rPr>
              <w:t>144 275,00</w:t>
            </w:r>
            <w:r w:rsidR="00D859C2" w:rsidRPr="002F5A51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2830DE82" w:rsidR="00D859C2" w:rsidRPr="002F5A51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2F5A51">
              <w:rPr>
                <w:b/>
                <w:sz w:val="22"/>
                <w:szCs w:val="22"/>
              </w:rPr>
              <w:t xml:space="preserve">DPH </w:t>
            </w:r>
            <w:r w:rsidR="00E366D8" w:rsidRPr="002F5A51">
              <w:rPr>
                <w:b/>
                <w:sz w:val="22"/>
                <w:szCs w:val="22"/>
              </w:rPr>
              <w:t>21</w:t>
            </w:r>
            <w:r w:rsidRPr="002F5A51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2B657A5C" w:rsidR="00D859C2" w:rsidRPr="002F5A51" w:rsidRDefault="00E366D8" w:rsidP="000E79CE">
            <w:pPr>
              <w:pStyle w:val="Zkladntext3"/>
              <w:rPr>
                <w:b/>
                <w:sz w:val="22"/>
                <w:szCs w:val="22"/>
              </w:rPr>
            </w:pPr>
            <w:r w:rsidRPr="002F5A51">
              <w:rPr>
                <w:b/>
                <w:sz w:val="22"/>
                <w:szCs w:val="22"/>
              </w:rPr>
              <w:t xml:space="preserve">  30 297,75</w:t>
            </w:r>
            <w:r w:rsidR="00D859C2" w:rsidRPr="002F5A51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2F5A51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2F5A51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6AC584D6" w:rsidR="00D859C2" w:rsidRPr="002F5A51" w:rsidRDefault="00E366D8" w:rsidP="000E79CE">
            <w:pPr>
              <w:pStyle w:val="Zkladntext3"/>
              <w:rPr>
                <w:b/>
                <w:sz w:val="22"/>
                <w:szCs w:val="22"/>
              </w:rPr>
            </w:pPr>
            <w:r w:rsidRPr="002F5A51">
              <w:rPr>
                <w:b/>
                <w:sz w:val="22"/>
                <w:szCs w:val="22"/>
              </w:rPr>
              <w:t>174 572,75</w:t>
            </w:r>
            <w:r w:rsidR="00D859C2" w:rsidRPr="002F5A51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08BB99E7" w:rsidR="00D70368" w:rsidRPr="00D859C2" w:rsidRDefault="00D70368" w:rsidP="00D70368">
      <w:pPr>
        <w:pStyle w:val="Odstavecsmlouvy"/>
        <w:numPr>
          <w:ilvl w:val="1"/>
          <w:numId w:val="3"/>
        </w:numPr>
      </w:pPr>
      <w:r w:rsidRPr="00D859C2">
        <w:t xml:space="preserve">Sjednaná </w:t>
      </w:r>
      <w:r>
        <w:t>kupní c</w:t>
      </w:r>
      <w:r w:rsidRPr="00D859C2">
        <w:t xml:space="preserve">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 xml:space="preserve">Instruktáž, </w:t>
      </w:r>
      <w:r w:rsidRPr="00D859C2">
        <w:t xml:space="preserve">provedení funkční zkoušky </w:t>
      </w:r>
      <w:r w:rsidRPr="00D859C2">
        <w:rPr>
          <w:bCs/>
        </w:rPr>
        <w:t xml:space="preserve">vč. přejímací zkoušky dlouhodobé stability (pouze u Zboží, které této zkoušce podle </w:t>
      </w:r>
      <w:r>
        <w:rPr>
          <w:bCs/>
        </w:rPr>
        <w:t>AZ</w:t>
      </w:r>
      <w:r w:rsidRPr="00D859C2">
        <w:rPr>
          <w:bCs/>
        </w:rPr>
        <w:t>, podléhá), vstupní validace či kalibrace (pouze u Zboží, u nějž je při provozu vyžadována)</w:t>
      </w:r>
      <w:r w:rsidRPr="00D859C2">
        <w:t>, ověření přenosu dat z přístroje na pracovní stanici (pokud je u přístroje samostatná pracovní stanice</w:t>
      </w:r>
      <w:r>
        <w:t>)</w:t>
      </w:r>
      <w:r w:rsidRPr="00D859C2">
        <w:t xml:space="preserve">, ověření přenosu dat do archivu MARIE PACS a odzkoušení bezproblémového provozu, recyklační poplatek (pouze u Zboží, které tomuto poplatku podle </w:t>
      </w:r>
      <w:r>
        <w:t xml:space="preserve">právních předpisů </w:t>
      </w:r>
      <w:r w:rsidRPr="00D859C2">
        <w:t xml:space="preserve">podléhá), preventivní bezpečnostně technické kontroly vč. aktualizace příp. firmware, zkoušek dlouhodobé stability </w:t>
      </w:r>
      <w:r w:rsidRPr="00D859C2">
        <w:rPr>
          <w:bCs/>
        </w:rPr>
        <w:t xml:space="preserve">(pouze u Zboží, které této zkoušce podle </w:t>
      </w:r>
      <w:r>
        <w:rPr>
          <w:bCs/>
        </w:rPr>
        <w:t>AZ</w:t>
      </w:r>
      <w:r w:rsidRPr="00D859C2">
        <w:rPr>
          <w:bCs/>
        </w:rPr>
        <w:t xml:space="preserve"> podléhá), </w:t>
      </w:r>
      <w:r w:rsidRPr="00D859C2">
        <w:t xml:space="preserve">validace nebo kalibrace parametrů </w:t>
      </w:r>
      <w:r w:rsidRPr="00D859C2">
        <w:rPr>
          <w:bCs/>
        </w:rPr>
        <w:t>(pouze u Zboží, u nějž je při provozu vyžadována)</w:t>
      </w:r>
      <w:r w:rsidRPr="00D859C2">
        <w:t xml:space="preserve">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009BEEE5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 xml:space="preserve">, jinak je Kupující oprávněn vrátit fakturu Prodávajícímu k přepracování či </w:t>
      </w:r>
      <w:r w:rsidRPr="00D859C2">
        <w:rPr>
          <w:color w:val="000000"/>
        </w:rPr>
        <w:lastRenderedPageBreak/>
        <w:t>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proofErr w:type="spellStart"/>
      <w:r w:rsidR="00994805">
        <w:t>ZoZP</w:t>
      </w:r>
      <w:proofErr w:type="spellEnd"/>
      <w:r w:rsidR="00994805">
        <w:t xml:space="preserve">, MDR, IVDR a </w:t>
      </w:r>
      <w:proofErr w:type="spellStart"/>
      <w:r w:rsidR="00994805">
        <w:t>ZoTPV</w:t>
      </w:r>
      <w:proofErr w:type="spellEnd"/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lastRenderedPageBreak/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2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2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3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BAD4FBE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</w:t>
      </w:r>
      <w:r>
        <w:lastRenderedPageBreak/>
        <w:t xml:space="preserve">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r w:rsidR="00E05505">
        <w:t>VIII.2</w:t>
      </w:r>
      <w:r>
        <w:fldChar w:fldCharType="end"/>
      </w:r>
      <w:r>
        <w:t xml:space="preserve"> ani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E05505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</w:t>
      </w:r>
      <w:proofErr w:type="gramStart"/>
      <w:r>
        <w:t>000,</w:t>
      </w:r>
      <w:r>
        <w:noBreakHyphen/>
      </w:r>
      <w:proofErr w:type="gramEnd"/>
      <w:r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201543BC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E05505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</w:t>
      </w:r>
      <w:proofErr w:type="gramStart"/>
      <w:r w:rsidRPr="00D859C2">
        <w:t>delší</w:t>
      </w:r>
      <w:proofErr w:type="gramEnd"/>
      <w:r w:rsidRPr="00D859C2">
        <w:t xml:space="preserve">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4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</w:t>
      </w:r>
      <w:r>
        <w:lastRenderedPageBreak/>
        <w:t xml:space="preserve">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5" w:name="_Ref41464712"/>
      <w:bookmarkStart w:id="6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5"/>
    </w:p>
    <w:bookmarkEnd w:id="6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4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615A0EC8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Pr="00AB229F">
        <w:rPr>
          <w:snapToGrid w:val="0"/>
        </w:rPr>
        <w:t>dvou</w:t>
      </w:r>
      <w:r w:rsidR="00AB229F"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</w:t>
      </w:r>
      <w:r w:rsidRPr="00AB229F">
        <w:rPr>
          <w:snapToGrid w:val="0"/>
        </w:rPr>
        <w:t>Kupující jedno</w:t>
      </w:r>
      <w:r w:rsidR="00AB229F" w:rsidRPr="00AB229F">
        <w:rPr>
          <w:snapToGrid w:val="0"/>
        </w:rPr>
        <w:t xml:space="preserve"> </w:t>
      </w:r>
      <w:r w:rsidRPr="00AB229F">
        <w:rPr>
          <w:snapToGrid w:val="0"/>
        </w:rPr>
        <w:t>vyhotovení</w:t>
      </w:r>
      <w:r>
        <w:rPr>
          <w:snapToGrid w:val="0"/>
        </w:rPr>
        <w:t xml:space="preserve">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4"/>
        <w:gridCol w:w="999"/>
        <w:gridCol w:w="3792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2E0E921F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2F5A51">
              <w:rPr>
                <w:sz w:val="22"/>
                <w:szCs w:val="22"/>
              </w:rPr>
              <w:t>V </w:t>
            </w:r>
            <w:proofErr w:type="spellStart"/>
            <w:r w:rsidR="00936D6D" w:rsidRPr="002F5A51">
              <w:rPr>
                <w:sz w:val="22"/>
                <w:szCs w:val="22"/>
              </w:rPr>
              <w:t>Želevčicích</w:t>
            </w:r>
            <w:proofErr w:type="spellEnd"/>
            <w:r w:rsidRPr="002F5A51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5617C3A0" w:rsidR="00094B12" w:rsidRPr="002F5A51" w:rsidRDefault="00936D6D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2F5A51">
              <w:rPr>
                <w:b/>
                <w:sz w:val="22"/>
                <w:szCs w:val="22"/>
              </w:rPr>
              <w:t>L I N E T spol. s r.o.</w:t>
            </w:r>
          </w:p>
          <w:p w14:paraId="17D23793" w14:textId="16B47920" w:rsidR="00094B12" w:rsidRPr="00D722DC" w:rsidRDefault="0000632A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  <w:r w:rsidR="00936D6D" w:rsidRPr="002F5A51">
              <w:rPr>
                <w:sz w:val="22"/>
                <w:szCs w:val="22"/>
              </w:rPr>
              <w:t>, vedoucí podpory obchodu pro ČR, v plné moci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tbl>
      <w:tblPr>
        <w:tblW w:w="92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"/>
        <w:gridCol w:w="4339"/>
        <w:gridCol w:w="1000"/>
        <w:gridCol w:w="2025"/>
        <w:gridCol w:w="1736"/>
      </w:tblGrid>
      <w:tr w:rsidR="002D7CF2" w:rsidRPr="002D7CF2" w14:paraId="65871CB8" w14:textId="77777777" w:rsidTr="0060344E">
        <w:trPr>
          <w:trHeight w:val="301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8492" w14:textId="77777777" w:rsidR="002D7CF2" w:rsidRPr="002D7CF2" w:rsidRDefault="002D7CF2" w:rsidP="002D7CF2">
            <w:pPr>
              <w:spacing w:line="240" w:lineRule="auto"/>
              <w:jc w:val="center"/>
              <w:rPr>
                <w:rFonts w:ascii="Calibri" w:hAnsi="Calibri" w:cs="Calibri"/>
                <w:color w:val="974706"/>
                <w:sz w:val="20"/>
                <w:szCs w:val="20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AFE8C7C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D7CF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Výrobce: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48C"/>
            <w:noWrap/>
            <w:vAlign w:val="bottom"/>
            <w:hideMark/>
          </w:tcPr>
          <w:p w14:paraId="22605AC6" w14:textId="77777777" w:rsidR="002D7CF2" w:rsidRPr="002D7CF2" w:rsidRDefault="002D7CF2" w:rsidP="002D7CF2">
            <w:pPr>
              <w:spacing w:line="240" w:lineRule="auto"/>
              <w:jc w:val="center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L I N E T spol. s r.o.</w:t>
            </w:r>
          </w:p>
        </w:tc>
      </w:tr>
      <w:tr w:rsidR="002D7CF2" w:rsidRPr="002D7CF2" w14:paraId="65796552" w14:textId="77777777" w:rsidTr="0060344E">
        <w:trPr>
          <w:trHeight w:val="316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A0EE" w14:textId="77777777" w:rsidR="002D7CF2" w:rsidRPr="002D7CF2" w:rsidRDefault="002D7CF2" w:rsidP="002D7CF2">
            <w:pPr>
              <w:spacing w:line="240" w:lineRule="auto"/>
              <w:jc w:val="center"/>
              <w:rPr>
                <w:rFonts w:ascii="Calibri" w:hAnsi="Calibri" w:cs="Calibri"/>
                <w:color w:val="974706"/>
                <w:sz w:val="20"/>
                <w:szCs w:val="20"/>
              </w:rPr>
            </w:pPr>
          </w:p>
        </w:tc>
        <w:tc>
          <w:tcPr>
            <w:tcW w:w="4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4DB7505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D7CF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Výrobní model: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48C"/>
            <w:noWrap/>
            <w:vAlign w:val="bottom"/>
            <w:hideMark/>
          </w:tcPr>
          <w:p w14:paraId="02252141" w14:textId="77777777" w:rsidR="002D7CF2" w:rsidRPr="002D7CF2" w:rsidRDefault="002D7CF2" w:rsidP="002D7CF2">
            <w:pPr>
              <w:spacing w:line="240" w:lineRule="auto"/>
              <w:jc w:val="center"/>
              <w:rPr>
                <w:rFonts w:ascii="Calibri" w:hAnsi="Calibri" w:cs="Calibri"/>
                <w:color w:val="974706"/>
                <w:sz w:val="20"/>
                <w:szCs w:val="20"/>
              </w:rPr>
            </w:pPr>
            <w:proofErr w:type="spellStart"/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Graciella</w:t>
            </w:r>
            <w:proofErr w:type="spellEnd"/>
          </w:p>
        </w:tc>
      </w:tr>
      <w:tr w:rsidR="002D7CF2" w:rsidRPr="002D7CF2" w14:paraId="79C753E6" w14:textId="77777777" w:rsidTr="0060344E">
        <w:trPr>
          <w:trHeight w:val="316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E928" w14:textId="77777777" w:rsidR="002D7CF2" w:rsidRPr="002D7CF2" w:rsidRDefault="002D7CF2" w:rsidP="002D7CF2">
            <w:pPr>
              <w:spacing w:line="240" w:lineRule="auto"/>
              <w:jc w:val="center"/>
              <w:rPr>
                <w:rFonts w:ascii="Calibri" w:hAnsi="Calibri" w:cs="Calibri"/>
                <w:color w:val="974706"/>
                <w:sz w:val="20"/>
                <w:szCs w:val="20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A9BA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2AB4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DE9C" w14:textId="77777777" w:rsidR="002D7CF2" w:rsidRPr="002D7CF2" w:rsidRDefault="002D7CF2" w:rsidP="002D7C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C862" w14:textId="77777777" w:rsidR="002D7CF2" w:rsidRPr="002D7CF2" w:rsidRDefault="002D7CF2" w:rsidP="002D7C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CF2" w:rsidRPr="002D7CF2" w14:paraId="6A0035E2" w14:textId="77777777" w:rsidTr="0060344E">
        <w:trPr>
          <w:trHeight w:val="1342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98C3" w14:textId="77777777" w:rsidR="002D7CF2" w:rsidRPr="002D7CF2" w:rsidRDefault="002D7CF2" w:rsidP="002D7C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38F35492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D7CF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Zadavatel upozorňuje, že v případě číselně vyjádřených technických parametrů je možné se od nich odchýlit o +/- 10 %, pokud nejsou blíže specifikovány, např. min., max.</w:t>
            </w:r>
          </w:p>
        </w:tc>
      </w:tr>
      <w:tr w:rsidR="002D7CF2" w:rsidRPr="002D7CF2" w14:paraId="7E1DC98D" w14:textId="77777777" w:rsidTr="0060344E">
        <w:trPr>
          <w:trHeight w:val="316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1EEE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65A7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BA5A9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371D" w14:textId="77777777" w:rsidR="002D7CF2" w:rsidRPr="002D7CF2" w:rsidRDefault="002D7CF2" w:rsidP="002D7C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0A9C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CF2" w:rsidRPr="002D7CF2" w14:paraId="193DD881" w14:textId="77777777" w:rsidTr="0060344E">
        <w:trPr>
          <w:trHeight w:val="90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1FFB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0039C078" w14:textId="77777777" w:rsidR="002D7CF2" w:rsidRPr="002D7CF2" w:rsidRDefault="002D7CF2" w:rsidP="002D7CF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D7CF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Technická specifikace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2997EBB" w14:textId="77777777" w:rsidR="002D7CF2" w:rsidRPr="002D7CF2" w:rsidRDefault="002D7CF2" w:rsidP="002D7CF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D7CF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Vyhovuje (ano / ne)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59F9C30" w14:textId="77777777" w:rsidR="002D7CF2" w:rsidRPr="002D7CF2" w:rsidRDefault="002D7CF2" w:rsidP="002D7CF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D7CF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Poznámka dodavatele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27378D8B" w14:textId="77777777" w:rsidR="002D7CF2" w:rsidRPr="002D7CF2" w:rsidRDefault="002D7CF2" w:rsidP="002D7CF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D7CF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Možnost ověření v nabídce</w:t>
            </w:r>
          </w:p>
        </w:tc>
      </w:tr>
      <w:tr w:rsidR="002D7CF2" w:rsidRPr="002D7CF2" w14:paraId="77C23143" w14:textId="77777777" w:rsidTr="0060344E">
        <w:trPr>
          <w:trHeight w:val="603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7985" w14:textId="77777777" w:rsidR="002D7CF2" w:rsidRPr="002D7CF2" w:rsidRDefault="002D7CF2" w:rsidP="002D7CF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57EDC70B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7CF2">
              <w:rPr>
                <w:rFonts w:ascii="Calibri" w:hAnsi="Calibri" w:cs="Calibri"/>
                <w:sz w:val="20"/>
                <w:szCs w:val="20"/>
              </w:rPr>
              <w:t>Min. dvoudílná plocha křesla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8C"/>
            <w:vAlign w:val="bottom"/>
            <w:hideMark/>
          </w:tcPr>
          <w:p w14:paraId="57F9E835" w14:textId="77777777" w:rsidR="002D7CF2" w:rsidRPr="002D7CF2" w:rsidRDefault="002D7CF2" w:rsidP="002D7CF2">
            <w:pPr>
              <w:spacing w:line="240" w:lineRule="auto"/>
              <w:jc w:val="center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ano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8C"/>
            <w:noWrap/>
            <w:vAlign w:val="bottom"/>
            <w:hideMark/>
          </w:tcPr>
          <w:p w14:paraId="294E12B8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48C"/>
            <w:vAlign w:val="bottom"/>
            <w:hideMark/>
          </w:tcPr>
          <w:p w14:paraId="3330F20A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Návod na použití, str. 18</w:t>
            </w:r>
          </w:p>
        </w:tc>
      </w:tr>
      <w:tr w:rsidR="002D7CF2" w:rsidRPr="002D7CF2" w14:paraId="63B5B119" w14:textId="77777777" w:rsidTr="0060344E">
        <w:trPr>
          <w:trHeight w:val="603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CA0D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</w:p>
        </w:tc>
        <w:tc>
          <w:tcPr>
            <w:tcW w:w="4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509C5885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El. polohování sedací části v rozsahu min. </w:t>
            </w:r>
            <w:proofErr w:type="gramStart"/>
            <w:r w:rsidRPr="002D7CF2">
              <w:rPr>
                <w:rFonts w:ascii="Calibri" w:hAnsi="Calibri" w:cs="Calibri"/>
                <w:color w:val="000000"/>
                <w:sz w:val="20"/>
                <w:szCs w:val="20"/>
              </w:rPr>
              <w:t>650 - 950</w:t>
            </w:r>
            <w:proofErr w:type="gramEnd"/>
            <w:r w:rsidRPr="002D7CF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mm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48C"/>
            <w:vAlign w:val="bottom"/>
            <w:hideMark/>
          </w:tcPr>
          <w:p w14:paraId="18FCD3A4" w14:textId="77777777" w:rsidR="002D7CF2" w:rsidRPr="002D7CF2" w:rsidRDefault="002D7CF2" w:rsidP="002D7CF2">
            <w:pPr>
              <w:spacing w:line="240" w:lineRule="auto"/>
              <w:jc w:val="center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ano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48C"/>
            <w:noWrap/>
            <w:vAlign w:val="bottom"/>
            <w:hideMark/>
          </w:tcPr>
          <w:p w14:paraId="364FEE94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615-1043 mm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48C"/>
            <w:vAlign w:val="bottom"/>
            <w:hideMark/>
          </w:tcPr>
          <w:p w14:paraId="33807FDB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Návod na použití, str. 23</w:t>
            </w:r>
          </w:p>
        </w:tc>
      </w:tr>
      <w:tr w:rsidR="002D7CF2" w:rsidRPr="002D7CF2" w14:paraId="269393D1" w14:textId="77777777" w:rsidTr="0060344E">
        <w:trPr>
          <w:trHeight w:val="301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034B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</w:p>
        </w:tc>
        <w:tc>
          <w:tcPr>
            <w:tcW w:w="4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67832DB5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El. polohování zádové části v rozsahu min. 0° - 40°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48C"/>
            <w:vAlign w:val="bottom"/>
            <w:hideMark/>
          </w:tcPr>
          <w:p w14:paraId="2E7D7450" w14:textId="77777777" w:rsidR="002D7CF2" w:rsidRPr="002D7CF2" w:rsidRDefault="002D7CF2" w:rsidP="002D7CF2">
            <w:pPr>
              <w:spacing w:line="240" w:lineRule="auto"/>
              <w:jc w:val="center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ano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48C"/>
            <w:noWrap/>
            <w:vAlign w:val="bottom"/>
            <w:hideMark/>
          </w:tcPr>
          <w:p w14:paraId="1DE3E8B2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0°- 40°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48C"/>
            <w:vAlign w:val="bottom"/>
            <w:hideMark/>
          </w:tcPr>
          <w:p w14:paraId="4B62C104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Návod na použití, str. 23</w:t>
            </w:r>
          </w:p>
        </w:tc>
      </w:tr>
      <w:tr w:rsidR="002D7CF2" w:rsidRPr="002D7CF2" w14:paraId="1788A0AB" w14:textId="77777777" w:rsidTr="0060344E">
        <w:trPr>
          <w:trHeight w:val="603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78D8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</w:p>
        </w:tc>
        <w:tc>
          <w:tcPr>
            <w:tcW w:w="4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6F1AA79F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Možnost nastavení křesla do polohy lehátka pro abdominální UZV vyšetření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48C"/>
            <w:vAlign w:val="bottom"/>
            <w:hideMark/>
          </w:tcPr>
          <w:p w14:paraId="6C9D5E98" w14:textId="77777777" w:rsidR="002D7CF2" w:rsidRPr="002D7CF2" w:rsidRDefault="002D7CF2" w:rsidP="002D7CF2">
            <w:pPr>
              <w:spacing w:line="240" w:lineRule="auto"/>
              <w:jc w:val="center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ano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48C"/>
            <w:noWrap/>
            <w:vAlign w:val="bottom"/>
            <w:hideMark/>
          </w:tcPr>
          <w:p w14:paraId="6C42D358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48C"/>
            <w:vAlign w:val="bottom"/>
            <w:hideMark/>
          </w:tcPr>
          <w:p w14:paraId="5AB2C6FC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Návod na použití, str. 43</w:t>
            </w:r>
          </w:p>
        </w:tc>
      </w:tr>
      <w:tr w:rsidR="002D7CF2" w:rsidRPr="002D7CF2" w14:paraId="462990FB" w14:textId="77777777" w:rsidTr="0060344E">
        <w:trPr>
          <w:trHeight w:val="603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81E8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</w:p>
        </w:tc>
        <w:tc>
          <w:tcPr>
            <w:tcW w:w="4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62EC8D8D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7CF2">
              <w:rPr>
                <w:rFonts w:ascii="Calibri" w:hAnsi="Calibri" w:cs="Calibri"/>
                <w:sz w:val="20"/>
                <w:szCs w:val="20"/>
              </w:rPr>
              <w:t>Podpěry nohou standardní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48C"/>
            <w:vAlign w:val="bottom"/>
            <w:hideMark/>
          </w:tcPr>
          <w:p w14:paraId="27FF4632" w14:textId="77777777" w:rsidR="002D7CF2" w:rsidRPr="002D7CF2" w:rsidRDefault="002D7CF2" w:rsidP="002D7CF2">
            <w:pPr>
              <w:spacing w:line="240" w:lineRule="auto"/>
              <w:jc w:val="center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ano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48C"/>
            <w:noWrap/>
            <w:vAlign w:val="bottom"/>
            <w:hideMark/>
          </w:tcPr>
          <w:p w14:paraId="0734BC31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48C"/>
            <w:vAlign w:val="bottom"/>
            <w:hideMark/>
          </w:tcPr>
          <w:p w14:paraId="0D2456FB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Návod na použití, str. 19</w:t>
            </w:r>
          </w:p>
        </w:tc>
      </w:tr>
      <w:tr w:rsidR="002D7CF2" w:rsidRPr="002D7CF2" w14:paraId="7B1B8B9C" w14:textId="77777777" w:rsidTr="0060344E">
        <w:trPr>
          <w:trHeight w:val="603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D70F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</w:p>
        </w:tc>
        <w:tc>
          <w:tcPr>
            <w:tcW w:w="4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3266272D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7CF2">
              <w:rPr>
                <w:rFonts w:ascii="Calibri" w:hAnsi="Calibri" w:cs="Calibri"/>
                <w:sz w:val="20"/>
                <w:szCs w:val="20"/>
              </w:rPr>
              <w:t>Min. 2 přednastavené polohy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48C"/>
            <w:vAlign w:val="bottom"/>
            <w:hideMark/>
          </w:tcPr>
          <w:p w14:paraId="13F9C331" w14:textId="77777777" w:rsidR="002D7CF2" w:rsidRPr="002D7CF2" w:rsidRDefault="002D7CF2" w:rsidP="002D7CF2">
            <w:pPr>
              <w:spacing w:line="240" w:lineRule="auto"/>
              <w:jc w:val="center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ano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48C"/>
            <w:noWrap/>
            <w:vAlign w:val="bottom"/>
            <w:hideMark/>
          </w:tcPr>
          <w:p w14:paraId="6FC1DA1B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48C"/>
            <w:vAlign w:val="bottom"/>
            <w:hideMark/>
          </w:tcPr>
          <w:p w14:paraId="7AD93D8F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Návod na použití, str. 33</w:t>
            </w:r>
          </w:p>
        </w:tc>
      </w:tr>
      <w:tr w:rsidR="002D7CF2" w:rsidRPr="002D7CF2" w14:paraId="7F6F4DBE" w14:textId="77777777" w:rsidTr="0060344E">
        <w:trPr>
          <w:trHeight w:val="603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D8D4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</w:p>
        </w:tc>
        <w:tc>
          <w:tcPr>
            <w:tcW w:w="4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0FD63248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000000"/>
                <w:sz w:val="20"/>
                <w:szCs w:val="20"/>
              </w:rPr>
              <w:t>Ovládací nožní pedál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48C"/>
            <w:vAlign w:val="bottom"/>
            <w:hideMark/>
          </w:tcPr>
          <w:p w14:paraId="2753B1F9" w14:textId="77777777" w:rsidR="002D7CF2" w:rsidRPr="002D7CF2" w:rsidRDefault="002D7CF2" w:rsidP="002D7CF2">
            <w:pPr>
              <w:spacing w:line="240" w:lineRule="auto"/>
              <w:jc w:val="center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ano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48C"/>
            <w:noWrap/>
            <w:vAlign w:val="bottom"/>
            <w:hideMark/>
          </w:tcPr>
          <w:p w14:paraId="50DF71AD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48C"/>
            <w:vAlign w:val="bottom"/>
            <w:hideMark/>
          </w:tcPr>
          <w:p w14:paraId="2718D9FC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Návod na použití, str. 35</w:t>
            </w:r>
          </w:p>
        </w:tc>
      </w:tr>
      <w:tr w:rsidR="002D7CF2" w:rsidRPr="002D7CF2" w14:paraId="6B5EBFF4" w14:textId="77777777" w:rsidTr="0060344E">
        <w:trPr>
          <w:trHeight w:val="603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70E0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</w:p>
        </w:tc>
        <w:tc>
          <w:tcPr>
            <w:tcW w:w="4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4E252F25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7CF2">
              <w:rPr>
                <w:rFonts w:ascii="Calibri" w:hAnsi="Calibri" w:cs="Calibri"/>
                <w:sz w:val="20"/>
                <w:szCs w:val="20"/>
              </w:rPr>
              <w:t>Ruční ovladač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48C"/>
            <w:vAlign w:val="bottom"/>
            <w:hideMark/>
          </w:tcPr>
          <w:p w14:paraId="038E7C55" w14:textId="77777777" w:rsidR="002D7CF2" w:rsidRPr="002D7CF2" w:rsidRDefault="002D7CF2" w:rsidP="002D7CF2">
            <w:pPr>
              <w:spacing w:line="240" w:lineRule="auto"/>
              <w:jc w:val="center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ano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48C"/>
            <w:noWrap/>
            <w:vAlign w:val="bottom"/>
            <w:hideMark/>
          </w:tcPr>
          <w:p w14:paraId="0C446CD9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48C"/>
            <w:vAlign w:val="bottom"/>
            <w:hideMark/>
          </w:tcPr>
          <w:p w14:paraId="38107B80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Návod na použití, str. 54</w:t>
            </w:r>
          </w:p>
        </w:tc>
      </w:tr>
      <w:tr w:rsidR="002D7CF2" w:rsidRPr="002D7CF2" w14:paraId="022FC8E1" w14:textId="77777777" w:rsidTr="0060344E">
        <w:trPr>
          <w:trHeight w:val="603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E768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</w:p>
        </w:tc>
        <w:tc>
          <w:tcPr>
            <w:tcW w:w="4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17184CB0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Šířka křesla (bez nožních podpěr) max. 800 mm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48C"/>
            <w:vAlign w:val="bottom"/>
            <w:hideMark/>
          </w:tcPr>
          <w:p w14:paraId="1A42AF7E" w14:textId="77777777" w:rsidR="002D7CF2" w:rsidRPr="002D7CF2" w:rsidRDefault="002D7CF2" w:rsidP="002D7CF2">
            <w:pPr>
              <w:spacing w:line="240" w:lineRule="auto"/>
              <w:jc w:val="center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ano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48C"/>
            <w:noWrap/>
            <w:vAlign w:val="bottom"/>
            <w:hideMark/>
          </w:tcPr>
          <w:p w14:paraId="0B53270E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780 mm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48C"/>
            <w:vAlign w:val="bottom"/>
            <w:hideMark/>
          </w:tcPr>
          <w:p w14:paraId="100DF2FF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Návod na použití, str. 23</w:t>
            </w:r>
          </w:p>
        </w:tc>
      </w:tr>
      <w:tr w:rsidR="002D7CF2" w:rsidRPr="002D7CF2" w14:paraId="6442F3FB" w14:textId="77777777" w:rsidTr="0060344E">
        <w:trPr>
          <w:trHeight w:val="603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019A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</w:p>
        </w:tc>
        <w:tc>
          <w:tcPr>
            <w:tcW w:w="4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125C750D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Délka křesla max. 1750 mm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48C"/>
            <w:vAlign w:val="bottom"/>
            <w:hideMark/>
          </w:tcPr>
          <w:p w14:paraId="000320C2" w14:textId="77777777" w:rsidR="002D7CF2" w:rsidRPr="002D7CF2" w:rsidRDefault="002D7CF2" w:rsidP="002D7CF2">
            <w:pPr>
              <w:spacing w:line="240" w:lineRule="auto"/>
              <w:jc w:val="center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ano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48C"/>
            <w:noWrap/>
            <w:vAlign w:val="bottom"/>
            <w:hideMark/>
          </w:tcPr>
          <w:p w14:paraId="130C6C53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1733 mm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48C"/>
            <w:vAlign w:val="bottom"/>
            <w:hideMark/>
          </w:tcPr>
          <w:p w14:paraId="5EA46852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Návod na použití, str. 23</w:t>
            </w:r>
          </w:p>
        </w:tc>
      </w:tr>
      <w:tr w:rsidR="002D7CF2" w:rsidRPr="002D7CF2" w14:paraId="3DC367BD" w14:textId="77777777" w:rsidTr="0060344E">
        <w:trPr>
          <w:trHeight w:val="603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D2C6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</w:p>
        </w:tc>
        <w:tc>
          <w:tcPr>
            <w:tcW w:w="4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7020FA07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Nosnost min. 180 kg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48C"/>
            <w:vAlign w:val="bottom"/>
            <w:hideMark/>
          </w:tcPr>
          <w:p w14:paraId="3C24C160" w14:textId="77777777" w:rsidR="002D7CF2" w:rsidRPr="002D7CF2" w:rsidRDefault="002D7CF2" w:rsidP="002D7CF2">
            <w:pPr>
              <w:spacing w:line="240" w:lineRule="auto"/>
              <w:jc w:val="center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ano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48C"/>
            <w:noWrap/>
            <w:vAlign w:val="bottom"/>
            <w:hideMark/>
          </w:tcPr>
          <w:p w14:paraId="691B49D4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195 kg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48C"/>
            <w:vAlign w:val="bottom"/>
            <w:hideMark/>
          </w:tcPr>
          <w:p w14:paraId="56EC2E91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Návod na použití, str. 23</w:t>
            </w:r>
          </w:p>
        </w:tc>
      </w:tr>
      <w:tr w:rsidR="002D7CF2" w:rsidRPr="002D7CF2" w14:paraId="48A14B60" w14:textId="77777777" w:rsidTr="0060344E">
        <w:trPr>
          <w:trHeight w:val="301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8931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</w:p>
        </w:tc>
        <w:tc>
          <w:tcPr>
            <w:tcW w:w="4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2DEED3E0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Elektrická bezpečnost podle IEC 60601-1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48C"/>
            <w:vAlign w:val="bottom"/>
            <w:hideMark/>
          </w:tcPr>
          <w:p w14:paraId="3E42FF42" w14:textId="77777777" w:rsidR="002D7CF2" w:rsidRPr="002D7CF2" w:rsidRDefault="002D7CF2" w:rsidP="002D7CF2">
            <w:pPr>
              <w:spacing w:line="240" w:lineRule="auto"/>
              <w:jc w:val="center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ano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48C"/>
            <w:noWrap/>
            <w:vAlign w:val="bottom"/>
            <w:hideMark/>
          </w:tcPr>
          <w:p w14:paraId="2B475A60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48C"/>
            <w:vAlign w:val="bottom"/>
            <w:hideMark/>
          </w:tcPr>
          <w:p w14:paraId="6B62CEB8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  <w:proofErr w:type="spellStart"/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PoS</w:t>
            </w:r>
            <w:proofErr w:type="spellEnd"/>
          </w:p>
        </w:tc>
      </w:tr>
      <w:tr w:rsidR="002D7CF2" w:rsidRPr="002D7CF2" w14:paraId="7711B090" w14:textId="77777777" w:rsidTr="0060344E">
        <w:trPr>
          <w:trHeight w:val="603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7651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</w:p>
        </w:tc>
        <w:tc>
          <w:tcPr>
            <w:tcW w:w="4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0E28F678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Napájení 230 V / 50 Hz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48C"/>
            <w:vAlign w:val="bottom"/>
            <w:hideMark/>
          </w:tcPr>
          <w:p w14:paraId="54840294" w14:textId="77777777" w:rsidR="002D7CF2" w:rsidRPr="002D7CF2" w:rsidRDefault="002D7CF2" w:rsidP="002D7CF2">
            <w:pPr>
              <w:spacing w:line="240" w:lineRule="auto"/>
              <w:jc w:val="center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ano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48C"/>
            <w:noWrap/>
            <w:vAlign w:val="bottom"/>
            <w:hideMark/>
          </w:tcPr>
          <w:p w14:paraId="6763CF50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48C"/>
            <w:vAlign w:val="bottom"/>
            <w:hideMark/>
          </w:tcPr>
          <w:p w14:paraId="7B15314F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Návod na použití, str. 24</w:t>
            </w:r>
          </w:p>
        </w:tc>
      </w:tr>
      <w:tr w:rsidR="002D7CF2" w:rsidRPr="002D7CF2" w14:paraId="15A1255F" w14:textId="77777777" w:rsidTr="0060344E">
        <w:trPr>
          <w:trHeight w:val="301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70BB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</w:p>
        </w:tc>
        <w:tc>
          <w:tcPr>
            <w:tcW w:w="4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7184AFD7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D7CF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Příslušenství: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48C"/>
            <w:vAlign w:val="bottom"/>
            <w:hideMark/>
          </w:tcPr>
          <w:p w14:paraId="0A5AB954" w14:textId="77777777" w:rsidR="002D7CF2" w:rsidRPr="002D7CF2" w:rsidRDefault="002D7CF2" w:rsidP="002D7CF2">
            <w:pPr>
              <w:spacing w:line="240" w:lineRule="auto"/>
              <w:jc w:val="center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48C"/>
            <w:noWrap/>
            <w:vAlign w:val="bottom"/>
            <w:hideMark/>
          </w:tcPr>
          <w:p w14:paraId="5584867C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48C"/>
            <w:vAlign w:val="bottom"/>
            <w:hideMark/>
          </w:tcPr>
          <w:p w14:paraId="58281B03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 </w:t>
            </w:r>
          </w:p>
        </w:tc>
      </w:tr>
      <w:tr w:rsidR="002D7CF2" w:rsidRPr="002D7CF2" w14:paraId="6E1F95D1" w14:textId="77777777" w:rsidTr="0060344E">
        <w:trPr>
          <w:trHeight w:val="301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7AD6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</w:p>
        </w:tc>
        <w:tc>
          <w:tcPr>
            <w:tcW w:w="4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062C4EF8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Držák role papíru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48C"/>
            <w:vAlign w:val="bottom"/>
            <w:hideMark/>
          </w:tcPr>
          <w:p w14:paraId="6CDE30CB" w14:textId="77777777" w:rsidR="002D7CF2" w:rsidRPr="002D7CF2" w:rsidRDefault="002D7CF2" w:rsidP="002D7CF2">
            <w:pPr>
              <w:spacing w:line="240" w:lineRule="auto"/>
              <w:jc w:val="center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ano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48C"/>
            <w:noWrap/>
            <w:vAlign w:val="bottom"/>
            <w:hideMark/>
          </w:tcPr>
          <w:p w14:paraId="2302DE80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48C"/>
            <w:vAlign w:val="bottom"/>
            <w:hideMark/>
          </w:tcPr>
          <w:p w14:paraId="401E86A1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Návod na použití, str. 57</w:t>
            </w:r>
          </w:p>
        </w:tc>
      </w:tr>
      <w:tr w:rsidR="002D7CF2" w:rsidRPr="002D7CF2" w14:paraId="50A5F5E1" w14:textId="77777777" w:rsidTr="0060344E">
        <w:trPr>
          <w:trHeight w:val="603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7021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</w:p>
        </w:tc>
        <w:tc>
          <w:tcPr>
            <w:tcW w:w="4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00B18FEA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000000"/>
                <w:sz w:val="20"/>
                <w:szCs w:val="20"/>
              </w:rPr>
              <w:t>Nerezová nebo plastová odpadní nádoba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48C"/>
            <w:vAlign w:val="bottom"/>
            <w:hideMark/>
          </w:tcPr>
          <w:p w14:paraId="36EAA307" w14:textId="77777777" w:rsidR="002D7CF2" w:rsidRPr="002D7CF2" w:rsidRDefault="002D7CF2" w:rsidP="002D7CF2">
            <w:pPr>
              <w:spacing w:line="240" w:lineRule="auto"/>
              <w:jc w:val="center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ano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48C"/>
            <w:noWrap/>
            <w:vAlign w:val="bottom"/>
            <w:hideMark/>
          </w:tcPr>
          <w:p w14:paraId="627D2506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plastová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48C"/>
            <w:vAlign w:val="bottom"/>
            <w:hideMark/>
          </w:tcPr>
          <w:p w14:paraId="7602488B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Návod na použití, str. 53</w:t>
            </w:r>
          </w:p>
        </w:tc>
      </w:tr>
      <w:tr w:rsidR="002D7CF2" w:rsidRPr="002D7CF2" w14:paraId="15F8D7AC" w14:textId="77777777" w:rsidTr="0060344E">
        <w:trPr>
          <w:trHeight w:val="603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9C79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</w:p>
        </w:tc>
        <w:tc>
          <w:tcPr>
            <w:tcW w:w="4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093D785F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7CF2">
              <w:rPr>
                <w:rFonts w:ascii="Calibri" w:hAnsi="Calibri" w:cs="Calibri"/>
                <w:sz w:val="20"/>
                <w:szCs w:val="20"/>
              </w:rPr>
              <w:t>Podhlavník (polštářek)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48C"/>
            <w:vAlign w:val="bottom"/>
            <w:hideMark/>
          </w:tcPr>
          <w:p w14:paraId="163F80A6" w14:textId="77777777" w:rsidR="002D7CF2" w:rsidRPr="002D7CF2" w:rsidRDefault="002D7CF2" w:rsidP="002D7CF2">
            <w:pPr>
              <w:spacing w:line="240" w:lineRule="auto"/>
              <w:jc w:val="center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ano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48C"/>
            <w:noWrap/>
            <w:vAlign w:val="bottom"/>
            <w:hideMark/>
          </w:tcPr>
          <w:p w14:paraId="1D371342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48C"/>
            <w:vAlign w:val="bottom"/>
            <w:hideMark/>
          </w:tcPr>
          <w:p w14:paraId="64EA923B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Návod na použití, str. 61</w:t>
            </w:r>
          </w:p>
        </w:tc>
      </w:tr>
      <w:tr w:rsidR="002D7CF2" w:rsidRPr="002D7CF2" w14:paraId="345CAC9F" w14:textId="77777777" w:rsidTr="0060344E">
        <w:trPr>
          <w:trHeight w:val="618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AD17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</w:p>
        </w:tc>
        <w:tc>
          <w:tcPr>
            <w:tcW w:w="4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11DB0966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7CF2">
              <w:rPr>
                <w:rFonts w:ascii="Calibri" w:hAnsi="Calibri" w:cs="Calibri"/>
                <w:sz w:val="20"/>
                <w:szCs w:val="20"/>
              </w:rPr>
              <w:t>Možnost snadného přemístění křesla pomocí manipulačních/výsuvných koleček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48C"/>
            <w:vAlign w:val="bottom"/>
            <w:hideMark/>
          </w:tcPr>
          <w:p w14:paraId="1B0450D2" w14:textId="77777777" w:rsidR="002D7CF2" w:rsidRPr="002D7CF2" w:rsidRDefault="002D7CF2" w:rsidP="002D7CF2">
            <w:pPr>
              <w:spacing w:line="240" w:lineRule="auto"/>
              <w:jc w:val="center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ano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48C"/>
            <w:noWrap/>
            <w:vAlign w:val="bottom"/>
            <w:hideMark/>
          </w:tcPr>
          <w:p w14:paraId="0F9D35B3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48C"/>
            <w:vAlign w:val="bottom"/>
            <w:hideMark/>
          </w:tcPr>
          <w:p w14:paraId="1D21CA5A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  <w:sz w:val="20"/>
                <w:szCs w:val="20"/>
              </w:rPr>
            </w:pPr>
            <w:r w:rsidRPr="002D7CF2">
              <w:rPr>
                <w:rFonts w:ascii="Calibri" w:hAnsi="Calibri" w:cs="Calibri"/>
                <w:color w:val="974706"/>
                <w:sz w:val="20"/>
                <w:szCs w:val="20"/>
              </w:rPr>
              <w:t>Návod na použití, str. 58</w:t>
            </w:r>
          </w:p>
        </w:tc>
      </w:tr>
      <w:tr w:rsidR="002D7CF2" w:rsidRPr="002D7CF2" w14:paraId="381A0511" w14:textId="77777777" w:rsidTr="0060344E">
        <w:trPr>
          <w:trHeight w:val="316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2601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59D0D3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D0E09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51E0" w14:textId="77777777" w:rsidR="002D7CF2" w:rsidRPr="002D7CF2" w:rsidRDefault="002D7CF2" w:rsidP="002D7C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51D9B7" w14:textId="77777777" w:rsidR="002D7CF2" w:rsidRPr="002D7CF2" w:rsidRDefault="002D7CF2" w:rsidP="002D7CF2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2D7CF2">
              <w:rPr>
                <w:rFonts w:ascii="Calibri" w:hAnsi="Calibri" w:cs="Calibri"/>
                <w:color w:val="974706"/>
              </w:rPr>
              <w:t> </w:t>
            </w:r>
          </w:p>
        </w:tc>
      </w:tr>
    </w:tbl>
    <w:p w14:paraId="6AC1B7EE" w14:textId="77777777" w:rsidR="002D7CF2" w:rsidRPr="00994805" w:rsidRDefault="002D7CF2" w:rsidP="00994805">
      <w:pPr>
        <w:ind w:left="284" w:hanging="5"/>
      </w:pPr>
    </w:p>
    <w:sectPr w:rsidR="002D7CF2" w:rsidRPr="00994805" w:rsidSect="00D071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F1C85" w14:textId="77777777" w:rsidR="00642C81" w:rsidRDefault="00642C81" w:rsidP="00FF18EB">
      <w:pPr>
        <w:spacing w:line="240" w:lineRule="auto"/>
      </w:pPr>
      <w:r>
        <w:separator/>
      </w:r>
    </w:p>
    <w:p w14:paraId="1F76B867" w14:textId="77777777" w:rsidR="00133D51" w:rsidRDefault="00133D51"/>
  </w:endnote>
  <w:endnote w:type="continuationSeparator" w:id="0">
    <w:p w14:paraId="41A1E534" w14:textId="77777777" w:rsidR="00642C81" w:rsidRDefault="00642C81" w:rsidP="00FF18EB">
      <w:pPr>
        <w:spacing w:line="240" w:lineRule="auto"/>
      </w:pPr>
      <w:r>
        <w:continuationSeparator/>
      </w:r>
    </w:p>
    <w:p w14:paraId="49E55926" w14:textId="77777777" w:rsidR="00133D51" w:rsidRDefault="0013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F7E62" w14:textId="77777777" w:rsidR="00BC4BE4" w:rsidRDefault="00BC4B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2F5A51" w:rsidRPr="002F5A51">
          <w:rPr>
            <w:rFonts w:ascii="Arial" w:hAnsi="Arial"/>
            <w:noProof/>
            <w:sz w:val="20"/>
            <w:lang w:val="cs-CZ"/>
          </w:rPr>
          <w:t>12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2DDCD" w14:textId="77777777" w:rsidR="00BC4BE4" w:rsidRDefault="00BC4B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E471D" w14:textId="77777777" w:rsidR="00642C81" w:rsidRDefault="00642C81" w:rsidP="00FF18EB">
      <w:pPr>
        <w:spacing w:line="240" w:lineRule="auto"/>
      </w:pPr>
      <w:r>
        <w:separator/>
      </w:r>
    </w:p>
    <w:p w14:paraId="4E43B7FF" w14:textId="77777777" w:rsidR="00133D51" w:rsidRDefault="00133D51"/>
  </w:footnote>
  <w:footnote w:type="continuationSeparator" w:id="0">
    <w:p w14:paraId="5797A63A" w14:textId="77777777" w:rsidR="00642C81" w:rsidRDefault="00642C81" w:rsidP="00FF18EB">
      <w:pPr>
        <w:spacing w:line="240" w:lineRule="auto"/>
      </w:pPr>
      <w:r>
        <w:continuationSeparator/>
      </w:r>
    </w:p>
    <w:p w14:paraId="4BB7FD5F" w14:textId="77777777" w:rsidR="00133D51" w:rsidRDefault="00133D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D9F83" w14:textId="77777777" w:rsidR="00BC4BE4" w:rsidRDefault="00BC4B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6AA14" w14:textId="1F8C375D" w:rsidR="00BC4BE4" w:rsidRDefault="00BC4BE4" w:rsidP="00BC4BE4">
    <w:pPr>
      <w:pStyle w:val="Zhlav"/>
      <w:jc w:val="right"/>
    </w:pPr>
    <w:r>
      <w:t>KP/3880/2024/</w:t>
    </w:r>
    <w:proofErr w:type="spellStart"/>
    <w:r>
      <w:t>Mc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F813A" w14:textId="77777777" w:rsidR="00BC4BE4" w:rsidRDefault="00BC4B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878870">
    <w:abstractNumId w:val="5"/>
  </w:num>
  <w:num w:numId="2" w16cid:durableId="334771280">
    <w:abstractNumId w:val="1"/>
  </w:num>
  <w:num w:numId="3" w16cid:durableId="690256783">
    <w:abstractNumId w:val="7"/>
  </w:num>
  <w:num w:numId="4" w16cid:durableId="772088570">
    <w:abstractNumId w:val="7"/>
  </w:num>
  <w:num w:numId="5" w16cid:durableId="1446391514">
    <w:abstractNumId w:val="11"/>
  </w:num>
  <w:num w:numId="6" w16cid:durableId="97069843">
    <w:abstractNumId w:val="8"/>
  </w:num>
  <w:num w:numId="7" w16cid:durableId="488712254">
    <w:abstractNumId w:val="2"/>
  </w:num>
  <w:num w:numId="8" w16cid:durableId="93597602">
    <w:abstractNumId w:val="6"/>
  </w:num>
  <w:num w:numId="9" w16cid:durableId="493228035">
    <w:abstractNumId w:val="12"/>
  </w:num>
  <w:num w:numId="10" w16cid:durableId="1994482187">
    <w:abstractNumId w:val="4"/>
  </w:num>
  <w:num w:numId="11" w16cid:durableId="922758891">
    <w:abstractNumId w:val="9"/>
  </w:num>
  <w:num w:numId="12" w16cid:durableId="100734141">
    <w:abstractNumId w:val="10"/>
  </w:num>
  <w:num w:numId="13" w16cid:durableId="3054750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251962">
    <w:abstractNumId w:val="7"/>
  </w:num>
  <w:num w:numId="15" w16cid:durableId="1502968993">
    <w:abstractNumId w:val="0"/>
  </w:num>
  <w:num w:numId="16" w16cid:durableId="6796746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7"/>
    <w:rsid w:val="0000295A"/>
    <w:rsid w:val="0000632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3B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6A76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D7CF2"/>
    <w:rsid w:val="002E1388"/>
    <w:rsid w:val="002E3B0B"/>
    <w:rsid w:val="002E48E0"/>
    <w:rsid w:val="002F2986"/>
    <w:rsid w:val="002F4EDA"/>
    <w:rsid w:val="002F4F30"/>
    <w:rsid w:val="002F5A51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3205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D482C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358A3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344E"/>
    <w:rsid w:val="00605F71"/>
    <w:rsid w:val="006124A5"/>
    <w:rsid w:val="00614829"/>
    <w:rsid w:val="006151C2"/>
    <w:rsid w:val="00620394"/>
    <w:rsid w:val="00620A9D"/>
    <w:rsid w:val="006260B6"/>
    <w:rsid w:val="00626A1F"/>
    <w:rsid w:val="00632A3A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8374A"/>
    <w:rsid w:val="00690BB7"/>
    <w:rsid w:val="00690E4A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36D6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29F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C4BE4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758BB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505"/>
    <w:rsid w:val="00E05BD2"/>
    <w:rsid w:val="00E13BA0"/>
    <w:rsid w:val="00E32B69"/>
    <w:rsid w:val="00E338E1"/>
    <w:rsid w:val="00E3667B"/>
    <w:rsid w:val="00E366D8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68DCB81"/>
    <w:rsid w:val="08B0CC4E"/>
    <w:rsid w:val="0D3F1CBE"/>
    <w:rsid w:val="0EEB4593"/>
    <w:rsid w:val="181A5482"/>
    <w:rsid w:val="18879CD4"/>
    <w:rsid w:val="18C84BC9"/>
    <w:rsid w:val="19907203"/>
    <w:rsid w:val="1E4ABBC1"/>
    <w:rsid w:val="1F08FC34"/>
    <w:rsid w:val="1F65EC90"/>
    <w:rsid w:val="21279468"/>
    <w:rsid w:val="239E3158"/>
    <w:rsid w:val="250F301E"/>
    <w:rsid w:val="25F28361"/>
    <w:rsid w:val="2705C89A"/>
    <w:rsid w:val="28366225"/>
    <w:rsid w:val="3095AAC4"/>
    <w:rsid w:val="35964F08"/>
    <w:rsid w:val="36698B26"/>
    <w:rsid w:val="38690F1A"/>
    <w:rsid w:val="3C6ED8A4"/>
    <w:rsid w:val="3CD0218A"/>
    <w:rsid w:val="41D674D0"/>
    <w:rsid w:val="451756F3"/>
    <w:rsid w:val="46B32754"/>
    <w:rsid w:val="49ED3F43"/>
    <w:rsid w:val="4B73C44D"/>
    <w:rsid w:val="4BB76EE7"/>
    <w:rsid w:val="50995BF3"/>
    <w:rsid w:val="53659070"/>
    <w:rsid w:val="592CC486"/>
    <w:rsid w:val="5BAEA329"/>
    <w:rsid w:val="5C8AB425"/>
    <w:rsid w:val="5FDC05B4"/>
    <w:rsid w:val="62A99897"/>
    <w:rsid w:val="67056C94"/>
    <w:rsid w:val="680E8F24"/>
    <w:rsid w:val="696F2DA2"/>
    <w:rsid w:val="6F398BD9"/>
    <w:rsid w:val="719E714E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6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a1b2a99eed8432893daaa2f5d2d9752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c9bf93191a26c219dac6696d8dfa5d8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3648-9B83-4D60-8C33-CE2CC3A8917C}">
  <ds:schemaRefs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D7783-E332-4D1B-89E0-5400E4B7C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37A5C1-8246-4132-BCDE-B103E8A36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4719</Words>
  <Characters>27845</Characters>
  <Application>Microsoft Office Word</Application>
  <DocSecurity>0</DocSecurity>
  <Lines>232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Mičánková Lucie</cp:lastModifiedBy>
  <cp:revision>13</cp:revision>
  <cp:lastPrinted>2024-10-16T09:42:00Z</cp:lastPrinted>
  <dcterms:created xsi:type="dcterms:W3CDTF">2024-10-08T10:49:00Z</dcterms:created>
  <dcterms:modified xsi:type="dcterms:W3CDTF">2024-11-18T11:19:00Z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