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První Liběšická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Liběšice u Žatce č.p. 71, 43963 Liběšice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Dobříčany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1 055,81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236,16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406,37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1 466,78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využ.část orná, část TTP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746,21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88 053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25 359,26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25 359,26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311,33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329,18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555,26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využ.TTP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6 809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1 960,99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1 123,49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892,22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19 037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5 482,66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115,78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141 248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40 679,42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40 679,42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141 248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40 679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40 679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57N22/35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5712235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21.06.2022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40 679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