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7622C" w14:textId="77777777" w:rsidR="006A16F1" w:rsidRPr="006A16F1" w:rsidRDefault="006A16F1" w:rsidP="00D27A12">
      <w:pPr>
        <w:pStyle w:val="Default"/>
        <w:spacing w:line="276" w:lineRule="auto"/>
        <w:jc w:val="center"/>
        <w:rPr>
          <w:b/>
          <w:bCs/>
        </w:rPr>
      </w:pPr>
      <w:r w:rsidRPr="006A16F1">
        <w:rPr>
          <w:b/>
          <w:bCs/>
        </w:rPr>
        <w:t xml:space="preserve">Dodatek č. </w:t>
      </w:r>
      <w:r w:rsidR="00D12431">
        <w:rPr>
          <w:b/>
          <w:bCs/>
        </w:rPr>
        <w:t>1</w:t>
      </w:r>
    </w:p>
    <w:p w14:paraId="59DE25E6" w14:textId="1222F1E4" w:rsidR="006A16F1" w:rsidRDefault="006A16F1" w:rsidP="00D27A12">
      <w:pPr>
        <w:pStyle w:val="Default"/>
        <w:spacing w:line="276" w:lineRule="auto"/>
        <w:jc w:val="center"/>
        <w:rPr>
          <w:b/>
          <w:bCs/>
        </w:rPr>
      </w:pPr>
      <w:r w:rsidRPr="006A16F1">
        <w:rPr>
          <w:b/>
          <w:bCs/>
        </w:rPr>
        <w:t xml:space="preserve">ke Smlouvě o </w:t>
      </w:r>
      <w:r w:rsidR="004E6691" w:rsidRPr="004E6691">
        <w:rPr>
          <w:b/>
          <w:bCs/>
        </w:rPr>
        <w:t>dodávce a implementaci bezpečnostních prvků perimetru a provozní podpoře</w:t>
      </w:r>
    </w:p>
    <w:p w14:paraId="2F665549" w14:textId="77777777" w:rsidR="00F278CE" w:rsidRDefault="00F278CE" w:rsidP="00D27A12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03E29F60" w14:textId="77777777" w:rsidR="00F278CE" w:rsidRDefault="00F278CE" w:rsidP="00D27A12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2808CECA" w14:textId="77777777" w:rsidR="00F278CE" w:rsidRDefault="00F278CE" w:rsidP="00D27A12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4FCEE3D4" w14:textId="77777777" w:rsidR="00806CD4" w:rsidRDefault="00806CD4" w:rsidP="00806CD4">
      <w:pPr>
        <w:pStyle w:val="Default"/>
      </w:pPr>
    </w:p>
    <w:p w14:paraId="4F07272A" w14:textId="5B4ED991" w:rsidR="00806CD4" w:rsidRDefault="00806CD4" w:rsidP="00806CD4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Česká republika – Ministerstvo školství, mládeže a tělovýchovy </w:t>
      </w:r>
    </w:p>
    <w:p w14:paraId="60765D5C" w14:textId="77777777" w:rsidR="00806CD4" w:rsidRDefault="00806CD4" w:rsidP="00806CD4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Se sídlem: Karmelitská 529/5, 118 12 Praha 1 </w:t>
      </w:r>
    </w:p>
    <w:p w14:paraId="37E869DD" w14:textId="482A11BD" w:rsidR="00806CD4" w:rsidRDefault="00806CD4" w:rsidP="00806CD4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Jednající: </w:t>
      </w:r>
      <w:r w:rsidR="004E6691">
        <w:rPr>
          <w:sz w:val="23"/>
          <w:szCs w:val="23"/>
        </w:rPr>
        <w:t>Mgr. Petr Symerský</w:t>
      </w:r>
      <w:r>
        <w:rPr>
          <w:sz w:val="23"/>
          <w:szCs w:val="23"/>
        </w:rPr>
        <w:t xml:space="preserve">, ředitel </w:t>
      </w:r>
      <w:r w:rsidR="004E6691">
        <w:rPr>
          <w:sz w:val="23"/>
          <w:szCs w:val="23"/>
        </w:rPr>
        <w:t>odboru</w:t>
      </w:r>
      <w:r>
        <w:rPr>
          <w:sz w:val="23"/>
          <w:szCs w:val="23"/>
        </w:rPr>
        <w:t xml:space="preserve"> informatiky </w:t>
      </w:r>
    </w:p>
    <w:p w14:paraId="6A321C26" w14:textId="77777777" w:rsidR="00806CD4" w:rsidRDefault="00806CD4" w:rsidP="00806CD4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IČO: 00022985 </w:t>
      </w:r>
    </w:p>
    <w:p w14:paraId="1F6EC7FB" w14:textId="16F5E68D" w:rsidR="00806CD4" w:rsidRDefault="00806CD4" w:rsidP="00806CD4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Bankovní spojení: </w:t>
      </w:r>
      <w:r w:rsidR="008F5E6C">
        <w:rPr>
          <w:sz w:val="23"/>
          <w:szCs w:val="23"/>
        </w:rPr>
        <w:t>XXXXX</w:t>
      </w:r>
      <w:r>
        <w:rPr>
          <w:sz w:val="23"/>
          <w:szCs w:val="23"/>
        </w:rPr>
        <w:t xml:space="preserve"> </w:t>
      </w:r>
    </w:p>
    <w:p w14:paraId="77FAAA6B" w14:textId="17D2918F" w:rsidR="00806CD4" w:rsidRDefault="00806CD4" w:rsidP="00806CD4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Číslo účtu: </w:t>
      </w:r>
      <w:r w:rsidR="008F5E6C">
        <w:rPr>
          <w:sz w:val="23"/>
          <w:szCs w:val="23"/>
        </w:rPr>
        <w:t>XXXXXXXXXXX</w:t>
      </w:r>
      <w:r>
        <w:rPr>
          <w:sz w:val="23"/>
          <w:szCs w:val="23"/>
        </w:rPr>
        <w:t xml:space="preserve"> </w:t>
      </w:r>
    </w:p>
    <w:p w14:paraId="7E4F3ECB" w14:textId="77777777" w:rsidR="00806CD4" w:rsidRDefault="00806CD4" w:rsidP="00806CD4">
      <w:pPr>
        <w:pStyle w:val="Default"/>
        <w:ind w:left="426"/>
        <w:rPr>
          <w:sz w:val="23"/>
          <w:szCs w:val="23"/>
        </w:rPr>
      </w:pPr>
    </w:p>
    <w:p w14:paraId="6668BA96" w14:textId="500F670E" w:rsidR="00806CD4" w:rsidRDefault="00806CD4" w:rsidP="00806CD4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(dále </w:t>
      </w:r>
      <w:r w:rsidR="00D3497A">
        <w:rPr>
          <w:sz w:val="23"/>
          <w:szCs w:val="23"/>
        </w:rPr>
        <w:t xml:space="preserve">jen </w:t>
      </w:r>
      <w:r>
        <w:rPr>
          <w:sz w:val="23"/>
          <w:szCs w:val="23"/>
        </w:rPr>
        <w:t xml:space="preserve">„Objednatel“) </w:t>
      </w:r>
    </w:p>
    <w:p w14:paraId="4483978C" w14:textId="77777777" w:rsidR="00806CD4" w:rsidRDefault="00806CD4" w:rsidP="00806CD4">
      <w:pPr>
        <w:pStyle w:val="Default"/>
        <w:ind w:left="426"/>
        <w:rPr>
          <w:sz w:val="23"/>
          <w:szCs w:val="23"/>
        </w:rPr>
      </w:pPr>
    </w:p>
    <w:p w14:paraId="5ACB0619" w14:textId="77777777" w:rsidR="00806CD4" w:rsidRDefault="00806CD4" w:rsidP="00806CD4">
      <w:pPr>
        <w:pStyle w:val="Default"/>
        <w:ind w:left="426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</w:t>
      </w:r>
    </w:p>
    <w:p w14:paraId="13DEF86C" w14:textId="77777777" w:rsidR="00806CD4" w:rsidRDefault="00806CD4" w:rsidP="00806CD4">
      <w:pPr>
        <w:pStyle w:val="Default"/>
        <w:ind w:left="426"/>
        <w:rPr>
          <w:sz w:val="23"/>
          <w:szCs w:val="23"/>
        </w:rPr>
      </w:pPr>
    </w:p>
    <w:p w14:paraId="696AD3A3" w14:textId="090DB852" w:rsidR="00D3497A" w:rsidRPr="00D3497A" w:rsidRDefault="00D3497A" w:rsidP="00D3497A">
      <w:pPr>
        <w:pStyle w:val="Default"/>
        <w:numPr>
          <w:ilvl w:val="0"/>
          <w:numId w:val="15"/>
        </w:numPr>
        <w:rPr>
          <w:b/>
          <w:bCs/>
          <w:sz w:val="23"/>
          <w:szCs w:val="23"/>
        </w:rPr>
      </w:pPr>
      <w:proofErr w:type="spellStart"/>
      <w:r w:rsidRPr="00D3497A">
        <w:rPr>
          <w:b/>
          <w:bCs/>
          <w:sz w:val="23"/>
          <w:szCs w:val="23"/>
        </w:rPr>
        <w:t>CompuNet</w:t>
      </w:r>
      <w:proofErr w:type="spellEnd"/>
      <w:r w:rsidRPr="00D3497A">
        <w:rPr>
          <w:b/>
          <w:bCs/>
          <w:sz w:val="23"/>
          <w:szCs w:val="23"/>
        </w:rPr>
        <w:t xml:space="preserve"> s. r. o.</w:t>
      </w:r>
    </w:p>
    <w:p w14:paraId="42461551" w14:textId="77777777" w:rsidR="00D3497A" w:rsidRPr="00D3497A" w:rsidRDefault="00D3497A" w:rsidP="00D3497A">
      <w:pPr>
        <w:pStyle w:val="Default"/>
        <w:ind w:left="426"/>
        <w:rPr>
          <w:sz w:val="23"/>
          <w:szCs w:val="23"/>
        </w:rPr>
      </w:pPr>
      <w:r w:rsidRPr="00D3497A">
        <w:rPr>
          <w:sz w:val="23"/>
          <w:szCs w:val="23"/>
        </w:rPr>
        <w:t>Se sídlem: Zubatého 295/5, 150 00 Praha 5</w:t>
      </w:r>
    </w:p>
    <w:p w14:paraId="15AC9CFE" w14:textId="77777777" w:rsidR="00D3497A" w:rsidRPr="00D3497A" w:rsidRDefault="00D3497A" w:rsidP="00D3497A">
      <w:pPr>
        <w:pStyle w:val="Default"/>
        <w:ind w:left="426"/>
        <w:rPr>
          <w:sz w:val="23"/>
          <w:szCs w:val="23"/>
        </w:rPr>
      </w:pPr>
      <w:r w:rsidRPr="00D3497A">
        <w:rPr>
          <w:sz w:val="23"/>
          <w:szCs w:val="23"/>
        </w:rPr>
        <w:t>Zastoupený: Ing. Pavlem Pikhartem, jednatelem</w:t>
      </w:r>
    </w:p>
    <w:p w14:paraId="1A0F8A93" w14:textId="77777777" w:rsidR="00D3497A" w:rsidRPr="00D3497A" w:rsidRDefault="00D3497A" w:rsidP="00D3497A">
      <w:pPr>
        <w:pStyle w:val="Default"/>
        <w:ind w:left="426"/>
        <w:rPr>
          <w:sz w:val="23"/>
          <w:szCs w:val="23"/>
        </w:rPr>
      </w:pPr>
      <w:r w:rsidRPr="00D3497A">
        <w:rPr>
          <w:sz w:val="23"/>
          <w:szCs w:val="23"/>
        </w:rPr>
        <w:t>IČO: 27608514</w:t>
      </w:r>
    </w:p>
    <w:p w14:paraId="6143FC1F" w14:textId="77777777" w:rsidR="00D3497A" w:rsidRPr="00D3497A" w:rsidRDefault="00D3497A" w:rsidP="00D3497A">
      <w:pPr>
        <w:pStyle w:val="Default"/>
        <w:ind w:left="426"/>
        <w:rPr>
          <w:sz w:val="23"/>
          <w:szCs w:val="23"/>
        </w:rPr>
      </w:pPr>
      <w:r w:rsidRPr="00D3497A">
        <w:rPr>
          <w:sz w:val="23"/>
          <w:szCs w:val="23"/>
        </w:rPr>
        <w:t>DIČ: CZ27608514</w:t>
      </w:r>
    </w:p>
    <w:p w14:paraId="082C1F7C" w14:textId="0F047B1F" w:rsidR="00D3497A" w:rsidRPr="00D3497A" w:rsidRDefault="00D3497A" w:rsidP="00D3497A">
      <w:pPr>
        <w:pStyle w:val="Default"/>
        <w:ind w:left="426"/>
        <w:rPr>
          <w:sz w:val="23"/>
          <w:szCs w:val="23"/>
        </w:rPr>
      </w:pPr>
      <w:r w:rsidRPr="00D3497A">
        <w:rPr>
          <w:sz w:val="23"/>
          <w:szCs w:val="23"/>
        </w:rPr>
        <w:t xml:space="preserve">Bankovní spojení: </w:t>
      </w:r>
      <w:r w:rsidR="008F5E6C">
        <w:rPr>
          <w:sz w:val="23"/>
          <w:szCs w:val="23"/>
        </w:rPr>
        <w:t>XXXXXXXXXXXXXX</w:t>
      </w:r>
    </w:p>
    <w:p w14:paraId="1FC092F1" w14:textId="323935FF" w:rsidR="00D3497A" w:rsidRPr="00D3497A" w:rsidRDefault="00D3497A" w:rsidP="00D3497A">
      <w:pPr>
        <w:pStyle w:val="Default"/>
        <w:ind w:left="426"/>
        <w:rPr>
          <w:sz w:val="23"/>
          <w:szCs w:val="23"/>
        </w:rPr>
      </w:pPr>
      <w:r w:rsidRPr="00D3497A">
        <w:rPr>
          <w:sz w:val="23"/>
          <w:szCs w:val="23"/>
        </w:rPr>
        <w:t xml:space="preserve">Číslo </w:t>
      </w:r>
      <w:proofErr w:type="spellStart"/>
      <w:r w:rsidRPr="00D3497A">
        <w:rPr>
          <w:sz w:val="23"/>
          <w:szCs w:val="23"/>
        </w:rPr>
        <w:t>účtu</w:t>
      </w:r>
      <w:r w:rsidR="008F5E6C">
        <w:rPr>
          <w:sz w:val="23"/>
          <w:szCs w:val="23"/>
        </w:rPr>
        <w:t>XXXXXXXXXXXXXXXXXX</w:t>
      </w:r>
      <w:proofErr w:type="spellEnd"/>
    </w:p>
    <w:p w14:paraId="39D1F88D" w14:textId="77777777" w:rsidR="00D3497A" w:rsidRDefault="00D3497A" w:rsidP="00D3497A">
      <w:pPr>
        <w:pStyle w:val="Default"/>
        <w:ind w:left="426"/>
        <w:rPr>
          <w:sz w:val="23"/>
          <w:szCs w:val="23"/>
        </w:rPr>
      </w:pPr>
      <w:r w:rsidRPr="00D3497A">
        <w:rPr>
          <w:sz w:val="23"/>
          <w:szCs w:val="23"/>
        </w:rPr>
        <w:t>Společnost je zapsána v OR, vedeném Městským soudem v Praze, oddíl C, vložka 118594</w:t>
      </w:r>
    </w:p>
    <w:p w14:paraId="2AEF3F0D" w14:textId="77777777" w:rsidR="00D3497A" w:rsidRPr="00D3497A" w:rsidRDefault="00D3497A" w:rsidP="00D3497A">
      <w:pPr>
        <w:pStyle w:val="Default"/>
        <w:ind w:left="426"/>
        <w:rPr>
          <w:sz w:val="23"/>
          <w:szCs w:val="23"/>
        </w:rPr>
      </w:pPr>
    </w:p>
    <w:p w14:paraId="7269D207" w14:textId="31C6D495" w:rsidR="00806CD4" w:rsidRPr="00D3497A" w:rsidRDefault="00D3497A" w:rsidP="00D3497A">
      <w:pPr>
        <w:pStyle w:val="Default"/>
        <w:ind w:left="426"/>
        <w:rPr>
          <w:sz w:val="23"/>
          <w:szCs w:val="23"/>
        </w:rPr>
      </w:pPr>
      <w:r w:rsidRPr="00D3497A">
        <w:rPr>
          <w:sz w:val="23"/>
          <w:szCs w:val="23"/>
        </w:rPr>
        <w:t>(dále jen „</w:t>
      </w:r>
      <w:r w:rsidR="00930F8D">
        <w:rPr>
          <w:sz w:val="23"/>
          <w:szCs w:val="23"/>
        </w:rPr>
        <w:t>Poskytovatel</w:t>
      </w:r>
      <w:r w:rsidRPr="00D3497A">
        <w:rPr>
          <w:sz w:val="23"/>
          <w:szCs w:val="23"/>
        </w:rPr>
        <w:t>“)</w:t>
      </w:r>
    </w:p>
    <w:p w14:paraId="6918A8A3" w14:textId="77777777" w:rsidR="00806CD4" w:rsidRDefault="00806CD4" w:rsidP="00806CD4">
      <w:pPr>
        <w:pStyle w:val="Default"/>
        <w:ind w:left="426"/>
        <w:rPr>
          <w:sz w:val="23"/>
          <w:szCs w:val="23"/>
        </w:rPr>
      </w:pPr>
    </w:p>
    <w:p w14:paraId="60AB57A5" w14:textId="77777777" w:rsidR="00806CD4" w:rsidRDefault="00806CD4" w:rsidP="00806CD4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(dále společně označovány jako „smluvní strany“) </w:t>
      </w:r>
    </w:p>
    <w:p w14:paraId="11FD4CF3" w14:textId="77777777" w:rsidR="00806CD4" w:rsidRDefault="00806CD4" w:rsidP="00806CD4">
      <w:pPr>
        <w:pStyle w:val="Default"/>
        <w:ind w:left="426"/>
        <w:rPr>
          <w:sz w:val="23"/>
          <w:szCs w:val="23"/>
        </w:rPr>
      </w:pPr>
    </w:p>
    <w:p w14:paraId="05760FC6" w14:textId="77777777" w:rsidR="006A16F1" w:rsidRDefault="006A16F1" w:rsidP="00D27A12">
      <w:pPr>
        <w:pStyle w:val="Default"/>
        <w:spacing w:line="276" w:lineRule="auto"/>
      </w:pPr>
    </w:p>
    <w:p w14:paraId="69CD155D" w14:textId="77777777" w:rsidR="00806CD4" w:rsidRDefault="00806CD4" w:rsidP="00D27A12">
      <w:pPr>
        <w:pStyle w:val="Default"/>
        <w:spacing w:line="276" w:lineRule="auto"/>
      </w:pPr>
    </w:p>
    <w:p w14:paraId="153916E9" w14:textId="77777777" w:rsidR="00806CD4" w:rsidRDefault="00806CD4" w:rsidP="00D27A12">
      <w:pPr>
        <w:pStyle w:val="Default"/>
        <w:spacing w:line="276" w:lineRule="auto"/>
      </w:pPr>
    </w:p>
    <w:p w14:paraId="45BFA47C" w14:textId="77777777" w:rsidR="00806CD4" w:rsidRDefault="00806CD4" w:rsidP="00D27A12">
      <w:pPr>
        <w:pStyle w:val="Default"/>
        <w:spacing w:line="276" w:lineRule="auto"/>
      </w:pPr>
    </w:p>
    <w:p w14:paraId="3D11BDC6" w14:textId="77777777" w:rsidR="00806CD4" w:rsidRDefault="00806CD4" w:rsidP="00D27A12">
      <w:pPr>
        <w:pStyle w:val="Default"/>
        <w:spacing w:line="276" w:lineRule="auto"/>
      </w:pPr>
    </w:p>
    <w:p w14:paraId="1D47D8ED" w14:textId="77777777" w:rsidR="00F278CE" w:rsidRDefault="00F278CE" w:rsidP="00D27A12">
      <w:pPr>
        <w:pStyle w:val="Default"/>
        <w:spacing w:line="276" w:lineRule="auto"/>
      </w:pPr>
    </w:p>
    <w:p w14:paraId="6859C633" w14:textId="77777777" w:rsidR="00F278CE" w:rsidRDefault="00F278CE" w:rsidP="00D27A12">
      <w:pPr>
        <w:pStyle w:val="Default"/>
        <w:spacing w:line="276" w:lineRule="auto"/>
      </w:pPr>
    </w:p>
    <w:p w14:paraId="57158504" w14:textId="1CCC4625" w:rsidR="006A16F1" w:rsidRDefault="006A16F1" w:rsidP="00D27A12">
      <w:pPr>
        <w:spacing w:after="0" w:line="276" w:lineRule="auto"/>
        <w:jc w:val="both"/>
      </w:pPr>
      <w:r>
        <w:t xml:space="preserve">uzavřely níže uvedeného dne, měsíce a roku na základě vzájemného konsenzu tento Dodatek č. </w:t>
      </w:r>
      <w:r w:rsidR="00D12431">
        <w:t>1</w:t>
      </w:r>
      <w:r>
        <w:t xml:space="preserve"> ke Smlouvě o </w:t>
      </w:r>
      <w:bookmarkStart w:id="0" w:name="_Hlk172641564"/>
      <w:r w:rsidR="00D3497A" w:rsidRPr="00D3497A">
        <w:t>dodávce a implementaci bezpečnostních prvků perimetru a provozní podpoře</w:t>
      </w:r>
      <w:r w:rsidR="00806CD4">
        <w:t xml:space="preserve"> </w:t>
      </w:r>
      <w:bookmarkEnd w:id="0"/>
      <w:r>
        <w:t xml:space="preserve">uzavřené dne </w:t>
      </w:r>
      <w:r w:rsidR="00D3497A">
        <w:t>23</w:t>
      </w:r>
      <w:r>
        <w:t xml:space="preserve">. </w:t>
      </w:r>
      <w:r w:rsidR="00D3497A">
        <w:t>3</w:t>
      </w:r>
      <w:r>
        <w:t>. 20</w:t>
      </w:r>
      <w:r w:rsidR="00B4063C">
        <w:t>2</w:t>
      </w:r>
      <w:r w:rsidR="00D3497A">
        <w:t>2</w:t>
      </w:r>
      <w:r>
        <w:t xml:space="preserve"> (dále jen „Dodatek č. </w:t>
      </w:r>
      <w:r w:rsidR="00B4063C">
        <w:t>1</w:t>
      </w:r>
      <w:r>
        <w:t>“).</w:t>
      </w:r>
    </w:p>
    <w:p w14:paraId="6F9CD945" w14:textId="77777777" w:rsidR="003C532B" w:rsidRDefault="003C532B" w:rsidP="00D27A12">
      <w:pPr>
        <w:spacing w:after="0" w:line="276" w:lineRule="auto"/>
        <w:jc w:val="both"/>
      </w:pPr>
    </w:p>
    <w:p w14:paraId="6F481EB4" w14:textId="77777777" w:rsidR="003C532B" w:rsidRDefault="003C532B" w:rsidP="00D27A12">
      <w:pPr>
        <w:spacing w:after="0" w:line="276" w:lineRule="auto"/>
        <w:jc w:val="both"/>
      </w:pPr>
    </w:p>
    <w:p w14:paraId="3CCEDC4C" w14:textId="77777777" w:rsidR="003C532B" w:rsidRDefault="003C532B" w:rsidP="00D27A12">
      <w:pPr>
        <w:spacing w:after="0" w:line="276" w:lineRule="auto"/>
        <w:jc w:val="both"/>
      </w:pPr>
    </w:p>
    <w:p w14:paraId="66E621A7" w14:textId="77777777" w:rsidR="003C532B" w:rsidRDefault="003C532B" w:rsidP="00D27A12">
      <w:pPr>
        <w:spacing w:after="0" w:line="276" w:lineRule="auto"/>
        <w:jc w:val="both"/>
      </w:pPr>
    </w:p>
    <w:p w14:paraId="25A5FFE7" w14:textId="77777777" w:rsidR="003C532B" w:rsidRDefault="003C532B" w:rsidP="00D27A12">
      <w:pPr>
        <w:spacing w:after="0" w:line="276" w:lineRule="auto"/>
        <w:jc w:val="both"/>
      </w:pPr>
    </w:p>
    <w:p w14:paraId="6C56FA89" w14:textId="77777777" w:rsidR="003C532B" w:rsidRDefault="003C532B" w:rsidP="00D27A12">
      <w:pPr>
        <w:spacing w:after="0" w:line="276" w:lineRule="auto"/>
        <w:jc w:val="both"/>
      </w:pPr>
    </w:p>
    <w:p w14:paraId="5FD64DC2" w14:textId="77777777" w:rsidR="006A16F1" w:rsidRDefault="006A16F1" w:rsidP="00D27A12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Preambule</w:t>
      </w:r>
    </w:p>
    <w:p w14:paraId="3B71EC36" w14:textId="3AD7ADCF" w:rsidR="006A16F1" w:rsidRDefault="006A16F1" w:rsidP="00D27A12">
      <w:pPr>
        <w:spacing w:after="0" w:line="276" w:lineRule="auto"/>
        <w:jc w:val="both"/>
      </w:pPr>
      <w:r>
        <w:t xml:space="preserve">Smlouva o </w:t>
      </w:r>
      <w:r w:rsidR="00D3497A" w:rsidRPr="00D3497A">
        <w:t xml:space="preserve">dodávce a implementaci bezpečnostních prvků perimetru a provozní podpoře </w:t>
      </w:r>
      <w:r>
        <w:t>(dále jen „Smlouva“)</w:t>
      </w:r>
      <w:r w:rsidR="00BA3220">
        <w:t xml:space="preserve"> </w:t>
      </w:r>
      <w:r>
        <w:t xml:space="preserve">byla uzavřena v souladu s nabídkou </w:t>
      </w:r>
      <w:r w:rsidR="00930F8D">
        <w:t>Poskytovatel</w:t>
      </w:r>
      <w:r w:rsidR="00D3497A">
        <w:t>e</w:t>
      </w:r>
      <w:r>
        <w:t xml:space="preserve"> na základě provedeného </w:t>
      </w:r>
      <w:r w:rsidR="00D3497A">
        <w:t>zadávacího</w:t>
      </w:r>
      <w:r>
        <w:t xml:space="preserve"> řízení veřejné zakázky </w:t>
      </w:r>
      <w:r w:rsidR="00D3497A">
        <w:t>„</w:t>
      </w:r>
      <w:r w:rsidR="00D3497A" w:rsidRPr="00D3497A">
        <w:t>Bezpečnostní infrastruktura MŠMT – NGFW</w:t>
      </w:r>
      <w:r w:rsidR="00D3497A">
        <w:t>“</w:t>
      </w:r>
      <w:r>
        <w:t xml:space="preserve">. Tento Dodatek č. </w:t>
      </w:r>
      <w:r w:rsidR="00B4063C">
        <w:t>1</w:t>
      </w:r>
      <w:r>
        <w:t xml:space="preserve"> je uzavírán v souladu se zákonem</w:t>
      </w:r>
      <w:r w:rsidR="00806CD4">
        <w:t xml:space="preserve"> </w:t>
      </w:r>
      <w:r>
        <w:t>č. 134/2016 Sb., o zadávání veřejných zakázek</w:t>
      </w:r>
      <w:r w:rsidR="00D7379C">
        <w:t>, ve znění pozdějších předpisů</w:t>
      </w:r>
      <w:r w:rsidR="005F5769">
        <w:t xml:space="preserve"> (dále jen „zákon“)</w:t>
      </w:r>
      <w:r>
        <w:t xml:space="preserve">. </w:t>
      </w:r>
    </w:p>
    <w:p w14:paraId="1C7F9A34" w14:textId="77777777" w:rsidR="00F278CE" w:rsidRDefault="00F278CE" w:rsidP="003C532B">
      <w:pPr>
        <w:spacing w:after="0" w:line="276" w:lineRule="auto"/>
        <w:jc w:val="both"/>
      </w:pPr>
    </w:p>
    <w:p w14:paraId="664B7469" w14:textId="77777777" w:rsidR="00F525EA" w:rsidRDefault="007C753F" w:rsidP="00D27A12">
      <w:pPr>
        <w:spacing w:after="0" w:line="276" w:lineRule="auto"/>
        <w:jc w:val="center"/>
        <w:rPr>
          <w:b/>
        </w:rPr>
      </w:pPr>
      <w:r w:rsidRPr="007C753F">
        <w:rPr>
          <w:b/>
        </w:rPr>
        <w:t>Článek I.</w:t>
      </w:r>
      <w:r w:rsidR="00F525EA">
        <w:rPr>
          <w:b/>
        </w:rPr>
        <w:t xml:space="preserve"> </w:t>
      </w:r>
    </w:p>
    <w:p w14:paraId="77BDD0D5" w14:textId="77777777" w:rsidR="007C753F" w:rsidRDefault="00F525EA" w:rsidP="00D27A12">
      <w:pPr>
        <w:spacing w:after="0" w:line="276" w:lineRule="auto"/>
        <w:jc w:val="center"/>
      </w:pPr>
      <w:r>
        <w:rPr>
          <w:b/>
        </w:rPr>
        <w:t>Účel dodatku</w:t>
      </w:r>
    </w:p>
    <w:p w14:paraId="480182C6" w14:textId="6BA5E5BD" w:rsidR="007C753F" w:rsidRDefault="00F525EA" w:rsidP="00D27A12">
      <w:pPr>
        <w:spacing w:after="120" w:line="276" w:lineRule="auto"/>
        <w:jc w:val="both"/>
      </w:pPr>
      <w:r>
        <w:t>Účelem</w:t>
      </w:r>
      <w:r w:rsidR="007C753F">
        <w:t xml:space="preserve"> tohoto Dodatku č. </w:t>
      </w:r>
      <w:r w:rsidR="00B4063C">
        <w:t>1</w:t>
      </w:r>
      <w:r w:rsidR="007C753F">
        <w:t xml:space="preserve"> je upravení smluvního vztahu </w:t>
      </w:r>
      <w:r>
        <w:t xml:space="preserve">v souladu s vůlí smluvních stran </w:t>
      </w:r>
      <w:r w:rsidR="007C753F">
        <w:t xml:space="preserve">z důvodu </w:t>
      </w:r>
      <w:r w:rsidR="00D3497A">
        <w:t>dodatečných dodávek</w:t>
      </w:r>
      <w:r w:rsidR="00B4063C" w:rsidRPr="00B4063C">
        <w:t xml:space="preserve">, které nebyly zahrnuty v předmětu Smlouvy. </w:t>
      </w:r>
      <w:r w:rsidR="004236C8" w:rsidRPr="004236C8">
        <w:t xml:space="preserve">Rozsah </w:t>
      </w:r>
      <w:r w:rsidR="004236C8">
        <w:t>dodávek</w:t>
      </w:r>
      <w:r w:rsidR="004236C8" w:rsidRPr="004236C8">
        <w:t xml:space="preserve"> je měněn v souladu s </w:t>
      </w:r>
      <w:proofErr w:type="spellStart"/>
      <w:r w:rsidR="004236C8" w:rsidRPr="004236C8">
        <w:t>ust</w:t>
      </w:r>
      <w:proofErr w:type="spellEnd"/>
      <w:r w:rsidR="004236C8" w:rsidRPr="004236C8">
        <w:t>. § 222 odst. 5 a 6 zákona vzhledem k nutnosti zajištění komplexní kybernetické bezpečnosti a ochrany proti pokročilým hrozbám.</w:t>
      </w:r>
      <w:r w:rsidR="004236C8">
        <w:t xml:space="preserve"> </w:t>
      </w:r>
      <w:r w:rsidR="00877136" w:rsidRPr="00877136">
        <w:t>Cílem je posílit bezpečnostní infrastrukturu organizace prostřednictvím pokročilých nástrojů pro analýzu, monitorování a ochranu webových aplikací</w:t>
      </w:r>
      <w:r w:rsidR="006F75AC">
        <w:t xml:space="preserve"> a </w:t>
      </w:r>
      <w:r w:rsidR="006F75AC" w:rsidRPr="006F75AC">
        <w:t>ochranu citlivých dat</w:t>
      </w:r>
      <w:r w:rsidR="00877136" w:rsidRPr="00877136">
        <w:t>.</w:t>
      </w:r>
      <w:r w:rsidR="00877136">
        <w:t xml:space="preserve"> </w:t>
      </w:r>
      <w:r w:rsidR="006F75AC">
        <w:t>Od doby uzavření Smlouvy se bezpečností situace podstatně změnila, což Objednatel jednající s náležitou péčí nemohl předvídat.</w:t>
      </w:r>
    </w:p>
    <w:p w14:paraId="7D02C875" w14:textId="77777777" w:rsidR="00F278CE" w:rsidRDefault="00F278CE" w:rsidP="003C532B">
      <w:pPr>
        <w:spacing w:after="0" w:line="276" w:lineRule="auto"/>
        <w:jc w:val="both"/>
      </w:pPr>
    </w:p>
    <w:p w14:paraId="6ED12B3C" w14:textId="77777777" w:rsidR="00AC4C2E" w:rsidRDefault="00AC4C2E" w:rsidP="00D27A12">
      <w:pPr>
        <w:spacing w:after="0" w:line="276" w:lineRule="auto"/>
        <w:jc w:val="center"/>
        <w:rPr>
          <w:b/>
        </w:rPr>
      </w:pPr>
      <w:r w:rsidRPr="00AC4C2E">
        <w:rPr>
          <w:b/>
        </w:rPr>
        <w:t>Článek II.</w:t>
      </w:r>
    </w:p>
    <w:p w14:paraId="69748B04" w14:textId="77777777" w:rsidR="00F525EA" w:rsidRPr="00AC4C2E" w:rsidRDefault="00F525EA" w:rsidP="00D27A12">
      <w:pPr>
        <w:spacing w:after="120" w:line="276" w:lineRule="auto"/>
        <w:jc w:val="center"/>
        <w:rPr>
          <w:b/>
        </w:rPr>
      </w:pPr>
      <w:r>
        <w:rPr>
          <w:b/>
        </w:rPr>
        <w:t>Předmět dodatku</w:t>
      </w:r>
    </w:p>
    <w:p w14:paraId="3705F9C9" w14:textId="7CFB9B56" w:rsidR="00834E04" w:rsidRDefault="00AC4C2E" w:rsidP="00E01735">
      <w:pPr>
        <w:spacing w:after="120" w:line="276" w:lineRule="auto"/>
        <w:ind w:left="-76"/>
        <w:jc w:val="both"/>
      </w:pPr>
      <w:r w:rsidRPr="00D7379C">
        <w:t>Smluvní strany se dohodly, že</w:t>
      </w:r>
      <w:r w:rsidR="00D7379C" w:rsidRPr="00D7379C">
        <w:t xml:space="preserve"> </w:t>
      </w:r>
      <w:r w:rsidR="00D27A12">
        <w:t>p</w:t>
      </w:r>
      <w:r w:rsidR="00D27A12" w:rsidRPr="00D7379C">
        <w:t xml:space="preserve">ředmět Smlouvy se mění tímto </w:t>
      </w:r>
      <w:r w:rsidR="00D27A12">
        <w:t>D</w:t>
      </w:r>
      <w:r w:rsidR="00D27A12" w:rsidRPr="00D7379C">
        <w:t xml:space="preserve">odatkem </w:t>
      </w:r>
      <w:r w:rsidR="00D27A12">
        <w:t xml:space="preserve">č. </w:t>
      </w:r>
      <w:r w:rsidR="00B4063C">
        <w:t>1</w:t>
      </w:r>
      <w:r w:rsidR="00D27A12">
        <w:t xml:space="preserve"> </w:t>
      </w:r>
      <w:r w:rsidR="00D27A12" w:rsidRPr="00D7379C">
        <w:t xml:space="preserve">tak, že </w:t>
      </w:r>
      <w:r w:rsidR="00D7379C" w:rsidRPr="00D7379C">
        <w:t xml:space="preserve">se doplňuje o </w:t>
      </w:r>
      <w:r w:rsidR="00CC7BEC">
        <w:t xml:space="preserve">poskytnutí </w:t>
      </w:r>
      <w:r w:rsidR="00877136">
        <w:t>dodávek</w:t>
      </w:r>
      <w:r w:rsidR="00D7379C" w:rsidRPr="00D7379C">
        <w:t xml:space="preserve"> </w:t>
      </w:r>
      <w:r w:rsidR="00877136" w:rsidRPr="00877136">
        <w:t>modulů</w:t>
      </w:r>
      <w:r w:rsidR="00877136">
        <w:t>,</w:t>
      </w:r>
      <w:r w:rsidR="00877136" w:rsidRPr="00877136">
        <w:t xml:space="preserve"> a to konkrétně </w:t>
      </w:r>
      <w:proofErr w:type="spellStart"/>
      <w:r w:rsidR="00877136" w:rsidRPr="00877136">
        <w:t>FortiAnalyzer</w:t>
      </w:r>
      <w:proofErr w:type="spellEnd"/>
      <w:r w:rsidR="00877136" w:rsidRPr="00877136">
        <w:t xml:space="preserve">, 2x </w:t>
      </w:r>
      <w:proofErr w:type="spellStart"/>
      <w:r w:rsidR="00877136" w:rsidRPr="00877136">
        <w:t>FortiWeb</w:t>
      </w:r>
      <w:proofErr w:type="spellEnd"/>
      <w:r w:rsidR="00877136" w:rsidRPr="00877136">
        <w:t xml:space="preserve"> a </w:t>
      </w:r>
      <w:proofErr w:type="spellStart"/>
      <w:r w:rsidR="00877136" w:rsidRPr="00877136">
        <w:t>FortiMan</w:t>
      </w:r>
      <w:r w:rsidR="00D1262F">
        <w:t>a</w:t>
      </w:r>
      <w:r w:rsidR="00877136" w:rsidRPr="00877136">
        <w:t>ger</w:t>
      </w:r>
      <w:proofErr w:type="spellEnd"/>
      <w:r w:rsidR="00877136" w:rsidRPr="00877136">
        <w:t xml:space="preserve"> s tříletou podporou výrobce</w:t>
      </w:r>
      <w:r w:rsidR="00877136">
        <w:t>,</w:t>
      </w:r>
      <w:r w:rsidR="00877136" w:rsidRPr="00D7379C">
        <w:t xml:space="preserve"> </w:t>
      </w:r>
      <w:r w:rsidR="00D7379C" w:rsidRPr="00D7379C">
        <w:t>specifikovan</w:t>
      </w:r>
      <w:r w:rsidR="00CC7BEC">
        <w:t>ých</w:t>
      </w:r>
      <w:r w:rsidR="00D7379C" w:rsidRPr="00D7379C">
        <w:t xml:space="preserve"> </w:t>
      </w:r>
      <w:r w:rsidR="008A2D8A">
        <w:t xml:space="preserve">v </w:t>
      </w:r>
      <w:r w:rsidR="00CC7BEC">
        <w:t xml:space="preserve">nabídce Poskytovatele ze dne </w:t>
      </w:r>
      <w:r w:rsidR="00930F8D">
        <w:t>7</w:t>
      </w:r>
      <w:r w:rsidR="00CC7BEC">
        <w:t>.</w:t>
      </w:r>
      <w:r w:rsidR="00930F8D">
        <w:t>10</w:t>
      </w:r>
      <w:r w:rsidR="00CC7BEC">
        <w:t>.2024</w:t>
      </w:r>
      <w:r w:rsidR="00D7379C" w:rsidRPr="00CF5F27">
        <w:t>,</w:t>
      </w:r>
      <w:r w:rsidR="00D7379C" w:rsidRPr="00D7379C">
        <w:t xml:space="preserve"> kter</w:t>
      </w:r>
      <w:r w:rsidR="00CC7BEC">
        <w:t>á</w:t>
      </w:r>
      <w:r w:rsidR="00D7379C" w:rsidRPr="00D7379C">
        <w:t xml:space="preserve"> j</w:t>
      </w:r>
      <w:r w:rsidR="008D15FE">
        <w:t>e</w:t>
      </w:r>
      <w:r w:rsidR="00D7379C" w:rsidRPr="00D7379C">
        <w:t xml:space="preserve"> příloh</w:t>
      </w:r>
      <w:r w:rsidR="008D15FE">
        <w:t>ou</w:t>
      </w:r>
      <w:r w:rsidR="00D7379C" w:rsidRPr="00D7379C">
        <w:t xml:space="preserve"> </w:t>
      </w:r>
      <w:r w:rsidR="00D7379C" w:rsidRPr="004768DD">
        <w:t>č.</w:t>
      </w:r>
      <w:r w:rsidR="00F278CE" w:rsidRPr="004768DD">
        <w:t xml:space="preserve"> 1 </w:t>
      </w:r>
      <w:r w:rsidR="00D7379C" w:rsidRPr="00D7379C">
        <w:t>a nedíln</w:t>
      </w:r>
      <w:r w:rsidR="008D15FE">
        <w:t>ou</w:t>
      </w:r>
      <w:r w:rsidR="00D7379C" w:rsidRPr="00D7379C">
        <w:t xml:space="preserve"> součást</w:t>
      </w:r>
      <w:r w:rsidR="008D15FE">
        <w:t>í</w:t>
      </w:r>
      <w:r w:rsidR="00D7379C" w:rsidRPr="00D7379C">
        <w:t xml:space="preserve"> tohoto </w:t>
      </w:r>
      <w:r w:rsidR="00D7379C">
        <w:t>D</w:t>
      </w:r>
      <w:r w:rsidR="00D7379C" w:rsidRPr="00D7379C">
        <w:t>odatku</w:t>
      </w:r>
      <w:r w:rsidR="00D7379C">
        <w:t xml:space="preserve"> č. </w:t>
      </w:r>
      <w:r w:rsidR="00B4063C">
        <w:t>1</w:t>
      </w:r>
      <w:r w:rsidR="00D7379C" w:rsidRPr="00D7379C">
        <w:t xml:space="preserve">. </w:t>
      </w:r>
      <w:r w:rsidR="00D1763A">
        <w:t>Moduly</w:t>
      </w:r>
      <w:r w:rsidR="00D1763A" w:rsidRPr="00D1763A">
        <w:t xml:space="preserve"> musí být kompatibilní s aktuálními verzemi operačních systémů a síťovou infrastrukturou organizace. Servisní podpora bude zajištěna po dobu 3 let, aby byla zaručena kontinuita a efektivita provozu. </w:t>
      </w:r>
      <w:r w:rsidR="00930F8D">
        <w:t>Poskytovatel</w:t>
      </w:r>
      <w:r w:rsidR="00D1763A">
        <w:t xml:space="preserve"> se</w:t>
      </w:r>
      <w:r w:rsidR="00D1763A" w:rsidRPr="00D7379C">
        <w:t xml:space="preserve"> zavazuje tyto </w:t>
      </w:r>
      <w:r w:rsidR="00D1763A">
        <w:t xml:space="preserve">moduly dodat </w:t>
      </w:r>
      <w:r w:rsidR="00AB49F6">
        <w:t xml:space="preserve">a implementovat nejpozději do 30 dní od zveřejnění smlouvy v registru smluv. </w:t>
      </w:r>
      <w:r w:rsidR="00D1763A">
        <w:t>Objednatel se zavazuje uhradit za ně dohodnutou cenu.</w:t>
      </w:r>
    </w:p>
    <w:p w14:paraId="3DD785D4" w14:textId="77777777" w:rsidR="00D7379C" w:rsidRDefault="00D7379C" w:rsidP="003C532B">
      <w:pPr>
        <w:spacing w:after="0" w:line="276" w:lineRule="auto"/>
        <w:jc w:val="both"/>
      </w:pPr>
    </w:p>
    <w:p w14:paraId="1035E36B" w14:textId="77777777" w:rsidR="00D7379C" w:rsidRPr="00D7379C" w:rsidRDefault="00D7379C" w:rsidP="00D27A12">
      <w:pPr>
        <w:spacing w:after="0" w:line="276" w:lineRule="auto"/>
        <w:jc w:val="center"/>
        <w:rPr>
          <w:b/>
        </w:rPr>
      </w:pPr>
      <w:r w:rsidRPr="00D7379C">
        <w:rPr>
          <w:b/>
        </w:rPr>
        <w:t>III.</w:t>
      </w:r>
    </w:p>
    <w:p w14:paraId="7E624BB2" w14:textId="6A2D49AE" w:rsidR="00D7379C" w:rsidRPr="00D7379C" w:rsidRDefault="00D7379C" w:rsidP="00D27A12">
      <w:pPr>
        <w:spacing w:after="120" w:line="276" w:lineRule="auto"/>
        <w:jc w:val="center"/>
        <w:rPr>
          <w:b/>
        </w:rPr>
      </w:pPr>
      <w:r w:rsidRPr="00D7379C">
        <w:rPr>
          <w:b/>
        </w:rPr>
        <w:t>Cena</w:t>
      </w:r>
      <w:r>
        <w:rPr>
          <w:b/>
        </w:rPr>
        <w:t xml:space="preserve"> dodatečných </w:t>
      </w:r>
      <w:r w:rsidR="00E01735">
        <w:rPr>
          <w:b/>
        </w:rPr>
        <w:t>služeb</w:t>
      </w:r>
      <w:r w:rsidRPr="00D7379C">
        <w:rPr>
          <w:b/>
        </w:rPr>
        <w:t xml:space="preserve"> </w:t>
      </w:r>
    </w:p>
    <w:p w14:paraId="1CA3014C" w14:textId="422B287F" w:rsidR="00F278CE" w:rsidRDefault="008D15FE" w:rsidP="00E01735">
      <w:pPr>
        <w:pStyle w:val="Odstavecseseznamem"/>
        <w:numPr>
          <w:ilvl w:val="0"/>
          <w:numId w:val="10"/>
        </w:numPr>
        <w:spacing w:after="120" w:line="276" w:lineRule="auto"/>
        <w:ind w:left="284"/>
        <w:jc w:val="both"/>
      </w:pPr>
      <w:r>
        <w:t xml:space="preserve">Cena sjednaných dodatečných </w:t>
      </w:r>
      <w:r w:rsidR="0048128C">
        <w:t>dodávek</w:t>
      </w:r>
      <w:r>
        <w:t xml:space="preserve"> </w:t>
      </w:r>
      <w:r w:rsidR="00465FCE">
        <w:t>bez DPH</w:t>
      </w:r>
      <w:r w:rsidR="00E01735">
        <w:t xml:space="preserve"> činí 1</w:t>
      </w:r>
      <w:r w:rsidR="00D1763A">
        <w:t>.69</w:t>
      </w:r>
      <w:r w:rsidR="00E01735">
        <w:t>9.</w:t>
      </w:r>
      <w:r w:rsidR="00D1763A">
        <w:t>828</w:t>
      </w:r>
      <w:r w:rsidR="00E01735">
        <w:t>, - Kč.</w:t>
      </w:r>
      <w:r w:rsidR="00465FCE">
        <w:tab/>
      </w:r>
      <w:r w:rsidR="00465FCE">
        <w:tab/>
      </w:r>
      <w:r w:rsidR="00465FCE">
        <w:tab/>
      </w:r>
      <w:r w:rsidR="004768DD" w:rsidRPr="00CF5F27">
        <w:t xml:space="preserve"> </w:t>
      </w:r>
    </w:p>
    <w:p w14:paraId="3475761C" w14:textId="54F2B983" w:rsidR="00D7379C" w:rsidRDefault="00D7379C" w:rsidP="00D27A12">
      <w:pPr>
        <w:pStyle w:val="Odstavecseseznamem"/>
        <w:numPr>
          <w:ilvl w:val="0"/>
          <w:numId w:val="10"/>
        </w:numPr>
        <w:spacing w:after="120" w:line="276" w:lineRule="auto"/>
        <w:ind w:left="284"/>
        <w:jc w:val="both"/>
      </w:pPr>
      <w:r>
        <w:t>C</w:t>
      </w:r>
      <w:r w:rsidR="00E01735">
        <w:t>elková c</w:t>
      </w:r>
      <w:r>
        <w:t xml:space="preserve">ena sjednaná v čl. </w:t>
      </w:r>
      <w:r w:rsidR="0048128C">
        <w:t>4</w:t>
      </w:r>
      <w:r>
        <w:t xml:space="preserve">. odst. </w:t>
      </w:r>
      <w:r w:rsidR="0048128C">
        <w:t>4.</w:t>
      </w:r>
      <w:r>
        <w:t xml:space="preserve">1 Smlouvy, se navyšuje o cenu výše </w:t>
      </w:r>
      <w:r w:rsidR="00E01735">
        <w:t>uvedených dodatečných</w:t>
      </w:r>
      <w:r w:rsidR="00F278CE">
        <w:t xml:space="preserve"> </w:t>
      </w:r>
      <w:r w:rsidR="0048128C">
        <w:t>dodávek</w:t>
      </w:r>
      <w:r w:rsidR="00F278CE">
        <w:t xml:space="preserve"> </w:t>
      </w:r>
      <w:r>
        <w:t>a činí nově:</w:t>
      </w:r>
    </w:p>
    <w:p w14:paraId="1940DE2D" w14:textId="3E6897B9" w:rsidR="00D7379C" w:rsidRDefault="00D7379C" w:rsidP="008D15FE">
      <w:pPr>
        <w:spacing w:after="0" w:line="276" w:lineRule="auto"/>
        <w:ind w:left="284"/>
        <w:jc w:val="both"/>
      </w:pPr>
      <w:r>
        <w:t xml:space="preserve">cena celkem bez DPH: </w:t>
      </w:r>
      <w:r w:rsidR="00F278CE">
        <w:tab/>
      </w:r>
      <w:r w:rsidR="00F278CE">
        <w:tab/>
      </w:r>
      <w:r w:rsidR="00A20786">
        <w:tab/>
        <w:t xml:space="preserve">   </w:t>
      </w:r>
      <w:r w:rsidR="00F278CE">
        <w:tab/>
      </w:r>
      <w:r w:rsidR="00F278CE">
        <w:tab/>
      </w:r>
      <w:r w:rsidR="00716B15">
        <w:tab/>
      </w:r>
      <w:r w:rsidR="00465FCE">
        <w:tab/>
      </w:r>
      <w:r w:rsidR="00064F3C">
        <w:t xml:space="preserve">         </w:t>
      </w:r>
      <w:r w:rsidR="00D1763A">
        <w:t xml:space="preserve">  </w:t>
      </w:r>
      <w:r w:rsidR="00D1763A" w:rsidRPr="00D1763A">
        <w:t>9</w:t>
      </w:r>
      <w:r w:rsidR="00D1763A">
        <w:t>.</w:t>
      </w:r>
      <w:r w:rsidR="00D1763A" w:rsidRPr="00D1763A">
        <w:t>601</w:t>
      </w:r>
      <w:r w:rsidR="00D1763A">
        <w:t>.</w:t>
      </w:r>
      <w:r w:rsidR="00D1763A" w:rsidRPr="00D1763A">
        <w:t>824</w:t>
      </w:r>
      <w:r w:rsidR="00E01735" w:rsidRPr="00465FCE">
        <w:t>,</w:t>
      </w:r>
      <w:r w:rsidR="00E01735">
        <w:t xml:space="preserve"> -</w:t>
      </w:r>
      <w:r w:rsidR="00465FCE" w:rsidRPr="00465FCE">
        <w:t xml:space="preserve"> </w:t>
      </w:r>
      <w:r w:rsidR="00D1763A">
        <w:t xml:space="preserve">  </w:t>
      </w:r>
      <w:r>
        <w:t>Kč</w:t>
      </w:r>
    </w:p>
    <w:p w14:paraId="68981B31" w14:textId="56030381" w:rsidR="00D7379C" w:rsidRDefault="00D7379C" w:rsidP="008D15FE">
      <w:pPr>
        <w:spacing w:after="0" w:line="276" w:lineRule="auto"/>
        <w:ind w:left="284"/>
        <w:jc w:val="both"/>
      </w:pPr>
      <w:r>
        <w:t xml:space="preserve">DPH </w:t>
      </w:r>
      <w:r w:rsidR="002A52A7">
        <w:t>21 %</w:t>
      </w:r>
      <w:r w:rsidR="00F278CE">
        <w:t>:</w:t>
      </w:r>
      <w:r w:rsidR="00F278CE">
        <w:tab/>
      </w:r>
      <w:r w:rsidR="00F278CE">
        <w:tab/>
      </w:r>
      <w:r w:rsidR="00F278CE">
        <w:tab/>
      </w:r>
      <w:r w:rsidR="00F278CE">
        <w:tab/>
      </w:r>
      <w:r w:rsidR="00F278CE">
        <w:tab/>
      </w:r>
      <w:r w:rsidR="00F278CE">
        <w:tab/>
      </w:r>
      <w:r w:rsidR="002A52A7">
        <w:tab/>
      </w:r>
      <w:r w:rsidR="00716B15">
        <w:tab/>
      </w:r>
      <w:r w:rsidR="00064F3C">
        <w:tab/>
        <w:t xml:space="preserve">         </w:t>
      </w:r>
      <w:r w:rsidR="00D1763A">
        <w:t xml:space="preserve">  </w:t>
      </w:r>
      <w:r w:rsidR="00D1763A" w:rsidRPr="00D1763A">
        <w:t>2</w:t>
      </w:r>
      <w:r w:rsidR="00D1763A">
        <w:t>.</w:t>
      </w:r>
      <w:r w:rsidR="00D1763A" w:rsidRPr="00D1763A">
        <w:t>016</w:t>
      </w:r>
      <w:r w:rsidR="00D1763A">
        <w:t>.</w:t>
      </w:r>
      <w:r w:rsidR="00D1763A" w:rsidRPr="00D1763A">
        <w:t>383,16</w:t>
      </w:r>
      <w:r w:rsidR="00D1763A">
        <w:t xml:space="preserve"> </w:t>
      </w:r>
      <w:r>
        <w:t>Kč</w:t>
      </w:r>
    </w:p>
    <w:p w14:paraId="2E582582" w14:textId="28396B78" w:rsidR="00D7379C" w:rsidRDefault="008A2D8A" w:rsidP="008D15FE">
      <w:pPr>
        <w:spacing w:after="0" w:line="276" w:lineRule="auto"/>
        <w:ind w:left="284"/>
        <w:jc w:val="both"/>
      </w:pPr>
      <w:r>
        <w:t>c</w:t>
      </w:r>
      <w:r w:rsidR="00D7379C">
        <w:t xml:space="preserve">ena celkem včetně DPH: </w:t>
      </w:r>
      <w:r w:rsidR="00F278CE">
        <w:tab/>
      </w:r>
      <w:r w:rsidR="00F278CE">
        <w:tab/>
      </w:r>
      <w:r w:rsidR="00F278CE">
        <w:tab/>
      </w:r>
      <w:r w:rsidR="00716B15">
        <w:tab/>
      </w:r>
      <w:r w:rsidR="00064F3C">
        <w:tab/>
      </w:r>
      <w:r w:rsidR="00064F3C">
        <w:tab/>
        <w:t xml:space="preserve">         </w:t>
      </w:r>
      <w:r w:rsidR="00E01735">
        <w:tab/>
        <w:t xml:space="preserve">         </w:t>
      </w:r>
      <w:r w:rsidR="00D1763A" w:rsidRPr="00D1763A">
        <w:t>11</w:t>
      </w:r>
      <w:r w:rsidR="00D1763A">
        <w:t>.</w:t>
      </w:r>
      <w:r w:rsidR="00D1763A" w:rsidRPr="00D1763A">
        <w:t>618</w:t>
      </w:r>
      <w:r w:rsidR="00D1763A">
        <w:t>.</w:t>
      </w:r>
      <w:r w:rsidR="00D1763A" w:rsidRPr="00D1763A">
        <w:t>207,16</w:t>
      </w:r>
      <w:r w:rsidR="00465FCE" w:rsidRPr="00465FCE">
        <w:t xml:space="preserve"> </w:t>
      </w:r>
      <w:r w:rsidR="00D7379C">
        <w:t>Kč</w:t>
      </w:r>
    </w:p>
    <w:p w14:paraId="06A3A5A0" w14:textId="77777777" w:rsidR="004A7499" w:rsidRDefault="004A7499" w:rsidP="00D27A12">
      <w:pPr>
        <w:spacing w:after="0" w:line="276" w:lineRule="auto"/>
        <w:jc w:val="center"/>
        <w:rPr>
          <w:b/>
        </w:rPr>
      </w:pPr>
    </w:p>
    <w:p w14:paraId="4F15A3D8" w14:textId="77777777" w:rsidR="004A7499" w:rsidRPr="00834E04" w:rsidRDefault="004A7499" w:rsidP="00D27A12">
      <w:pPr>
        <w:spacing w:after="0" w:line="276" w:lineRule="auto"/>
        <w:jc w:val="center"/>
        <w:rPr>
          <w:b/>
        </w:rPr>
      </w:pPr>
      <w:r>
        <w:rPr>
          <w:b/>
        </w:rPr>
        <w:t xml:space="preserve">Článek </w:t>
      </w:r>
      <w:r w:rsidR="0092346A">
        <w:rPr>
          <w:b/>
        </w:rPr>
        <w:t>I</w:t>
      </w:r>
      <w:r>
        <w:rPr>
          <w:b/>
        </w:rPr>
        <w:t>V.</w:t>
      </w:r>
    </w:p>
    <w:p w14:paraId="0C3B8291" w14:textId="77777777" w:rsidR="00834E04" w:rsidRDefault="00834E04" w:rsidP="00D27A12">
      <w:pPr>
        <w:spacing w:after="120" w:line="276" w:lineRule="auto"/>
        <w:jc w:val="center"/>
      </w:pPr>
      <w:r w:rsidRPr="00834E04">
        <w:rPr>
          <w:b/>
        </w:rPr>
        <w:t>Závěrečná ustanovení</w:t>
      </w:r>
    </w:p>
    <w:p w14:paraId="620CBA22" w14:textId="77777777" w:rsidR="00834E04" w:rsidRPr="00834E04" w:rsidRDefault="00CC42BA" w:rsidP="00D27A12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U</w:t>
      </w:r>
      <w:r w:rsidR="00834E04" w:rsidRPr="00834E04">
        <w:rPr>
          <w:rFonts w:cs="Times New Roman"/>
        </w:rPr>
        <w:t xml:space="preserve">stanovení </w:t>
      </w:r>
      <w:r w:rsidR="00834E04">
        <w:rPr>
          <w:rFonts w:cs="Times New Roman"/>
        </w:rPr>
        <w:t>S</w:t>
      </w:r>
      <w:r w:rsidR="00834E04" w:rsidRPr="00834E04">
        <w:rPr>
          <w:rFonts w:cs="Times New Roman"/>
        </w:rPr>
        <w:t xml:space="preserve">mlouvy </w:t>
      </w:r>
      <w:r>
        <w:rPr>
          <w:rFonts w:cs="Times New Roman"/>
        </w:rPr>
        <w:t>tímto Dodatkem č. 1 nedo</w:t>
      </w:r>
      <w:r w:rsidR="00075099">
        <w:rPr>
          <w:rFonts w:cs="Times New Roman"/>
        </w:rPr>
        <w:t>t</w:t>
      </w:r>
      <w:r>
        <w:rPr>
          <w:rFonts w:cs="Times New Roman"/>
        </w:rPr>
        <w:t>čen</w:t>
      </w:r>
      <w:r w:rsidR="00075099">
        <w:rPr>
          <w:rFonts w:cs="Times New Roman"/>
        </w:rPr>
        <w:t>á</w:t>
      </w:r>
      <w:r>
        <w:rPr>
          <w:rFonts w:cs="Times New Roman"/>
        </w:rPr>
        <w:t xml:space="preserve"> zůstávají nadále v platnosti</w:t>
      </w:r>
      <w:r w:rsidR="00834E04" w:rsidRPr="00834E04">
        <w:rPr>
          <w:rFonts w:cs="Times New Roman"/>
        </w:rPr>
        <w:t>.</w:t>
      </w:r>
      <w:r w:rsidR="00EB37D4">
        <w:rPr>
          <w:rFonts w:cs="Times New Roman"/>
        </w:rPr>
        <w:t xml:space="preserve"> V případě rozporu mezi Smlouvou a tímto Dodatkem č. </w:t>
      </w:r>
      <w:r w:rsidR="0092346A">
        <w:rPr>
          <w:rFonts w:cs="Times New Roman"/>
        </w:rPr>
        <w:t>1</w:t>
      </w:r>
      <w:r w:rsidR="00EB37D4">
        <w:rPr>
          <w:rFonts w:cs="Times New Roman"/>
        </w:rPr>
        <w:t xml:space="preserve"> mají přednost ustanovení Dodatku č. </w:t>
      </w:r>
      <w:r w:rsidR="0092346A">
        <w:rPr>
          <w:rFonts w:cs="Times New Roman"/>
        </w:rPr>
        <w:t>1</w:t>
      </w:r>
      <w:r w:rsidR="00EB37D4">
        <w:rPr>
          <w:rFonts w:cs="Times New Roman"/>
        </w:rPr>
        <w:t>.</w:t>
      </w:r>
    </w:p>
    <w:p w14:paraId="1D4D92CE" w14:textId="6A1D30D7" w:rsidR="00834E04" w:rsidRPr="00834E04" w:rsidRDefault="00834E04" w:rsidP="00D27A12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834E04">
        <w:rPr>
          <w:rFonts w:cs="Times New Roman"/>
        </w:rPr>
        <w:t xml:space="preserve">Tento Dodatek </w:t>
      </w:r>
      <w:r>
        <w:rPr>
          <w:rFonts w:cs="Times New Roman"/>
        </w:rPr>
        <w:t xml:space="preserve">č. </w:t>
      </w:r>
      <w:r w:rsidR="0092346A">
        <w:rPr>
          <w:rFonts w:cs="Times New Roman"/>
        </w:rPr>
        <w:t>1</w:t>
      </w:r>
      <w:r>
        <w:rPr>
          <w:rFonts w:cs="Times New Roman"/>
        </w:rPr>
        <w:t xml:space="preserve"> </w:t>
      </w:r>
      <w:r w:rsidRPr="00834E04">
        <w:rPr>
          <w:rFonts w:cs="Times New Roman"/>
        </w:rPr>
        <w:t>nabývá platnosti dnem podpisu smluvními stranami</w:t>
      </w:r>
      <w:r>
        <w:rPr>
          <w:rFonts w:cs="Times New Roman"/>
        </w:rPr>
        <w:t xml:space="preserve"> a účinnosti</w:t>
      </w:r>
      <w:r w:rsidRPr="00834E04">
        <w:rPr>
          <w:rFonts w:cs="Times New Roman"/>
        </w:rPr>
        <w:t xml:space="preserve"> dnem jeho uveřejnění v registru smluv podle zákona č. 340/2015 Sb., zákon o zvláštních podmínkách účinnosti některých smluv, uveřejňování těchto smluv a registru smluv (zákon o registru smluv), ve znějí </w:t>
      </w:r>
      <w:r w:rsidRPr="00834E04">
        <w:rPr>
          <w:rFonts w:cs="Times New Roman"/>
        </w:rPr>
        <w:lastRenderedPageBreak/>
        <w:t>pozdějších předpisů. Objednatel zajistí uveřejnění celého textu Dodatku</w:t>
      </w:r>
      <w:r>
        <w:rPr>
          <w:rFonts w:cs="Times New Roman"/>
        </w:rPr>
        <w:t xml:space="preserve"> č. </w:t>
      </w:r>
      <w:r w:rsidR="0092346A">
        <w:rPr>
          <w:rFonts w:cs="Times New Roman"/>
        </w:rPr>
        <w:t>1</w:t>
      </w:r>
      <w:r w:rsidRPr="00834E04">
        <w:rPr>
          <w:rFonts w:cs="Times New Roman"/>
        </w:rPr>
        <w:t xml:space="preserve">, vyjma osobních údajů a metadat v registru smluv, včetně případných oprav uveřejnění s tím, že nezajistí-li Objednatel uveřejnění Dodatku </w:t>
      </w:r>
      <w:r>
        <w:rPr>
          <w:rFonts w:cs="Times New Roman"/>
        </w:rPr>
        <w:t xml:space="preserve">č. </w:t>
      </w:r>
      <w:r w:rsidR="0092346A">
        <w:rPr>
          <w:rFonts w:cs="Times New Roman"/>
        </w:rPr>
        <w:t>1</w:t>
      </w:r>
      <w:r>
        <w:rPr>
          <w:rFonts w:cs="Times New Roman"/>
        </w:rPr>
        <w:t xml:space="preserve"> </w:t>
      </w:r>
      <w:r w:rsidRPr="00834E04">
        <w:rPr>
          <w:rFonts w:cs="Times New Roman"/>
        </w:rPr>
        <w:t>nebo metadat v regist</w:t>
      </w:r>
      <w:r>
        <w:rPr>
          <w:rFonts w:cs="Times New Roman"/>
        </w:rPr>
        <w:t>ru smluv do 30 dnů od uzavření</w:t>
      </w:r>
      <w:r w:rsidRPr="00834E04">
        <w:rPr>
          <w:rFonts w:cs="Times New Roman"/>
        </w:rPr>
        <w:t xml:space="preserve">, pak je oprávněn zajistit jejich uveřejnění </w:t>
      </w:r>
      <w:r w:rsidR="00930F8D">
        <w:rPr>
          <w:rFonts w:cs="Times New Roman"/>
        </w:rPr>
        <w:t>Poskytovatel</w:t>
      </w:r>
      <w:r w:rsidRPr="00834E04">
        <w:rPr>
          <w:rFonts w:cs="Times New Roman"/>
        </w:rPr>
        <w:t xml:space="preserve"> ve lhůtě tří měsíců od nabytí platnosti Dodatku</w:t>
      </w:r>
      <w:r>
        <w:rPr>
          <w:rFonts w:cs="Times New Roman"/>
        </w:rPr>
        <w:t xml:space="preserve"> č. </w:t>
      </w:r>
      <w:r w:rsidR="0092346A">
        <w:rPr>
          <w:rFonts w:cs="Times New Roman"/>
        </w:rPr>
        <w:t>1</w:t>
      </w:r>
      <w:r w:rsidRPr="00834E04">
        <w:rPr>
          <w:rFonts w:cs="Times New Roman"/>
        </w:rPr>
        <w:t xml:space="preserve">. </w:t>
      </w:r>
      <w:r w:rsidR="00930F8D">
        <w:rPr>
          <w:rFonts w:cs="Times New Roman"/>
        </w:rPr>
        <w:t>Poskytovatel</w:t>
      </w:r>
      <w:r w:rsidRPr="00834E04">
        <w:rPr>
          <w:rFonts w:cs="Times New Roman"/>
        </w:rPr>
        <w:t xml:space="preserve"> bere na vědomí, že Dodatek </w:t>
      </w:r>
      <w:r>
        <w:rPr>
          <w:rFonts w:cs="Times New Roman"/>
        </w:rPr>
        <w:t xml:space="preserve">č. </w:t>
      </w:r>
      <w:r w:rsidR="0092346A">
        <w:rPr>
          <w:rFonts w:cs="Times New Roman"/>
        </w:rPr>
        <w:t>1</w:t>
      </w:r>
      <w:r>
        <w:rPr>
          <w:rFonts w:cs="Times New Roman"/>
        </w:rPr>
        <w:t xml:space="preserve"> </w:t>
      </w:r>
      <w:r w:rsidRPr="00834E04">
        <w:rPr>
          <w:rFonts w:cs="Times New Roman"/>
        </w:rPr>
        <w:t>může být uveřejněn též na stránkách Objednatele.</w:t>
      </w:r>
    </w:p>
    <w:p w14:paraId="4405A441" w14:textId="77777777" w:rsidR="00834E04" w:rsidRDefault="00834E04" w:rsidP="00D27A12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834E04">
        <w:rPr>
          <w:rFonts w:cs="Times New Roman"/>
        </w:rPr>
        <w:t xml:space="preserve">Tento Dodatek </w:t>
      </w:r>
      <w:r>
        <w:rPr>
          <w:rFonts w:cs="Times New Roman"/>
        </w:rPr>
        <w:t xml:space="preserve">č. </w:t>
      </w:r>
      <w:r w:rsidR="0092346A">
        <w:rPr>
          <w:rFonts w:cs="Times New Roman"/>
        </w:rPr>
        <w:t>1</w:t>
      </w:r>
      <w:r>
        <w:rPr>
          <w:rFonts w:cs="Times New Roman"/>
        </w:rPr>
        <w:t xml:space="preserve"> </w:t>
      </w:r>
      <w:r w:rsidRPr="00834E04">
        <w:rPr>
          <w:rFonts w:cs="Times New Roman"/>
        </w:rPr>
        <w:t xml:space="preserve">je vyhotoven </w:t>
      </w:r>
      <w:r>
        <w:rPr>
          <w:rFonts w:cs="Times New Roman"/>
        </w:rPr>
        <w:t xml:space="preserve">v elektronické podobě. </w:t>
      </w:r>
    </w:p>
    <w:p w14:paraId="277B2D07" w14:textId="77777777" w:rsidR="00CC42BA" w:rsidRDefault="00CC42BA" w:rsidP="00D27A12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Tento Dodatek č. </w:t>
      </w:r>
      <w:r w:rsidR="0092346A">
        <w:rPr>
          <w:rFonts w:cs="Times New Roman"/>
        </w:rPr>
        <w:t>1</w:t>
      </w:r>
      <w:r>
        <w:rPr>
          <w:rFonts w:cs="Times New Roman"/>
        </w:rPr>
        <w:t xml:space="preserve"> je nedílnou součástí Smlouvy.</w:t>
      </w:r>
    </w:p>
    <w:p w14:paraId="3B7B3019" w14:textId="77777777" w:rsidR="00CC42BA" w:rsidRDefault="00CC42BA" w:rsidP="00D27A12">
      <w:pPr>
        <w:spacing w:after="120" w:line="276" w:lineRule="auto"/>
        <w:jc w:val="both"/>
        <w:rPr>
          <w:rFonts w:cs="Times New Roman"/>
        </w:rPr>
      </w:pPr>
    </w:p>
    <w:p w14:paraId="7FF0FEA7" w14:textId="5B92EE81" w:rsidR="00CC42BA" w:rsidRDefault="00CC42BA" w:rsidP="00D27A12">
      <w:pPr>
        <w:spacing w:after="120" w:line="276" w:lineRule="auto"/>
        <w:jc w:val="both"/>
        <w:rPr>
          <w:rFonts w:cs="Times New Roman"/>
        </w:rPr>
      </w:pPr>
      <w:r w:rsidRPr="00CF5F27">
        <w:rPr>
          <w:rFonts w:cs="Times New Roman"/>
        </w:rPr>
        <w:t>Příloha č. 1</w:t>
      </w:r>
      <w:r w:rsidR="00716B15">
        <w:rPr>
          <w:rFonts w:cs="Times New Roman"/>
        </w:rPr>
        <w:t xml:space="preserve"> </w:t>
      </w:r>
      <w:r w:rsidRPr="00CF5F27">
        <w:rPr>
          <w:rFonts w:cs="Times New Roman"/>
        </w:rPr>
        <w:t>–</w:t>
      </w:r>
      <w:r w:rsidR="00742A2C" w:rsidRPr="00CF5F27">
        <w:rPr>
          <w:rFonts w:cs="Times New Roman"/>
        </w:rPr>
        <w:t xml:space="preserve"> </w:t>
      </w:r>
      <w:r w:rsidR="00E01735">
        <w:rPr>
          <w:rFonts w:cs="Times New Roman"/>
        </w:rPr>
        <w:t xml:space="preserve">nabídka </w:t>
      </w:r>
      <w:r w:rsidR="00930F8D">
        <w:rPr>
          <w:rFonts w:cs="Times New Roman"/>
        </w:rPr>
        <w:t>Poskytovatel</w:t>
      </w:r>
      <w:r w:rsidR="00C54160">
        <w:rPr>
          <w:rFonts w:cs="Times New Roman"/>
        </w:rPr>
        <w:t>e</w:t>
      </w:r>
      <w:r w:rsidR="00742A2C" w:rsidRPr="00CF5F27">
        <w:rPr>
          <w:rFonts w:cs="Times New Roman"/>
        </w:rPr>
        <w:t xml:space="preserve"> </w:t>
      </w:r>
    </w:p>
    <w:p w14:paraId="7E101F39" w14:textId="77777777" w:rsidR="00834E04" w:rsidRDefault="00834E04" w:rsidP="00D27A12">
      <w:pPr>
        <w:spacing w:after="120" w:line="276" w:lineRule="auto"/>
        <w:jc w:val="both"/>
      </w:pPr>
    </w:p>
    <w:p w14:paraId="4B8ABC4D" w14:textId="77777777" w:rsidR="0092346A" w:rsidRDefault="0092346A" w:rsidP="00D27A12">
      <w:pPr>
        <w:spacing w:after="120" w:line="276" w:lineRule="auto"/>
        <w:jc w:val="both"/>
      </w:pPr>
    </w:p>
    <w:p w14:paraId="2466B3B6" w14:textId="4CF8649A" w:rsidR="0092346A" w:rsidRPr="0092346A" w:rsidRDefault="0092346A" w:rsidP="0092346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245"/>
        </w:tabs>
        <w:spacing w:after="200" w:line="240" w:lineRule="auto"/>
        <w:ind w:left="113" w:right="-20"/>
        <w:rPr>
          <w:rFonts w:ascii="Calibri" w:eastAsia="Times New Roman" w:hAnsi="Calibri" w:cs="Calibri"/>
          <w:color w:val="000000"/>
          <w:u w:color="000000"/>
          <w:bdr w:val="nil"/>
        </w:rPr>
      </w:pPr>
      <w:r w:rsidRPr="0092346A">
        <w:rPr>
          <w:rFonts w:ascii="Calibri" w:eastAsia="Times New Roman" w:hAnsi="Calibri" w:cs="Calibri"/>
          <w:color w:val="000000"/>
          <w:u w:color="000000"/>
          <w:bdr w:val="nil"/>
        </w:rPr>
        <w:t>V </w:t>
      </w:r>
      <w:r w:rsidR="00C54160">
        <w:rPr>
          <w:rFonts w:ascii="Calibri" w:eastAsia="Times New Roman" w:hAnsi="Calibri" w:cs="Calibri"/>
          <w:color w:val="000000"/>
          <w:u w:color="000000"/>
          <w:bdr w:val="nil"/>
        </w:rPr>
        <w:t>Praze</w:t>
      </w:r>
      <w:r w:rsidRPr="0092346A">
        <w:rPr>
          <w:rFonts w:ascii="Calibri" w:eastAsia="Times New Roman" w:hAnsi="Calibri" w:cs="Calibri"/>
          <w:color w:val="000000"/>
          <w:u w:color="000000"/>
          <w:bdr w:val="nil"/>
        </w:rPr>
        <w:t xml:space="preserve"> dne </w:t>
      </w:r>
      <w:r w:rsidR="008F5E6C">
        <w:rPr>
          <w:rFonts w:ascii="Calibri" w:eastAsia="Times New Roman" w:hAnsi="Calibri" w:cs="Calibri"/>
          <w:color w:val="000000"/>
          <w:u w:color="000000"/>
          <w:bdr w:val="nil"/>
        </w:rPr>
        <w:t>12.11.2024</w:t>
      </w:r>
      <w:r w:rsidRPr="0092346A">
        <w:rPr>
          <w:rFonts w:ascii="Calibri" w:eastAsia="Times New Roman" w:hAnsi="Calibri" w:cs="Calibri"/>
          <w:color w:val="000000"/>
          <w:u w:color="000000"/>
          <w:bdr w:val="nil"/>
        </w:rPr>
        <w:tab/>
      </w:r>
      <w:r>
        <w:rPr>
          <w:rFonts w:ascii="Calibri" w:eastAsia="Times New Roman" w:hAnsi="Calibri" w:cs="Calibri"/>
          <w:color w:val="000000"/>
          <w:u w:color="000000"/>
          <w:bdr w:val="nil"/>
        </w:rPr>
        <w:t xml:space="preserve">     </w:t>
      </w:r>
      <w:r w:rsidRPr="0092346A">
        <w:rPr>
          <w:rFonts w:ascii="Calibri" w:eastAsia="Times New Roman" w:hAnsi="Calibri" w:cs="Calibri"/>
          <w:color w:val="000000"/>
          <w:u w:color="000000"/>
          <w:bdr w:val="nil"/>
        </w:rPr>
        <w:t>V </w:t>
      </w:r>
      <w:r w:rsidRPr="0092346A">
        <w:rPr>
          <w:rFonts w:ascii="Calibri" w:eastAsia="Times New Roman" w:hAnsi="Calibri" w:cs="Calibri"/>
          <w:color w:val="000000"/>
          <w:spacing w:val="1"/>
          <w:u w:color="000000"/>
          <w:bdr w:val="nil"/>
        </w:rPr>
        <w:t>P</w:t>
      </w:r>
      <w:r w:rsidRPr="0092346A">
        <w:rPr>
          <w:rFonts w:ascii="Calibri" w:eastAsia="Times New Roman" w:hAnsi="Calibri" w:cs="Calibri"/>
          <w:color w:val="000000"/>
          <w:spacing w:val="-1"/>
          <w:u w:color="000000"/>
          <w:bdr w:val="nil"/>
        </w:rPr>
        <w:t>ra</w:t>
      </w:r>
      <w:r w:rsidRPr="0092346A">
        <w:rPr>
          <w:rFonts w:ascii="Calibri" w:eastAsia="Times New Roman" w:hAnsi="Calibri" w:cs="Calibri"/>
          <w:color w:val="000000"/>
          <w:spacing w:val="1"/>
          <w:u w:color="000000"/>
          <w:bdr w:val="nil"/>
        </w:rPr>
        <w:t>z</w:t>
      </w:r>
      <w:r w:rsidRPr="0092346A">
        <w:rPr>
          <w:rFonts w:ascii="Calibri" w:eastAsia="Times New Roman" w:hAnsi="Calibri" w:cs="Calibri"/>
          <w:color w:val="000000"/>
          <w:u w:color="000000"/>
          <w:bdr w:val="nil"/>
        </w:rPr>
        <w:t xml:space="preserve">e dne </w:t>
      </w:r>
      <w:r w:rsidR="008F5E6C">
        <w:rPr>
          <w:rFonts w:ascii="Calibri" w:eastAsia="Times New Roman" w:hAnsi="Calibri" w:cs="Calibri"/>
          <w:color w:val="000000"/>
          <w:u w:color="000000"/>
          <w:bdr w:val="nil"/>
        </w:rPr>
        <w:t>11.11.2024</w:t>
      </w:r>
    </w:p>
    <w:tbl>
      <w:tblPr>
        <w:tblW w:w="9654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8"/>
        <w:gridCol w:w="4280"/>
        <w:gridCol w:w="559"/>
        <w:gridCol w:w="264"/>
        <w:gridCol w:w="3565"/>
        <w:gridCol w:w="878"/>
      </w:tblGrid>
      <w:tr w:rsidR="0092346A" w:rsidRPr="002F605A" w14:paraId="705C87A3" w14:textId="77777777" w:rsidTr="0092346A">
        <w:trPr>
          <w:gridBefore w:val="1"/>
          <w:wBefore w:w="108" w:type="dxa"/>
          <w:trHeight w:val="1490"/>
          <w:jc w:val="center"/>
        </w:trPr>
        <w:tc>
          <w:tcPr>
            <w:tcW w:w="4839" w:type="dxa"/>
            <w:gridSpan w:val="2"/>
          </w:tcPr>
          <w:p w14:paraId="13090983" w14:textId="77777777" w:rsidR="0092346A" w:rsidRPr="002F605A" w:rsidRDefault="0092346A" w:rsidP="00BB3209">
            <w:pPr>
              <w:rPr>
                <w:rFonts w:ascii="Calibri" w:hAnsi="Calibri" w:cs="Calibri"/>
              </w:rPr>
            </w:pPr>
          </w:p>
          <w:p w14:paraId="5CBEA980" w14:textId="77777777" w:rsidR="0092346A" w:rsidRPr="002F605A" w:rsidRDefault="0092346A" w:rsidP="00BB3209">
            <w:pPr>
              <w:rPr>
                <w:rFonts w:ascii="Calibri" w:hAnsi="Calibri" w:cs="Calibri"/>
              </w:rPr>
            </w:pPr>
          </w:p>
          <w:p w14:paraId="19797536" w14:textId="77777777" w:rsidR="0092346A" w:rsidRPr="002F605A" w:rsidRDefault="0092346A" w:rsidP="00BB3209">
            <w:pPr>
              <w:rPr>
                <w:rFonts w:ascii="Calibri" w:hAnsi="Calibri" w:cs="Calibri"/>
              </w:rPr>
            </w:pPr>
          </w:p>
          <w:p w14:paraId="639246B2" w14:textId="77777777" w:rsidR="0092346A" w:rsidRPr="002F605A" w:rsidRDefault="0092346A" w:rsidP="00BB3209">
            <w:pPr>
              <w:jc w:val="center"/>
              <w:rPr>
                <w:rFonts w:ascii="Calibri" w:hAnsi="Calibri" w:cs="Calibri"/>
              </w:rPr>
            </w:pPr>
            <w:r w:rsidRPr="002F605A">
              <w:rPr>
                <w:rFonts w:ascii="Calibri" w:hAnsi="Calibri" w:cs="Calibri"/>
              </w:rPr>
              <w:t>__________________________</w:t>
            </w:r>
          </w:p>
          <w:p w14:paraId="7C1CB530" w14:textId="2DC68B2E" w:rsidR="00E01735" w:rsidRPr="00E01735" w:rsidRDefault="0092346A" w:rsidP="00E01735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</w:t>
            </w:r>
            <w:r w:rsidR="00C54160">
              <w:rPr>
                <w:rFonts w:ascii="Calibri" w:hAnsi="Calibri" w:cs="Calibri"/>
              </w:rPr>
              <w:t>Mgr. Petr Symerský</w:t>
            </w:r>
          </w:p>
          <w:p w14:paraId="3FFA3B97" w14:textId="59E4EE13" w:rsidR="0092346A" w:rsidRPr="002F605A" w:rsidRDefault="00C54160" w:rsidP="00E01735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</w:t>
            </w:r>
            <w:r w:rsidR="00E01735" w:rsidRPr="00E01735">
              <w:rPr>
                <w:rFonts w:ascii="Calibri" w:hAnsi="Calibri" w:cs="Calibri"/>
              </w:rPr>
              <w:t xml:space="preserve">ředitel </w:t>
            </w:r>
            <w:r>
              <w:rPr>
                <w:rFonts w:ascii="Calibri" w:hAnsi="Calibri" w:cs="Calibri"/>
              </w:rPr>
              <w:t>odboru</w:t>
            </w:r>
            <w:r w:rsidR="00E01735" w:rsidRPr="00E01735">
              <w:rPr>
                <w:rFonts w:ascii="Calibri" w:hAnsi="Calibri" w:cs="Calibri"/>
              </w:rPr>
              <w:t xml:space="preserve"> informatiky</w:t>
            </w:r>
          </w:p>
        </w:tc>
        <w:tc>
          <w:tcPr>
            <w:tcW w:w="264" w:type="dxa"/>
          </w:tcPr>
          <w:p w14:paraId="7DCCE98B" w14:textId="77777777" w:rsidR="0092346A" w:rsidRPr="002F605A" w:rsidRDefault="0092346A" w:rsidP="00BB3209">
            <w:pPr>
              <w:rPr>
                <w:rFonts w:ascii="Calibri" w:hAnsi="Calibri" w:cs="Calibri"/>
              </w:rPr>
            </w:pPr>
          </w:p>
          <w:p w14:paraId="39286398" w14:textId="77777777" w:rsidR="0092346A" w:rsidRPr="002F605A" w:rsidRDefault="0092346A" w:rsidP="00BB3209">
            <w:pPr>
              <w:rPr>
                <w:rFonts w:ascii="Calibri" w:hAnsi="Calibri" w:cs="Calibri"/>
              </w:rPr>
            </w:pPr>
          </w:p>
        </w:tc>
        <w:tc>
          <w:tcPr>
            <w:tcW w:w="4443" w:type="dxa"/>
            <w:gridSpan w:val="2"/>
          </w:tcPr>
          <w:p w14:paraId="5D819FD9" w14:textId="77777777" w:rsidR="0092346A" w:rsidRDefault="0092346A" w:rsidP="00BB3209">
            <w:pPr>
              <w:rPr>
                <w:rFonts w:ascii="Calibri" w:hAnsi="Calibri" w:cs="Calibri"/>
              </w:rPr>
            </w:pPr>
            <w:r w:rsidRPr="002F605A">
              <w:rPr>
                <w:rFonts w:ascii="Calibri" w:hAnsi="Calibri" w:cs="Calibri"/>
              </w:rPr>
              <w:t xml:space="preserve"> </w:t>
            </w:r>
          </w:p>
          <w:p w14:paraId="50DE3BAC" w14:textId="77777777" w:rsidR="0092346A" w:rsidRPr="002F605A" w:rsidRDefault="0092346A" w:rsidP="00BB3209">
            <w:pPr>
              <w:rPr>
                <w:rFonts w:ascii="Calibri" w:hAnsi="Calibri" w:cs="Calibri"/>
              </w:rPr>
            </w:pPr>
          </w:p>
          <w:p w14:paraId="78A40847" w14:textId="77777777" w:rsidR="0092346A" w:rsidRPr="002F605A" w:rsidRDefault="0092346A" w:rsidP="00BB3209">
            <w:pPr>
              <w:rPr>
                <w:rFonts w:ascii="Calibri" w:hAnsi="Calibri" w:cs="Calibri"/>
              </w:rPr>
            </w:pPr>
          </w:p>
          <w:p w14:paraId="47DE80FB" w14:textId="77777777" w:rsidR="0092346A" w:rsidRPr="002F605A" w:rsidRDefault="0092346A" w:rsidP="00BB3209">
            <w:pPr>
              <w:jc w:val="center"/>
              <w:rPr>
                <w:rFonts w:ascii="Calibri" w:hAnsi="Calibri" w:cs="Calibri"/>
              </w:rPr>
            </w:pPr>
            <w:r w:rsidRPr="002F605A">
              <w:rPr>
                <w:rFonts w:ascii="Calibri" w:hAnsi="Calibri" w:cs="Calibri"/>
              </w:rPr>
              <w:t>__________________________</w:t>
            </w:r>
          </w:p>
          <w:p w14:paraId="2371DA99" w14:textId="69EDC66D" w:rsidR="00E01735" w:rsidRPr="00E01735" w:rsidRDefault="00C54160" w:rsidP="00E01735">
            <w:pPr>
              <w:tabs>
                <w:tab w:val="left" w:pos="870"/>
              </w:tabs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Ing. Pavel Pikhart</w:t>
            </w:r>
          </w:p>
          <w:p w14:paraId="0D4021C7" w14:textId="30B9867F" w:rsidR="0092346A" w:rsidRPr="002F605A" w:rsidRDefault="00C54160" w:rsidP="00E0173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jednatel</w:t>
            </w:r>
          </w:p>
        </w:tc>
      </w:tr>
      <w:tr w:rsidR="0092346A" w14:paraId="28E7EE80" w14:textId="77777777" w:rsidTr="0092346A">
        <w:tblPrEx>
          <w:jc w:val="left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78" w:type="dxa"/>
          <w:trHeight w:val="244"/>
        </w:trPr>
        <w:tc>
          <w:tcPr>
            <w:tcW w:w="4388" w:type="dxa"/>
            <w:gridSpan w:val="2"/>
          </w:tcPr>
          <w:p w14:paraId="28CC68D5" w14:textId="77777777" w:rsidR="0092346A" w:rsidRPr="00C910EA" w:rsidRDefault="0092346A" w:rsidP="0092346A"/>
        </w:tc>
        <w:tc>
          <w:tcPr>
            <w:tcW w:w="4388" w:type="dxa"/>
            <w:gridSpan w:val="3"/>
          </w:tcPr>
          <w:p w14:paraId="44DE8D85" w14:textId="77777777" w:rsidR="0092346A" w:rsidRPr="00C910EA" w:rsidRDefault="0092346A" w:rsidP="0092346A"/>
        </w:tc>
      </w:tr>
    </w:tbl>
    <w:p w14:paraId="64B56D67" w14:textId="77777777" w:rsidR="00834E04" w:rsidRPr="000B3C29" w:rsidRDefault="00834E04" w:rsidP="00D27A12">
      <w:pPr>
        <w:tabs>
          <w:tab w:val="left" w:pos="7152"/>
        </w:tabs>
        <w:spacing w:line="276" w:lineRule="auto"/>
      </w:pPr>
    </w:p>
    <w:sectPr w:rsidR="00834E04" w:rsidRPr="000B3C29" w:rsidSect="003C532B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E5F85" w14:textId="77777777" w:rsidR="003A23F1" w:rsidRDefault="003A23F1" w:rsidP="006A16F1">
      <w:pPr>
        <w:spacing w:after="0" w:line="240" w:lineRule="auto"/>
      </w:pPr>
      <w:r>
        <w:separator/>
      </w:r>
    </w:p>
  </w:endnote>
  <w:endnote w:type="continuationSeparator" w:id="0">
    <w:p w14:paraId="0F267E06" w14:textId="77777777" w:rsidR="003A23F1" w:rsidRDefault="003A23F1" w:rsidP="006A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C04A1" w14:textId="77777777" w:rsidR="003A23F1" w:rsidRDefault="003A23F1" w:rsidP="006A16F1">
      <w:pPr>
        <w:spacing w:after="0" w:line="240" w:lineRule="auto"/>
      </w:pPr>
      <w:r>
        <w:separator/>
      </w:r>
    </w:p>
  </w:footnote>
  <w:footnote w:type="continuationSeparator" w:id="0">
    <w:p w14:paraId="5FE74961" w14:textId="77777777" w:rsidR="003A23F1" w:rsidRDefault="003A23F1" w:rsidP="006A1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310A0" w14:textId="221A4F66" w:rsidR="00DE0312" w:rsidRDefault="00DE031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64C2A3" wp14:editId="6B730A2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325370" cy="357505"/>
              <wp:effectExtent l="0" t="0" r="0" b="4445"/>
              <wp:wrapNone/>
              <wp:docPr id="854513737" name="Textové pole 2" descr="MŠMT | TLP – GREEN: 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53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2CCF6" w14:textId="4A5DDBD3" w:rsidR="00DE0312" w:rsidRPr="00DE0312" w:rsidRDefault="00DE0312" w:rsidP="00DE03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E031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MŠMT | TLP – GREEN: 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4C2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MŠMT | TLP – GREEN: Interní informace" style="position:absolute;margin-left:131.9pt;margin-top:0;width:183.1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562CCF6" w14:textId="4A5DDBD3" w:rsidR="00DE0312" w:rsidRPr="00DE0312" w:rsidRDefault="00DE0312" w:rsidP="00DE03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E0312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MŠMT | TLP – GREEN: 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C16CF" w14:textId="27698B95" w:rsidR="00DE0312" w:rsidRDefault="00DE031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1CA81A" wp14:editId="0512750D">
              <wp:simplePos x="900430" y="450215"/>
              <wp:positionH relativeFrom="page">
                <wp:align>right</wp:align>
              </wp:positionH>
              <wp:positionV relativeFrom="page">
                <wp:align>top</wp:align>
              </wp:positionV>
              <wp:extent cx="2325370" cy="357505"/>
              <wp:effectExtent l="0" t="0" r="0" b="4445"/>
              <wp:wrapNone/>
              <wp:docPr id="372015518" name="Textové pole 3" descr="MŠMT | TLP – GREEN: 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53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5FF45" w14:textId="347E9E2F" w:rsidR="00DE0312" w:rsidRPr="00DE0312" w:rsidRDefault="00DE0312" w:rsidP="00DE03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E031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MŠMT | TLP – GREEN: 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CA81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MŠMT | TLP – GREEN: Interní informace" style="position:absolute;margin-left:131.9pt;margin-top:0;width:183.1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0AE5FF45" w14:textId="347E9E2F" w:rsidR="00DE0312" w:rsidRPr="00DE0312" w:rsidRDefault="00DE0312" w:rsidP="00DE03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E0312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MŠMT | TLP – GREEN: 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93478" w14:textId="3BF00AF9" w:rsidR="00DE0312" w:rsidRDefault="00DE031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E1CA0D" wp14:editId="6D142B4A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2325370" cy="357505"/>
              <wp:effectExtent l="0" t="0" r="0" b="4445"/>
              <wp:wrapNone/>
              <wp:docPr id="1472544409" name="Textové pole 1" descr="MŠMT | TLP – GREEN: 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53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44A01" w14:textId="5FF7E7F8" w:rsidR="00DE0312" w:rsidRPr="00DE0312" w:rsidRDefault="00DE0312" w:rsidP="00DE03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E031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MŠMT | TLP – GREEN: 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1CA0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MŠMT | TLP – GREEN: Interní informace" style="position:absolute;margin-left:131.9pt;margin-top:0;width:183.1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5BE44A01" w14:textId="5FF7E7F8" w:rsidR="00DE0312" w:rsidRPr="00DE0312" w:rsidRDefault="00DE0312" w:rsidP="00DE03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E0312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MŠMT | TLP – GREEN: 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20B3D"/>
    <w:multiLevelType w:val="hybridMultilevel"/>
    <w:tmpl w:val="8342044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F3B0F89"/>
    <w:multiLevelType w:val="hybridMultilevel"/>
    <w:tmpl w:val="36304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5DEC"/>
    <w:multiLevelType w:val="hybridMultilevel"/>
    <w:tmpl w:val="A0066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26A15"/>
    <w:multiLevelType w:val="hybridMultilevel"/>
    <w:tmpl w:val="5C56D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33062"/>
    <w:multiLevelType w:val="hybridMultilevel"/>
    <w:tmpl w:val="B218BDBC"/>
    <w:lvl w:ilvl="0" w:tplc="2B6AF5F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43AD6"/>
    <w:multiLevelType w:val="hybridMultilevel"/>
    <w:tmpl w:val="B63ED80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DC86512"/>
    <w:multiLevelType w:val="hybridMultilevel"/>
    <w:tmpl w:val="805E239A"/>
    <w:lvl w:ilvl="0" w:tplc="528EAC72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0B93962"/>
    <w:multiLevelType w:val="hybridMultilevel"/>
    <w:tmpl w:val="531CB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F2430"/>
    <w:multiLevelType w:val="hybridMultilevel"/>
    <w:tmpl w:val="1B6C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66EE7"/>
    <w:multiLevelType w:val="hybridMultilevel"/>
    <w:tmpl w:val="ED009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173F7"/>
    <w:multiLevelType w:val="hybridMultilevel"/>
    <w:tmpl w:val="B53069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074E2"/>
    <w:multiLevelType w:val="hybridMultilevel"/>
    <w:tmpl w:val="AE7420A0"/>
    <w:lvl w:ilvl="0" w:tplc="120A45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A3B1ACA"/>
    <w:multiLevelType w:val="hybridMultilevel"/>
    <w:tmpl w:val="FA24D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D161C"/>
    <w:multiLevelType w:val="hybridMultilevel"/>
    <w:tmpl w:val="AE58D7B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06224EE"/>
    <w:multiLevelType w:val="hybridMultilevel"/>
    <w:tmpl w:val="0F020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861C4"/>
    <w:multiLevelType w:val="hybridMultilevel"/>
    <w:tmpl w:val="5C56D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82317">
    <w:abstractNumId w:val="8"/>
  </w:num>
  <w:num w:numId="2" w16cid:durableId="899441934">
    <w:abstractNumId w:val="14"/>
  </w:num>
  <w:num w:numId="3" w16cid:durableId="768309128">
    <w:abstractNumId w:val="2"/>
  </w:num>
  <w:num w:numId="4" w16cid:durableId="474446178">
    <w:abstractNumId w:val="1"/>
  </w:num>
  <w:num w:numId="5" w16cid:durableId="456992282">
    <w:abstractNumId w:val="13"/>
  </w:num>
  <w:num w:numId="6" w16cid:durableId="826630931">
    <w:abstractNumId w:val="12"/>
  </w:num>
  <w:num w:numId="7" w16cid:durableId="114564613">
    <w:abstractNumId w:val="4"/>
  </w:num>
  <w:num w:numId="8" w16cid:durableId="72364430">
    <w:abstractNumId w:val="7"/>
  </w:num>
  <w:num w:numId="9" w16cid:durableId="1029257450">
    <w:abstractNumId w:val="11"/>
  </w:num>
  <w:num w:numId="10" w16cid:durableId="94835259">
    <w:abstractNumId w:val="15"/>
  </w:num>
  <w:num w:numId="11" w16cid:durableId="803889554">
    <w:abstractNumId w:val="3"/>
  </w:num>
  <w:num w:numId="12" w16cid:durableId="825165750">
    <w:abstractNumId w:val="9"/>
  </w:num>
  <w:num w:numId="13" w16cid:durableId="1106005186">
    <w:abstractNumId w:val="10"/>
  </w:num>
  <w:num w:numId="14" w16cid:durableId="283123428">
    <w:abstractNumId w:val="5"/>
  </w:num>
  <w:num w:numId="15" w16cid:durableId="550851206">
    <w:abstractNumId w:val="6"/>
  </w:num>
  <w:num w:numId="16" w16cid:durableId="36255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F1"/>
    <w:rsid w:val="00064F3C"/>
    <w:rsid w:val="00064F82"/>
    <w:rsid w:val="00075099"/>
    <w:rsid w:val="000B3BC2"/>
    <w:rsid w:val="000B3C29"/>
    <w:rsid w:val="000C225A"/>
    <w:rsid w:val="00104F34"/>
    <w:rsid w:val="00123F13"/>
    <w:rsid w:val="00174BEC"/>
    <w:rsid w:val="001F14F8"/>
    <w:rsid w:val="00210108"/>
    <w:rsid w:val="00283274"/>
    <w:rsid w:val="002A52A7"/>
    <w:rsid w:val="00366F80"/>
    <w:rsid w:val="003A23F1"/>
    <w:rsid w:val="003C532B"/>
    <w:rsid w:val="004236C8"/>
    <w:rsid w:val="0045321C"/>
    <w:rsid w:val="00461233"/>
    <w:rsid w:val="00465FCE"/>
    <w:rsid w:val="004768DD"/>
    <w:rsid w:val="0048128C"/>
    <w:rsid w:val="004A7499"/>
    <w:rsid w:val="004E6691"/>
    <w:rsid w:val="005161EB"/>
    <w:rsid w:val="00564487"/>
    <w:rsid w:val="0057442F"/>
    <w:rsid w:val="005C5DB7"/>
    <w:rsid w:val="005F2DA8"/>
    <w:rsid w:val="005F5769"/>
    <w:rsid w:val="00617ADE"/>
    <w:rsid w:val="00656347"/>
    <w:rsid w:val="00672991"/>
    <w:rsid w:val="006960F9"/>
    <w:rsid w:val="006A16F1"/>
    <w:rsid w:val="006D522F"/>
    <w:rsid w:val="006E442C"/>
    <w:rsid w:val="006F2779"/>
    <w:rsid w:val="006F75AC"/>
    <w:rsid w:val="00716B15"/>
    <w:rsid w:val="007302DC"/>
    <w:rsid w:val="00742A2C"/>
    <w:rsid w:val="00750B59"/>
    <w:rsid w:val="007A167B"/>
    <w:rsid w:val="007C02B8"/>
    <w:rsid w:val="007C753F"/>
    <w:rsid w:val="007E227B"/>
    <w:rsid w:val="007F12D7"/>
    <w:rsid w:val="007F2FF8"/>
    <w:rsid w:val="00801B81"/>
    <w:rsid w:val="00806CD4"/>
    <w:rsid w:val="00826E34"/>
    <w:rsid w:val="00834E04"/>
    <w:rsid w:val="00877136"/>
    <w:rsid w:val="008A2D8A"/>
    <w:rsid w:val="008B4ECD"/>
    <w:rsid w:val="008D15FE"/>
    <w:rsid w:val="008F5E6C"/>
    <w:rsid w:val="0092346A"/>
    <w:rsid w:val="00930F8D"/>
    <w:rsid w:val="00985C84"/>
    <w:rsid w:val="009C58BF"/>
    <w:rsid w:val="00A20786"/>
    <w:rsid w:val="00A27C77"/>
    <w:rsid w:val="00AB49F6"/>
    <w:rsid w:val="00AC4876"/>
    <w:rsid w:val="00AC4C2E"/>
    <w:rsid w:val="00B25FD3"/>
    <w:rsid w:val="00B4063C"/>
    <w:rsid w:val="00B93F65"/>
    <w:rsid w:val="00BA3220"/>
    <w:rsid w:val="00C54160"/>
    <w:rsid w:val="00CB037F"/>
    <w:rsid w:val="00CC42BA"/>
    <w:rsid w:val="00CC7BEC"/>
    <w:rsid w:val="00CF5F27"/>
    <w:rsid w:val="00D12431"/>
    <w:rsid w:val="00D1262F"/>
    <w:rsid w:val="00D1763A"/>
    <w:rsid w:val="00D23805"/>
    <w:rsid w:val="00D27A12"/>
    <w:rsid w:val="00D3497A"/>
    <w:rsid w:val="00D40D69"/>
    <w:rsid w:val="00D7379C"/>
    <w:rsid w:val="00D83F90"/>
    <w:rsid w:val="00DA2E8B"/>
    <w:rsid w:val="00DD2AE0"/>
    <w:rsid w:val="00DE0312"/>
    <w:rsid w:val="00DF2214"/>
    <w:rsid w:val="00E01735"/>
    <w:rsid w:val="00E136E0"/>
    <w:rsid w:val="00EB23E9"/>
    <w:rsid w:val="00EB37D4"/>
    <w:rsid w:val="00ED0AA3"/>
    <w:rsid w:val="00F278CE"/>
    <w:rsid w:val="00F525EA"/>
    <w:rsid w:val="00F86BC6"/>
    <w:rsid w:val="00FC0B91"/>
    <w:rsid w:val="00FE5538"/>
    <w:rsid w:val="00F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239A7"/>
  <w15:chartTrackingRefBased/>
  <w15:docId w15:val="{8F930892-5669-408C-AEF8-21EA3817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A16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A1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16F1"/>
  </w:style>
  <w:style w:type="paragraph" w:styleId="Zpat">
    <w:name w:val="footer"/>
    <w:basedOn w:val="Normln"/>
    <w:link w:val="ZpatChar"/>
    <w:uiPriority w:val="99"/>
    <w:unhideWhenUsed/>
    <w:rsid w:val="006A1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16F1"/>
  </w:style>
  <w:style w:type="paragraph" w:styleId="Odstavecseseznamem">
    <w:name w:val="List Paragraph"/>
    <w:basedOn w:val="Normln"/>
    <w:uiPriority w:val="34"/>
    <w:qFormat/>
    <w:rsid w:val="007C75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3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7D4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15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15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D1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655</Words>
  <Characters>3866</Characters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2019-03-28T08:17:00Z</cp:lastPrinted>
  <dcterms:created xsi:type="dcterms:W3CDTF">2024-09-16T13:31:00Z</dcterms:created>
  <dcterms:modified xsi:type="dcterms:W3CDTF">2024-11-18T14:18:00Z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57c53e99,32eed849,162c819e</vt:lpwstr>
  </property>
  <property fmtid="{D5CDD505-2E9C-101B-9397-08002B2CF9AE}" pid="3" name="ClassificationContentMarkingHeaderFontProps">
    <vt:lpwstr>#008000,10,Calibri</vt:lpwstr>
  </property>
  <property fmtid="{D5CDD505-2E9C-101B-9397-08002B2CF9AE}" pid="4" name="ClassificationContentMarkingHeaderText">
    <vt:lpwstr>MŠMT | TLP – GREEN: Interní informace</vt:lpwstr>
  </property>
  <property fmtid="{D5CDD505-2E9C-101B-9397-08002B2CF9AE}" pid="5" name="MSIP_Label_8b280936-108d-46e2-97c7-cb9578d83a8b_Enabled">
    <vt:lpwstr>true</vt:lpwstr>
  </property>
  <property fmtid="{D5CDD505-2E9C-101B-9397-08002B2CF9AE}" pid="6" name="MSIP_Label_8b280936-108d-46e2-97c7-cb9578d83a8b_SetDate">
    <vt:lpwstr>2024-10-30T06:06:35Z</vt:lpwstr>
  </property>
  <property fmtid="{D5CDD505-2E9C-101B-9397-08002B2CF9AE}" pid="7" name="MSIP_Label_8b280936-108d-46e2-97c7-cb9578d83a8b_Method">
    <vt:lpwstr>Privileged</vt:lpwstr>
  </property>
  <property fmtid="{D5CDD505-2E9C-101B-9397-08002B2CF9AE}" pid="8" name="MSIP_Label_8b280936-108d-46e2-97c7-cb9578d83a8b_Name">
    <vt:lpwstr>TLP - GREEN</vt:lpwstr>
  </property>
  <property fmtid="{D5CDD505-2E9C-101B-9397-08002B2CF9AE}" pid="9" name="MSIP_Label_8b280936-108d-46e2-97c7-cb9578d83a8b_SiteId">
    <vt:lpwstr>ec5f7ed7-e9d9-4a0c-9748-78ccdbe055f1</vt:lpwstr>
  </property>
  <property fmtid="{D5CDD505-2E9C-101B-9397-08002B2CF9AE}" pid="10" name="MSIP_Label_8b280936-108d-46e2-97c7-cb9578d83a8b_ActionId">
    <vt:lpwstr>a707eab3-43ef-46ec-b1ad-1907f6e49be9</vt:lpwstr>
  </property>
  <property fmtid="{D5CDD505-2E9C-101B-9397-08002B2CF9AE}" pid="11" name="MSIP_Label_8b280936-108d-46e2-97c7-cb9578d83a8b_ContentBits">
    <vt:lpwstr>1</vt:lpwstr>
  </property>
</Properties>
</file>