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3B1A" w14:textId="6A9E3E26" w:rsidR="00573536" w:rsidRPr="00ED6435" w:rsidRDefault="00573536" w:rsidP="00573536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0C468D">
        <w:rPr>
          <w:rFonts w:ascii="Arial" w:hAnsi="Arial"/>
          <w:szCs w:val="22"/>
        </w:rPr>
        <w:t>2</w:t>
      </w:r>
    </w:p>
    <w:p w14:paraId="18E317E3" w14:textId="261C1F65" w:rsidR="00573536" w:rsidRDefault="00573536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smlouvy o dílo č.: 1208-2023-521101 ze dne </w:t>
      </w:r>
      <w:r w:rsidR="00E605B5">
        <w:rPr>
          <w:rFonts w:cs="Arial"/>
          <w:sz w:val="22"/>
        </w:rPr>
        <w:t>26</w:t>
      </w:r>
      <w:r>
        <w:rPr>
          <w:rFonts w:cs="Arial"/>
          <w:sz w:val="22"/>
        </w:rPr>
        <w:t>. 10. 2023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5B1815DD" w14:textId="77777777" w:rsidR="00573536" w:rsidRDefault="00573536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B871BEE" w14:textId="1FD022E4" w:rsidR="00E0086F" w:rsidRDefault="00573536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8F521D">
        <w:rPr>
          <w:rFonts w:cs="Arial"/>
          <w:b/>
          <w:bCs/>
          <w:sz w:val="22"/>
        </w:rPr>
        <w:t xml:space="preserve">Komplexní pozemkové úpravy v k.ú. </w:t>
      </w:r>
      <w:r w:rsidR="00E605B5">
        <w:rPr>
          <w:rFonts w:cs="Arial"/>
          <w:b/>
          <w:bCs/>
          <w:sz w:val="22"/>
        </w:rPr>
        <w:t>Nemile</w:t>
      </w:r>
    </w:p>
    <w:p w14:paraId="71E85662" w14:textId="77777777" w:rsidR="00E605B5" w:rsidRPr="00ED6435" w:rsidRDefault="00E605B5" w:rsidP="0057353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939C5C6" w14:textId="4E3E968E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Romanou Svobodovou,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8C58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+420 602 585 690, +420 721 238 380</w:t>
      </w:r>
    </w:p>
    <w:p w14:paraId="073F5E87" w14:textId="3AD8CE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0CD8">
        <w:rPr>
          <w:rFonts w:ascii="Arial" w:hAnsi="Arial" w:cs="Arial"/>
          <w:snapToGrid w:val="0"/>
        </w:rPr>
        <w:t>sumperk</w:t>
      </w:r>
      <w:r w:rsidR="00CC64C2">
        <w:rPr>
          <w:rFonts w:ascii="Arial" w:hAnsi="Arial" w:cs="Arial"/>
          <w:snapToGrid w:val="0"/>
        </w:rPr>
        <w:t>.pk@spucr.cz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A6F7DA2" w:rsidR="00E0086F" w:rsidRPr="00ED6435" w:rsidRDefault="00C02C69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„ORIS“ spol. s r.o.</w:t>
      </w:r>
    </w:p>
    <w:p w14:paraId="32BEDF50" w14:textId="00B5D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C02C69">
        <w:rPr>
          <w:rFonts w:ascii="Arial" w:hAnsi="Arial" w:cs="Arial"/>
          <w:bCs/>
        </w:rPr>
        <w:t>Mišákova</w:t>
      </w:r>
      <w:r w:rsidR="00570C6A">
        <w:rPr>
          <w:rFonts w:ascii="Arial" w:hAnsi="Arial" w:cs="Arial"/>
          <w:bCs/>
        </w:rPr>
        <w:t> </w:t>
      </w:r>
      <w:r w:rsidR="00C02C69">
        <w:rPr>
          <w:rFonts w:ascii="Arial" w:hAnsi="Arial" w:cs="Arial"/>
          <w:bCs/>
        </w:rPr>
        <w:t>280/44, 779 00 Olomouc</w:t>
      </w:r>
      <w:r w:rsidRPr="00ED6435">
        <w:rPr>
          <w:rFonts w:ascii="Arial" w:hAnsi="Arial" w:cs="Arial"/>
          <w:snapToGrid w:val="0"/>
        </w:rPr>
        <w:t xml:space="preserve">, IČO: </w:t>
      </w:r>
      <w:r w:rsidR="00C02C69">
        <w:rPr>
          <w:rFonts w:ascii="Arial" w:hAnsi="Arial" w:cs="Arial"/>
          <w:snapToGrid w:val="0"/>
        </w:rPr>
        <w:t>4276</w:t>
      </w:r>
      <w:r w:rsidR="00884CAC">
        <w:rPr>
          <w:rFonts w:ascii="Arial" w:hAnsi="Arial" w:cs="Arial"/>
          <w:snapToGrid w:val="0"/>
        </w:rPr>
        <w:t>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570C6A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 w:rsidR="00570C6A"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, oddíl </w:t>
      </w:r>
      <w:r w:rsidR="00570C6A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570C6A">
        <w:rPr>
          <w:rFonts w:ascii="Arial" w:hAnsi="Arial" w:cs="Arial"/>
          <w:snapToGrid w:val="0"/>
        </w:rPr>
        <w:t>1988</w:t>
      </w:r>
    </w:p>
    <w:p w14:paraId="5F89DDB9" w14:textId="3AD763E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8342B0">
        <w:rPr>
          <w:rFonts w:ascii="Arial" w:hAnsi="Arial" w:cs="Arial"/>
          <w:snapToGrid w:val="0"/>
        </w:rPr>
        <w:t xml:space="preserve"> </w:t>
      </w:r>
      <w:r w:rsidR="007200C7">
        <w:rPr>
          <w:rFonts w:ascii="Arial" w:hAnsi="Arial" w:cs="Arial"/>
          <w:snapToGrid w:val="0"/>
        </w:rPr>
        <w:t>Petrem Machalou</w:t>
      </w:r>
      <w:r w:rsidR="008342B0">
        <w:rPr>
          <w:rFonts w:ascii="Arial" w:hAnsi="Arial" w:cs="Arial"/>
          <w:snapToGrid w:val="0"/>
        </w:rPr>
        <w:t>, jednatel</w:t>
      </w:r>
      <w:r w:rsidR="007200C7">
        <w:rPr>
          <w:rFonts w:ascii="Arial" w:hAnsi="Arial" w:cs="Arial"/>
          <w:snapToGrid w:val="0"/>
        </w:rPr>
        <w:t>em</w:t>
      </w:r>
      <w:r w:rsidR="008342B0">
        <w:rPr>
          <w:rFonts w:ascii="Arial" w:hAnsi="Arial" w:cs="Arial"/>
          <w:snapToGrid w:val="0"/>
        </w:rPr>
        <w:t xml:space="preserve"> společnosti</w:t>
      </w:r>
    </w:p>
    <w:p w14:paraId="470BDDFE" w14:textId="2056510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7200C7">
        <w:rPr>
          <w:rFonts w:ascii="Arial" w:hAnsi="Arial" w:cs="Arial"/>
          <w:snapToGrid w:val="0"/>
        </w:rPr>
        <w:t>Petrem Machalou</w:t>
      </w:r>
      <w:r w:rsidR="008342B0">
        <w:rPr>
          <w:rFonts w:ascii="Arial" w:hAnsi="Arial" w:cs="Arial"/>
          <w:snapToGrid w:val="0"/>
        </w:rPr>
        <w:t>, jednatel</w:t>
      </w:r>
      <w:r w:rsidR="007200C7">
        <w:rPr>
          <w:rFonts w:ascii="Arial" w:hAnsi="Arial" w:cs="Arial"/>
          <w:snapToGrid w:val="0"/>
        </w:rPr>
        <w:t>em</w:t>
      </w:r>
      <w:r w:rsidR="008342B0">
        <w:rPr>
          <w:rFonts w:ascii="Arial" w:hAnsi="Arial" w:cs="Arial"/>
          <w:snapToGrid w:val="0"/>
        </w:rPr>
        <w:t xml:space="preserve"> společnosti</w:t>
      </w:r>
    </w:p>
    <w:p w14:paraId="2D5046AC" w14:textId="33757967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06CD4">
        <w:rPr>
          <w:rFonts w:ascii="Arial" w:hAnsi="Arial" w:cs="Arial"/>
        </w:rPr>
        <w:t xml:space="preserve">xxxxx </w:t>
      </w:r>
      <w:r w:rsidR="00EE5BF3">
        <w:rPr>
          <w:rFonts w:ascii="Arial" w:hAnsi="Arial" w:cs="Arial"/>
          <w:snapToGrid w:val="0"/>
        </w:rPr>
        <w:t xml:space="preserve">a </w:t>
      </w:r>
      <w:r w:rsidR="00C06CD4">
        <w:rPr>
          <w:rFonts w:ascii="Arial" w:hAnsi="Arial" w:cs="Arial"/>
          <w:snapToGrid w:val="0"/>
        </w:rPr>
        <w:t>xxxxx</w:t>
      </w:r>
    </w:p>
    <w:p w14:paraId="3126207A" w14:textId="665FAE2D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C06CD4">
        <w:rPr>
          <w:rFonts w:ascii="Arial" w:hAnsi="Arial" w:cs="Arial"/>
          <w:snapToGrid w:val="0"/>
        </w:rPr>
        <w:t>xxxxx</w:t>
      </w:r>
    </w:p>
    <w:p w14:paraId="435AB933" w14:textId="091E86BF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C06CD4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4B6CEE1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06CD4">
        <w:rPr>
          <w:rFonts w:ascii="Arial" w:hAnsi="Arial" w:cs="Arial"/>
        </w:rPr>
        <w:t>xxxxx</w:t>
      </w:r>
    </w:p>
    <w:p w14:paraId="3A61A83D" w14:textId="32F38F3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42B0">
        <w:rPr>
          <w:rFonts w:ascii="Arial" w:hAnsi="Arial" w:cs="Arial"/>
          <w:snapToGrid w:val="0"/>
        </w:rPr>
        <w:t xml:space="preserve"> </w:t>
      </w:r>
      <w:r w:rsidR="00C06CD4">
        <w:rPr>
          <w:rFonts w:ascii="Arial" w:hAnsi="Arial" w:cs="Arial"/>
          <w:snapToGrid w:val="0"/>
        </w:rPr>
        <w:t>xxxxx</w:t>
      </w:r>
    </w:p>
    <w:p w14:paraId="4F80076C" w14:textId="0EFEC6B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E5362">
        <w:rPr>
          <w:rFonts w:ascii="Arial" w:hAnsi="Arial" w:cs="Arial"/>
          <w:snapToGrid w:val="0"/>
        </w:rPr>
        <w:t>8dsrqkn</w:t>
      </w:r>
    </w:p>
    <w:p w14:paraId="7DA99D36" w14:textId="5713C97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E5362">
        <w:rPr>
          <w:rFonts w:ascii="Arial" w:hAnsi="Arial" w:cs="Arial"/>
          <w:snapToGrid w:val="0"/>
        </w:rPr>
        <w:t>Raiffaisen BANK-Olomouc</w:t>
      </w:r>
    </w:p>
    <w:p w14:paraId="6F011ECB" w14:textId="6843779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352AAF">
        <w:rPr>
          <w:rFonts w:ascii="Arial" w:hAnsi="Arial" w:cs="Arial"/>
          <w:snapToGrid w:val="0"/>
        </w:rPr>
        <w:t>1025500073-5500</w:t>
      </w:r>
    </w:p>
    <w:p w14:paraId="19074D75" w14:textId="39B836F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352AAF">
        <w:rPr>
          <w:rFonts w:ascii="Arial" w:hAnsi="Arial" w:cs="Arial"/>
          <w:snapToGrid w:val="0"/>
        </w:rPr>
        <w:t>CZ42767661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A2FC324" w14:textId="3DEBA416" w:rsidR="00CC00D5" w:rsidRDefault="00CC00D5" w:rsidP="00CC00D5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04868">
        <w:rPr>
          <w:rFonts w:ascii="Arial" w:hAnsi="Arial" w:cs="Arial"/>
          <w:b/>
          <w:bCs/>
          <w:snapToGrid w:val="0"/>
        </w:rPr>
        <w:t>2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39691AEC" w14:textId="77777777" w:rsidR="008E3F28" w:rsidRDefault="008E3F28" w:rsidP="00CC00D5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56B9CE33" w14:textId="77777777" w:rsidR="00532547" w:rsidRPr="00D425E1" w:rsidRDefault="00532547" w:rsidP="00532547">
      <w:pPr>
        <w:spacing w:after="0"/>
        <w:ind w:left="567"/>
        <w:jc w:val="center"/>
        <w:rPr>
          <w:rFonts w:ascii="Arial" w:hAnsi="Arial" w:cs="Arial"/>
          <w:b/>
          <w:bCs/>
        </w:rPr>
      </w:pPr>
      <w:r w:rsidRPr="00D425E1">
        <w:rPr>
          <w:rFonts w:ascii="Arial" w:hAnsi="Arial" w:cs="Arial"/>
          <w:b/>
          <w:bCs/>
        </w:rPr>
        <w:t>Čl. I.</w:t>
      </w:r>
    </w:p>
    <w:p w14:paraId="31285079" w14:textId="77777777" w:rsidR="00532547" w:rsidRPr="00ED6435" w:rsidRDefault="00532547" w:rsidP="00532547">
      <w:pPr>
        <w:pStyle w:val="Level1"/>
        <w:keepNext w:val="0"/>
        <w:numPr>
          <w:ilvl w:val="0"/>
          <w:numId w:val="0"/>
        </w:numPr>
        <w:spacing w:before="120" w:line="240" w:lineRule="auto"/>
        <w:ind w:left="567"/>
        <w:jc w:val="center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>
        <w:rPr>
          <w:rFonts w:ascii="Arial" w:hAnsi="Arial" w:cs="Arial"/>
          <w:szCs w:val="22"/>
        </w:rPr>
        <w:t>dodatku</w:t>
      </w:r>
    </w:p>
    <w:p w14:paraId="72A3F28B" w14:textId="77777777" w:rsidR="00532547" w:rsidRDefault="00532547" w:rsidP="00E54D9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ED6435">
        <w:rPr>
          <w:rFonts w:ascii="Arial" w:hAnsi="Arial" w:cs="Arial"/>
          <w:szCs w:val="22"/>
        </w:rPr>
        <w:t>Předmětem t</w:t>
      </w:r>
      <w:r>
        <w:rPr>
          <w:rFonts w:ascii="Arial" w:hAnsi="Arial" w:cs="Arial"/>
          <w:szCs w:val="22"/>
        </w:rPr>
        <w:t xml:space="preserve">ohoto dodatku je </w:t>
      </w:r>
      <w:r w:rsidRPr="003C1079">
        <w:rPr>
          <w:rFonts w:ascii="Arial" w:hAnsi="Arial" w:cs="Arial"/>
          <w:b/>
          <w:bCs/>
          <w:szCs w:val="22"/>
        </w:rPr>
        <w:t>navýšení jednotkových položkových cen</w:t>
      </w:r>
      <w:r>
        <w:rPr>
          <w:rFonts w:ascii="Arial" w:hAnsi="Arial" w:cs="Arial"/>
          <w:szCs w:val="22"/>
        </w:rPr>
        <w:t xml:space="preserve"> (měrných jednotek), a to v souladu s Čl. 3 Cena díla, bodem 3.6 Smlouvy, za použití ročního indexu průměrné meziroční míry inflace vyjádřené </w:t>
      </w:r>
      <w:r w:rsidRPr="003F7EDA">
        <w:rPr>
          <w:rFonts w:ascii="Arial" w:hAnsi="Arial" w:cs="Arial"/>
          <w:szCs w:val="22"/>
        </w:rPr>
        <w:t xml:space="preserve">přírůstkem průměrného ročního indexu spotřebitelských cen uveřejňovaného Českým statistickým úřadem pro </w:t>
      </w:r>
      <w:r>
        <w:rPr>
          <w:rFonts w:ascii="Arial" w:hAnsi="Arial" w:cs="Arial"/>
          <w:szCs w:val="22"/>
        </w:rPr>
        <w:t xml:space="preserve">ty </w:t>
      </w:r>
      <w:r w:rsidRPr="003F7EDA">
        <w:rPr>
          <w:rFonts w:ascii="Arial" w:hAnsi="Arial" w:cs="Arial"/>
          <w:szCs w:val="22"/>
        </w:rPr>
        <w:t>části díla, které dosud nebyly provedeny a</w:t>
      </w:r>
      <w:r>
        <w:rPr>
          <w:rFonts w:ascii="Arial" w:hAnsi="Arial" w:cs="Arial"/>
          <w:szCs w:val="22"/>
        </w:rPr>
        <w:t> </w:t>
      </w:r>
      <w:r w:rsidRPr="003F7EDA">
        <w:rPr>
          <w:rFonts w:ascii="Arial" w:hAnsi="Arial" w:cs="Arial"/>
          <w:szCs w:val="22"/>
        </w:rPr>
        <w:t xml:space="preserve">s jejichž provedením není Zhotovitel v prodlení. </w:t>
      </w:r>
    </w:p>
    <w:p w14:paraId="169CAE5E" w14:textId="77777777" w:rsidR="00532547" w:rsidRDefault="00532547" w:rsidP="00E54D9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3F7EDA">
        <w:rPr>
          <w:rFonts w:ascii="Arial" w:hAnsi="Arial" w:cs="Arial"/>
          <w:szCs w:val="22"/>
        </w:rPr>
        <w:t xml:space="preserve">Zhotovitel je oprávněn požádat o navýšení jednotkových položkových cen (měrných jednotek), pokud průměrná roční míra inflace přesáhne 3 % za předchozí rok. Navýšení jednotkových položkových cen (měrných jednotek) provedené dle </w:t>
      </w:r>
      <w:r>
        <w:rPr>
          <w:rFonts w:ascii="Arial" w:hAnsi="Arial" w:cs="Arial"/>
          <w:szCs w:val="22"/>
        </w:rPr>
        <w:t>Č</w:t>
      </w:r>
      <w:r w:rsidRPr="003F7EDA">
        <w:rPr>
          <w:rFonts w:ascii="Arial" w:hAnsi="Arial" w:cs="Arial"/>
          <w:szCs w:val="22"/>
        </w:rPr>
        <w:t xml:space="preserve">l. 3.6 Smlouvy může v 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měsíců, činí 10,7 %. </w:t>
      </w:r>
    </w:p>
    <w:p w14:paraId="13DA06F8" w14:textId="2DE880FD" w:rsidR="00532547" w:rsidRDefault="00532547" w:rsidP="00E54D9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3F7EDA">
        <w:rPr>
          <w:rFonts w:ascii="Arial" w:hAnsi="Arial" w:cs="Arial"/>
          <w:szCs w:val="22"/>
        </w:rPr>
        <w:t xml:space="preserve">V souladu se smluvním ujednáním </w:t>
      </w:r>
      <w:r>
        <w:rPr>
          <w:rFonts w:ascii="Arial" w:hAnsi="Arial" w:cs="Arial"/>
          <w:szCs w:val="22"/>
        </w:rPr>
        <w:t xml:space="preserve">tímto </w:t>
      </w:r>
      <w:r w:rsidRPr="003F7EDA">
        <w:rPr>
          <w:rFonts w:ascii="Arial" w:hAnsi="Arial" w:cs="Arial"/>
          <w:szCs w:val="22"/>
        </w:rPr>
        <w:t xml:space="preserve">dochází </w:t>
      </w:r>
      <w:r w:rsidR="00546F07">
        <w:rPr>
          <w:rFonts w:ascii="Arial" w:hAnsi="Arial" w:cs="Arial"/>
          <w:szCs w:val="22"/>
        </w:rPr>
        <w:t>na žádost zhoto</w:t>
      </w:r>
      <w:r w:rsidR="00E06D75">
        <w:rPr>
          <w:rFonts w:ascii="Arial" w:hAnsi="Arial" w:cs="Arial"/>
          <w:szCs w:val="22"/>
        </w:rPr>
        <w:t xml:space="preserve">vitele </w:t>
      </w:r>
      <w:r w:rsidRPr="003F7EDA">
        <w:rPr>
          <w:rFonts w:ascii="Arial" w:hAnsi="Arial" w:cs="Arial"/>
          <w:szCs w:val="22"/>
        </w:rPr>
        <w:t xml:space="preserve">k navýšení jednotkových položkových cen (měrných jednotek) o 10 % u </w:t>
      </w:r>
      <w:r>
        <w:rPr>
          <w:rFonts w:ascii="Arial" w:hAnsi="Arial" w:cs="Arial"/>
          <w:szCs w:val="22"/>
        </w:rPr>
        <w:t>níže uvedených dílčích</w:t>
      </w:r>
      <w:r w:rsidRPr="003F7EDA">
        <w:rPr>
          <w:rFonts w:ascii="Arial" w:hAnsi="Arial" w:cs="Arial"/>
          <w:szCs w:val="22"/>
        </w:rPr>
        <w:t xml:space="preserve"> částí díla</w:t>
      </w:r>
      <w:r>
        <w:rPr>
          <w:rFonts w:ascii="Arial" w:hAnsi="Arial" w:cs="Arial"/>
          <w:szCs w:val="22"/>
        </w:rPr>
        <w:t xml:space="preserve">: 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1129"/>
        <w:gridCol w:w="7938"/>
      </w:tblGrid>
      <w:tr w:rsidR="00532547" w14:paraId="58B9D2A2" w14:textId="77777777" w:rsidTr="00923E81">
        <w:trPr>
          <w:trHeight w:val="916"/>
          <w:jc w:val="center"/>
        </w:trPr>
        <w:tc>
          <w:tcPr>
            <w:tcW w:w="1129" w:type="dxa"/>
          </w:tcPr>
          <w:p w14:paraId="2E4A2220" w14:textId="77777777" w:rsidR="00532547" w:rsidRDefault="00532547" w:rsidP="00923E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D0BEAC8" w14:textId="77777777" w:rsidR="00532547" w:rsidRPr="00673B80" w:rsidRDefault="00532547" w:rsidP="00923E81">
            <w:pPr>
              <w:rPr>
                <w:rFonts w:ascii="Arial" w:eastAsia="Arial" w:hAnsi="Arial" w:cs="Arial"/>
              </w:rPr>
            </w:pPr>
          </w:p>
          <w:p w14:paraId="7D3AED98" w14:textId="77777777" w:rsidR="00532547" w:rsidRPr="000C10D5" w:rsidRDefault="00532547" w:rsidP="00923E8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Dílčí část Hlavního celku</w:t>
            </w:r>
          </w:p>
        </w:tc>
      </w:tr>
      <w:tr w:rsidR="00532547" w14:paraId="6193C270" w14:textId="77777777" w:rsidTr="00923E81">
        <w:trPr>
          <w:jc w:val="center"/>
        </w:trPr>
        <w:tc>
          <w:tcPr>
            <w:tcW w:w="1129" w:type="dxa"/>
          </w:tcPr>
          <w:p w14:paraId="6BD278C6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6.2.4</w:t>
            </w:r>
          </w:p>
        </w:tc>
        <w:tc>
          <w:tcPr>
            <w:tcW w:w="7938" w:type="dxa"/>
          </w:tcPr>
          <w:p w14:paraId="047041AA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Zjišťování hranic obvodu KoPÚ, geometrické plány pro stanovení obvodu KoPÚ, předepsaná stabilizace dle vyhlášky č. 357/2013 Sb.</w:t>
            </w:r>
          </w:p>
        </w:tc>
      </w:tr>
      <w:tr w:rsidR="00532547" w14:paraId="5C8279C2" w14:textId="77777777" w:rsidTr="00923E81">
        <w:trPr>
          <w:jc w:val="center"/>
        </w:trPr>
        <w:tc>
          <w:tcPr>
            <w:tcW w:w="1129" w:type="dxa"/>
          </w:tcPr>
          <w:p w14:paraId="7C973EEA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6.2.5</w:t>
            </w:r>
          </w:p>
        </w:tc>
        <w:tc>
          <w:tcPr>
            <w:tcW w:w="7938" w:type="dxa"/>
          </w:tcPr>
          <w:p w14:paraId="51559D5A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Zjišťování hranic pozemků neřešených dle § 2 Zákona</w:t>
            </w:r>
          </w:p>
        </w:tc>
      </w:tr>
      <w:tr w:rsidR="00532547" w14:paraId="13463678" w14:textId="77777777" w:rsidTr="00923E81">
        <w:trPr>
          <w:jc w:val="center"/>
        </w:trPr>
        <w:tc>
          <w:tcPr>
            <w:tcW w:w="1129" w:type="dxa"/>
          </w:tcPr>
          <w:p w14:paraId="38BADFD8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6.2.7</w:t>
            </w:r>
          </w:p>
        </w:tc>
        <w:tc>
          <w:tcPr>
            <w:tcW w:w="7938" w:type="dxa"/>
          </w:tcPr>
          <w:p w14:paraId="742A3BD4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 xml:space="preserve">Rozbor současného stavu  </w:t>
            </w:r>
          </w:p>
        </w:tc>
      </w:tr>
      <w:tr w:rsidR="00532547" w14:paraId="0AB7D0AC" w14:textId="77777777" w:rsidTr="00923E81">
        <w:trPr>
          <w:jc w:val="center"/>
        </w:trPr>
        <w:tc>
          <w:tcPr>
            <w:tcW w:w="1129" w:type="dxa"/>
          </w:tcPr>
          <w:p w14:paraId="07A45637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6.2.8</w:t>
            </w:r>
          </w:p>
        </w:tc>
        <w:tc>
          <w:tcPr>
            <w:tcW w:w="7938" w:type="dxa"/>
          </w:tcPr>
          <w:p w14:paraId="468C2D6F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Dokumentace k soupisu nároků vlastníků pozemků</w:t>
            </w:r>
          </w:p>
        </w:tc>
      </w:tr>
      <w:tr w:rsidR="00532547" w14:paraId="0E086942" w14:textId="77777777" w:rsidTr="00923E81">
        <w:trPr>
          <w:jc w:val="center"/>
        </w:trPr>
        <w:tc>
          <w:tcPr>
            <w:tcW w:w="1129" w:type="dxa"/>
          </w:tcPr>
          <w:p w14:paraId="48CD05B0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</w:t>
            </w:r>
          </w:p>
        </w:tc>
        <w:tc>
          <w:tcPr>
            <w:tcW w:w="7938" w:type="dxa"/>
          </w:tcPr>
          <w:p w14:paraId="7C601B68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plánu společných zařízení ("PSZ")</w:t>
            </w:r>
          </w:p>
        </w:tc>
      </w:tr>
      <w:tr w:rsidR="00532547" w14:paraId="72EDF03A" w14:textId="77777777" w:rsidTr="00923E81">
        <w:trPr>
          <w:jc w:val="center"/>
        </w:trPr>
        <w:tc>
          <w:tcPr>
            <w:tcW w:w="1129" w:type="dxa"/>
          </w:tcPr>
          <w:p w14:paraId="73BAC1D8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a)</w:t>
            </w:r>
          </w:p>
        </w:tc>
        <w:tc>
          <w:tcPr>
            <w:tcW w:w="7938" w:type="dxa"/>
          </w:tcPr>
          <w:p w14:paraId="5EAB7680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Výškopisné zaměření zájmového území dle čl. 6.3.1 i) a) Smlouvy</w:t>
            </w:r>
          </w:p>
        </w:tc>
      </w:tr>
      <w:tr w:rsidR="00532547" w14:paraId="11DACDCF" w14:textId="77777777" w:rsidTr="00923E81">
        <w:trPr>
          <w:jc w:val="center"/>
        </w:trPr>
        <w:tc>
          <w:tcPr>
            <w:tcW w:w="1129" w:type="dxa"/>
          </w:tcPr>
          <w:p w14:paraId="2D25D835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b)</w:t>
            </w:r>
          </w:p>
        </w:tc>
        <w:tc>
          <w:tcPr>
            <w:tcW w:w="7938" w:type="dxa"/>
          </w:tcPr>
          <w:p w14:paraId="1FE43BE7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dopravních staveb PSZ pro stanovení plochy záboru půdy stavbami dle čl. 6.3.1 i) b) Smlouvy</w:t>
            </w:r>
          </w:p>
        </w:tc>
      </w:tr>
      <w:tr w:rsidR="00532547" w14:paraId="335CF9DE" w14:textId="77777777" w:rsidTr="00923E81">
        <w:trPr>
          <w:jc w:val="center"/>
        </w:trPr>
        <w:tc>
          <w:tcPr>
            <w:tcW w:w="1129" w:type="dxa"/>
          </w:tcPr>
          <w:p w14:paraId="12163D38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b)</w:t>
            </w:r>
          </w:p>
        </w:tc>
        <w:tc>
          <w:tcPr>
            <w:tcW w:w="7938" w:type="dxa"/>
          </w:tcPr>
          <w:p w14:paraId="7A37379A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liniových vodohospodářských a protierozních staveb PSZ pro stanovení plochy záboru půdy stavbami dle čl. 6.3.1 i) b) Smlouvy</w:t>
            </w:r>
          </w:p>
        </w:tc>
      </w:tr>
      <w:tr w:rsidR="00532547" w14:paraId="14C3A7A6" w14:textId="77777777" w:rsidTr="00923E81">
        <w:trPr>
          <w:jc w:val="center"/>
        </w:trPr>
        <w:tc>
          <w:tcPr>
            <w:tcW w:w="1129" w:type="dxa"/>
          </w:tcPr>
          <w:p w14:paraId="10EA9B48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6.3.1i)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c)</w:t>
            </w:r>
          </w:p>
        </w:tc>
        <w:tc>
          <w:tcPr>
            <w:tcW w:w="7938" w:type="dxa"/>
          </w:tcPr>
          <w:p w14:paraId="1353E6A3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DTR vodohospodářských staveb PSZ dle čl. 6.3.1 i) c) Smlouvy</w:t>
            </w:r>
          </w:p>
        </w:tc>
      </w:tr>
      <w:tr w:rsidR="00532547" w14:paraId="30577A00" w14:textId="77777777" w:rsidTr="00923E81">
        <w:trPr>
          <w:jc w:val="center"/>
        </w:trPr>
        <w:tc>
          <w:tcPr>
            <w:tcW w:w="1129" w:type="dxa"/>
          </w:tcPr>
          <w:p w14:paraId="31035A21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lastRenderedPageBreak/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i)</w:t>
            </w:r>
          </w:p>
        </w:tc>
        <w:tc>
          <w:tcPr>
            <w:tcW w:w="7938" w:type="dxa"/>
          </w:tcPr>
          <w:p w14:paraId="68A5811F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</w:tr>
      <w:tr w:rsidR="00532547" w14:paraId="4D355903" w14:textId="77777777" w:rsidTr="00923E81">
        <w:trPr>
          <w:jc w:val="center"/>
        </w:trPr>
        <w:tc>
          <w:tcPr>
            <w:tcW w:w="1129" w:type="dxa"/>
          </w:tcPr>
          <w:p w14:paraId="26F00F85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ii)</w:t>
            </w:r>
          </w:p>
        </w:tc>
        <w:tc>
          <w:tcPr>
            <w:tcW w:w="7938" w:type="dxa"/>
          </w:tcPr>
          <w:p w14:paraId="629019A9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do 50 ha</w:t>
            </w:r>
          </w:p>
        </w:tc>
      </w:tr>
      <w:tr w:rsidR="00532547" w14:paraId="4609A46A" w14:textId="77777777" w:rsidTr="00923E81">
        <w:trPr>
          <w:jc w:val="center"/>
        </w:trPr>
        <w:tc>
          <w:tcPr>
            <w:tcW w:w="1129" w:type="dxa"/>
          </w:tcPr>
          <w:p w14:paraId="12A4A228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6.3.2h)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0C10D5">
              <w:rPr>
                <w:rFonts w:ascii="Arial" w:eastAsia="Arial" w:hAnsi="Arial" w:cs="Arial"/>
                <w:sz w:val="21"/>
                <w:szCs w:val="21"/>
              </w:rPr>
              <w:t>iii)</w:t>
            </w:r>
          </w:p>
        </w:tc>
        <w:tc>
          <w:tcPr>
            <w:tcW w:w="7938" w:type="dxa"/>
          </w:tcPr>
          <w:p w14:paraId="50ED98BE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PSZ nad 50 ha</w:t>
            </w:r>
          </w:p>
        </w:tc>
      </w:tr>
      <w:tr w:rsidR="00532547" w14:paraId="5DA76F35" w14:textId="77777777" w:rsidTr="00923E81">
        <w:trPr>
          <w:jc w:val="center"/>
        </w:trPr>
        <w:tc>
          <w:tcPr>
            <w:tcW w:w="1129" w:type="dxa"/>
          </w:tcPr>
          <w:p w14:paraId="7AF545DB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6.3.2</w:t>
            </w:r>
          </w:p>
        </w:tc>
        <w:tc>
          <w:tcPr>
            <w:tcW w:w="7938" w:type="dxa"/>
          </w:tcPr>
          <w:p w14:paraId="2E85CA1C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Vypracování návrhu nového uspořádání pozemků k jeho vystavení dle § 11 odst. 1 Zákona</w:t>
            </w:r>
          </w:p>
        </w:tc>
      </w:tr>
      <w:tr w:rsidR="00532547" w14:paraId="7DA2BCF9" w14:textId="77777777" w:rsidTr="00923E81">
        <w:trPr>
          <w:jc w:val="center"/>
        </w:trPr>
        <w:tc>
          <w:tcPr>
            <w:tcW w:w="1129" w:type="dxa"/>
          </w:tcPr>
          <w:p w14:paraId="7B6238B0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6.3.3</w:t>
            </w:r>
          </w:p>
        </w:tc>
        <w:tc>
          <w:tcPr>
            <w:tcW w:w="7938" w:type="dxa"/>
          </w:tcPr>
          <w:p w14:paraId="0225C27C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Předložení aktuální dokumentace návrhu KoPÚ</w:t>
            </w:r>
          </w:p>
        </w:tc>
      </w:tr>
      <w:tr w:rsidR="00532547" w14:paraId="1E2BE162" w14:textId="77777777" w:rsidTr="00923E81">
        <w:trPr>
          <w:jc w:val="center"/>
        </w:trPr>
        <w:tc>
          <w:tcPr>
            <w:tcW w:w="1129" w:type="dxa"/>
          </w:tcPr>
          <w:p w14:paraId="6738A9EC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6.3.4</w:t>
            </w:r>
          </w:p>
        </w:tc>
        <w:tc>
          <w:tcPr>
            <w:tcW w:w="7938" w:type="dxa"/>
          </w:tcPr>
          <w:p w14:paraId="03DBB142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Zhotovení podkladů pro změnu katastrální hranice</w:t>
            </w:r>
          </w:p>
        </w:tc>
      </w:tr>
      <w:tr w:rsidR="00532547" w14:paraId="6BE6798D" w14:textId="77777777" w:rsidTr="00923E81">
        <w:trPr>
          <w:jc w:val="center"/>
        </w:trPr>
        <w:tc>
          <w:tcPr>
            <w:tcW w:w="1129" w:type="dxa"/>
          </w:tcPr>
          <w:p w14:paraId="14722D1E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i)</w:t>
            </w:r>
          </w:p>
        </w:tc>
        <w:tc>
          <w:tcPr>
            <w:tcW w:w="7938" w:type="dxa"/>
          </w:tcPr>
          <w:p w14:paraId="7B399A6E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10 ha</w:t>
            </w:r>
          </w:p>
        </w:tc>
      </w:tr>
      <w:tr w:rsidR="00532547" w14:paraId="1FF51B01" w14:textId="77777777" w:rsidTr="00923E81">
        <w:trPr>
          <w:jc w:val="center"/>
        </w:trPr>
        <w:tc>
          <w:tcPr>
            <w:tcW w:w="1129" w:type="dxa"/>
          </w:tcPr>
          <w:p w14:paraId="03D1FF5A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ii)</w:t>
            </w:r>
          </w:p>
        </w:tc>
        <w:tc>
          <w:tcPr>
            <w:tcW w:w="7938" w:type="dxa"/>
          </w:tcPr>
          <w:p w14:paraId="2A3DCD2E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do 50 ha</w:t>
            </w:r>
          </w:p>
        </w:tc>
      </w:tr>
      <w:tr w:rsidR="00532547" w14:paraId="06011C1B" w14:textId="77777777" w:rsidTr="00923E81">
        <w:trPr>
          <w:jc w:val="center"/>
        </w:trPr>
        <w:tc>
          <w:tcPr>
            <w:tcW w:w="1129" w:type="dxa"/>
          </w:tcPr>
          <w:p w14:paraId="1919BF2C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6.3.5 iii)</w:t>
            </w:r>
          </w:p>
        </w:tc>
        <w:tc>
          <w:tcPr>
            <w:tcW w:w="7938" w:type="dxa"/>
          </w:tcPr>
          <w:p w14:paraId="0BC7AB3E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Aktualizace návrhu po ukončení odvolacího řízení nad 50 ha</w:t>
            </w:r>
          </w:p>
        </w:tc>
      </w:tr>
      <w:tr w:rsidR="00532547" w14:paraId="12470A3F" w14:textId="77777777" w:rsidTr="00923E81">
        <w:trPr>
          <w:jc w:val="center"/>
        </w:trPr>
        <w:tc>
          <w:tcPr>
            <w:tcW w:w="1129" w:type="dxa"/>
          </w:tcPr>
          <w:p w14:paraId="739FDC39" w14:textId="77777777" w:rsidR="00532547" w:rsidRPr="000C10D5" w:rsidRDefault="00532547" w:rsidP="00923E81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0C10D5">
              <w:rPr>
                <w:rFonts w:ascii="Arial" w:eastAsia="Arial" w:hAnsi="Arial" w:cs="Arial"/>
                <w:sz w:val="21"/>
                <w:szCs w:val="21"/>
              </w:rPr>
              <w:t>6.4</w:t>
            </w:r>
          </w:p>
        </w:tc>
        <w:tc>
          <w:tcPr>
            <w:tcW w:w="7938" w:type="dxa"/>
          </w:tcPr>
          <w:p w14:paraId="56D05B2F" w14:textId="77777777" w:rsidR="00532547" w:rsidRPr="000C10D5" w:rsidRDefault="00532547" w:rsidP="00923E8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10D5">
              <w:rPr>
                <w:rFonts w:ascii="Arial" w:hAnsi="Arial" w:cs="Arial"/>
                <w:sz w:val="21"/>
                <w:szCs w:val="21"/>
              </w:rPr>
              <w:t>Hlavní celek 3 „Mapové dílo“</w:t>
            </w:r>
          </w:p>
        </w:tc>
      </w:tr>
    </w:tbl>
    <w:p w14:paraId="4A60C324" w14:textId="77777777" w:rsidR="00532547" w:rsidRDefault="00532547" w:rsidP="00532547">
      <w:pPr>
        <w:pStyle w:val="Level2"/>
        <w:numPr>
          <w:ilvl w:val="0"/>
          <w:numId w:val="0"/>
        </w:numPr>
        <w:spacing w:line="240" w:lineRule="auto"/>
        <w:ind w:left="568"/>
        <w:jc w:val="both"/>
        <w:rPr>
          <w:rFonts w:ascii="Arial" w:hAnsi="Arial" w:cs="Arial"/>
          <w:szCs w:val="22"/>
        </w:rPr>
      </w:pPr>
    </w:p>
    <w:p w14:paraId="7D2B1504" w14:textId="717BB756" w:rsidR="00532547" w:rsidRDefault="00532547" w:rsidP="00E54D9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A745F2">
        <w:rPr>
          <w:rFonts w:ascii="Arial" w:hAnsi="Arial" w:cs="Arial"/>
          <w:b/>
          <w:bCs/>
          <w:szCs w:val="22"/>
        </w:rPr>
        <w:t xml:space="preserve">Celková hodnota navýšení činí </w:t>
      </w:r>
      <w:r w:rsidR="00C672D0">
        <w:rPr>
          <w:rFonts w:ascii="Arial" w:hAnsi="Arial" w:cs="Arial"/>
          <w:b/>
          <w:bCs/>
          <w:szCs w:val="22"/>
        </w:rPr>
        <w:t>114 175</w:t>
      </w:r>
      <w:r w:rsidRPr="00A745F2">
        <w:rPr>
          <w:rFonts w:ascii="Arial" w:hAnsi="Arial" w:cs="Arial"/>
          <w:b/>
          <w:bCs/>
          <w:szCs w:val="22"/>
        </w:rPr>
        <w:t xml:space="preserve"> Kč bez DPH. O tuto částku bude cena díla navýšena</w:t>
      </w:r>
      <w:r>
        <w:rPr>
          <w:rFonts w:ascii="Arial" w:hAnsi="Arial" w:cs="Arial"/>
          <w:b/>
          <w:bCs/>
          <w:szCs w:val="22"/>
        </w:rPr>
        <w:t>.</w:t>
      </w:r>
      <w:r w:rsidRPr="00A745F2">
        <w:rPr>
          <w:rFonts w:ascii="Arial" w:hAnsi="Arial" w:cs="Arial"/>
          <w:b/>
          <w:bCs/>
          <w:szCs w:val="22"/>
        </w:rPr>
        <w:t xml:space="preserve">  </w:t>
      </w:r>
      <w:bookmarkStart w:id="1" w:name="_Ref50474873"/>
      <w:bookmarkEnd w:id="0"/>
    </w:p>
    <w:p w14:paraId="47C2AEFB" w14:textId="77777777" w:rsidR="00E54D97" w:rsidRDefault="00E54D97" w:rsidP="00E54D97">
      <w:pPr>
        <w:rPr>
          <w:rFonts w:ascii="Arial" w:hAnsi="Arial" w:cs="Arial"/>
          <w:lang w:val="fr-FR"/>
        </w:rPr>
      </w:pPr>
    </w:p>
    <w:p w14:paraId="057216BD" w14:textId="043386B0" w:rsidR="00E54D97" w:rsidRDefault="00E54D97" w:rsidP="00E54D97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7999192" w14:textId="77777777" w:rsidR="00E54D97" w:rsidRPr="00A745F2" w:rsidRDefault="00E54D97" w:rsidP="00532547">
      <w:pPr>
        <w:pStyle w:val="Level2"/>
        <w:numPr>
          <w:ilvl w:val="0"/>
          <w:numId w:val="0"/>
        </w:numPr>
        <w:spacing w:line="240" w:lineRule="auto"/>
        <w:ind w:left="568"/>
        <w:jc w:val="both"/>
        <w:rPr>
          <w:rFonts w:ascii="Arial" w:hAnsi="Arial" w:cs="Arial"/>
          <w:b/>
          <w:bCs/>
          <w:szCs w:val="22"/>
        </w:rPr>
      </w:pPr>
    </w:p>
    <w:p w14:paraId="78D22B97" w14:textId="77777777" w:rsidR="00532547" w:rsidRDefault="00532547" w:rsidP="00532547">
      <w:pPr>
        <w:spacing w:after="0"/>
        <w:ind w:left="567"/>
        <w:jc w:val="center"/>
        <w:rPr>
          <w:rFonts w:ascii="Arial" w:hAnsi="Arial" w:cs="Arial"/>
          <w:b/>
          <w:bCs/>
        </w:rPr>
      </w:pPr>
    </w:p>
    <w:p w14:paraId="31DF4AD9" w14:textId="77777777" w:rsidR="00532547" w:rsidRPr="00D425E1" w:rsidRDefault="00532547" w:rsidP="00532547">
      <w:pPr>
        <w:spacing w:after="0"/>
        <w:ind w:left="567"/>
        <w:jc w:val="center"/>
        <w:rPr>
          <w:rFonts w:ascii="Arial" w:hAnsi="Arial" w:cs="Arial"/>
          <w:b/>
          <w:bCs/>
        </w:rPr>
      </w:pPr>
      <w:r w:rsidRPr="00D425E1">
        <w:rPr>
          <w:rFonts w:ascii="Arial" w:hAnsi="Arial" w:cs="Arial"/>
          <w:b/>
          <w:bCs/>
        </w:rPr>
        <w:t>Čl. I</w:t>
      </w:r>
      <w:r>
        <w:rPr>
          <w:rFonts w:ascii="Arial" w:hAnsi="Arial" w:cs="Arial"/>
          <w:b/>
          <w:bCs/>
        </w:rPr>
        <w:t>I</w:t>
      </w:r>
      <w:r w:rsidRPr="00D425E1">
        <w:rPr>
          <w:rFonts w:ascii="Arial" w:hAnsi="Arial" w:cs="Arial"/>
          <w:b/>
          <w:bCs/>
        </w:rPr>
        <w:t>.</w:t>
      </w:r>
    </w:p>
    <w:p w14:paraId="5E473E92" w14:textId="77777777" w:rsidR="00532547" w:rsidRPr="00A745F2" w:rsidRDefault="00532547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  <w:r w:rsidRPr="00A745F2">
        <w:rPr>
          <w:rFonts w:ascii="Arial" w:hAnsi="Arial" w:cs="Arial"/>
          <w:b/>
          <w:bCs/>
          <w:caps/>
          <w:szCs w:val="22"/>
        </w:rPr>
        <w:t>Cena za provedení díla</w:t>
      </w:r>
    </w:p>
    <w:p w14:paraId="6E385BC6" w14:textId="07411144" w:rsidR="00532547" w:rsidRPr="00905CC0" w:rsidRDefault="00532547" w:rsidP="00A93A6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výše uvedeným změnám </w:t>
      </w:r>
      <w:r w:rsidRPr="006657A0">
        <w:rPr>
          <w:rFonts w:ascii="Arial" w:hAnsi="Arial" w:cs="Arial"/>
          <w:b/>
          <w:bCs/>
          <w:szCs w:val="22"/>
        </w:rPr>
        <w:t>se cena</w:t>
      </w:r>
      <w:r>
        <w:rPr>
          <w:rFonts w:ascii="Arial" w:hAnsi="Arial" w:cs="Arial"/>
          <w:szCs w:val="22"/>
        </w:rPr>
        <w:t xml:space="preserve"> </w:t>
      </w:r>
      <w:r w:rsidR="001E05D6" w:rsidRPr="006407BB">
        <w:rPr>
          <w:rFonts w:ascii="Arial" w:hAnsi="Arial" w:cs="Arial"/>
          <w:b/>
          <w:bCs/>
        </w:rPr>
        <w:t>za provedení díla</w:t>
      </w:r>
      <w:r>
        <w:rPr>
          <w:rFonts w:ascii="Arial" w:hAnsi="Arial" w:cs="Arial"/>
          <w:szCs w:val="22"/>
        </w:rPr>
        <w:t xml:space="preserve"> </w:t>
      </w:r>
      <w:r w:rsidR="001E05D6" w:rsidRPr="007109F7">
        <w:rPr>
          <w:rFonts w:ascii="Arial" w:hAnsi="Arial" w:cs="Arial"/>
        </w:rPr>
        <w:t xml:space="preserve">uvedená v čl. </w:t>
      </w:r>
      <w:r w:rsidR="001E05D6">
        <w:rPr>
          <w:rFonts w:ascii="Arial" w:hAnsi="Arial" w:cs="Arial"/>
        </w:rPr>
        <w:t>3. Cena díla, odst. 3.1</w:t>
      </w:r>
      <w:r w:rsidR="001E05D6" w:rsidRPr="007109F7">
        <w:rPr>
          <w:rFonts w:ascii="Arial" w:hAnsi="Arial" w:cs="Arial"/>
        </w:rPr>
        <w:t xml:space="preserve"> </w:t>
      </w:r>
      <w:r w:rsidR="001E05D6">
        <w:rPr>
          <w:rFonts w:ascii="Arial" w:hAnsi="Arial" w:cs="Arial"/>
        </w:rPr>
        <w:t>S</w:t>
      </w:r>
      <w:r w:rsidR="001E05D6" w:rsidRPr="007109F7">
        <w:rPr>
          <w:rFonts w:ascii="Arial" w:hAnsi="Arial" w:cs="Arial"/>
        </w:rPr>
        <w:t>mlouvy</w:t>
      </w:r>
      <w:r w:rsidR="001E05D6">
        <w:rPr>
          <w:rFonts w:ascii="Arial" w:hAnsi="Arial" w:cs="Arial"/>
        </w:rPr>
        <w:t xml:space="preserve"> </w:t>
      </w:r>
      <w:r w:rsidR="001E05D6" w:rsidRPr="006407BB">
        <w:rPr>
          <w:rFonts w:ascii="Arial" w:hAnsi="Arial" w:cs="Arial"/>
          <w:b/>
          <w:bCs/>
        </w:rPr>
        <w:t>mění</w:t>
      </w:r>
      <w:r w:rsidR="001E05D6" w:rsidRPr="007109F7">
        <w:rPr>
          <w:rFonts w:ascii="Arial" w:hAnsi="Arial" w:cs="Arial"/>
        </w:rPr>
        <w:t xml:space="preserve"> takto:</w:t>
      </w:r>
      <w:r>
        <w:rPr>
          <w:rFonts w:ascii="Arial" w:hAnsi="Arial" w:cs="Arial"/>
          <w:szCs w:val="22"/>
        </w:rPr>
        <w:t xml:space="preserve"> </w:t>
      </w:r>
      <w:bookmarkStart w:id="2" w:name="_Ref50660230"/>
      <w:bookmarkEnd w:id="1"/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32547" w:rsidRPr="00C62699" w14:paraId="1570A0AA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325BAFC" w14:textId="77777777" w:rsidR="00532547" w:rsidRPr="00C62699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195B" w14:textId="00FB7FA7" w:rsidR="00532547" w:rsidRPr="007D67D9" w:rsidRDefault="000F26C7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E2737A">
              <w:rPr>
                <w:rFonts w:ascii="Arial" w:hAnsi="Arial" w:cs="Arial"/>
                <w:snapToGrid w:val="0"/>
              </w:rPr>
              <w:t>826 100</w:t>
            </w:r>
            <w:r w:rsidR="00532547" w:rsidRPr="007D67D9">
              <w:rPr>
                <w:rFonts w:ascii="Arial" w:hAnsi="Arial" w:cs="Arial"/>
                <w:snapToGrid w:val="0"/>
              </w:rPr>
              <w:t>,00</w:t>
            </w:r>
            <w:r w:rsidR="00532547" w:rsidRPr="007D67D9">
              <w:rPr>
                <w:rFonts w:ascii="Arial" w:hAnsi="Arial" w:cs="Arial"/>
              </w:rPr>
              <w:t xml:space="preserve"> Kč</w:t>
            </w:r>
          </w:p>
        </w:tc>
      </w:tr>
      <w:tr w:rsidR="00532547" w:rsidRPr="00C62699" w14:paraId="0418797A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53C1" w14:textId="77777777" w:rsidR="00532547" w:rsidRPr="00C62699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D37" w14:textId="39E5B66E" w:rsidR="00532547" w:rsidRPr="007D67D9" w:rsidRDefault="000F26C7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2737A">
              <w:rPr>
                <w:rFonts w:ascii="Arial" w:hAnsi="Arial" w:cs="Arial"/>
              </w:rPr>
              <w:t>545 985</w:t>
            </w:r>
            <w:r>
              <w:rPr>
                <w:rFonts w:ascii="Arial" w:hAnsi="Arial" w:cs="Arial"/>
              </w:rPr>
              <w:t>,00</w:t>
            </w:r>
            <w:r w:rsidR="00532547" w:rsidRPr="007D67D9">
              <w:rPr>
                <w:rFonts w:ascii="Arial" w:hAnsi="Arial" w:cs="Arial"/>
              </w:rPr>
              <w:t xml:space="preserve"> Kč</w:t>
            </w:r>
          </w:p>
        </w:tc>
      </w:tr>
      <w:tr w:rsidR="00532547" w:rsidRPr="00C62699" w14:paraId="58744269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F6A" w14:textId="77777777" w:rsidR="00532547" w:rsidRPr="00C62699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1CA" w14:textId="538B8C1F" w:rsidR="00532547" w:rsidRPr="007D67D9" w:rsidRDefault="00532547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D67D9">
              <w:rPr>
                <w:rFonts w:ascii="Arial" w:hAnsi="Arial" w:cs="Arial"/>
              </w:rPr>
              <w:t xml:space="preserve">  </w:t>
            </w:r>
            <w:r w:rsidR="000F26C7">
              <w:rPr>
                <w:rFonts w:ascii="Arial" w:hAnsi="Arial" w:cs="Arial"/>
              </w:rPr>
              <w:t xml:space="preserve">  </w:t>
            </w:r>
            <w:r w:rsidRPr="007D67D9">
              <w:rPr>
                <w:rFonts w:ascii="Arial" w:hAnsi="Arial" w:cs="Arial"/>
              </w:rPr>
              <w:t xml:space="preserve"> </w:t>
            </w:r>
            <w:r w:rsidR="00E2737A">
              <w:rPr>
                <w:rFonts w:ascii="Arial" w:hAnsi="Arial" w:cs="Arial"/>
              </w:rPr>
              <w:t>48 840</w:t>
            </w:r>
            <w:r w:rsidRPr="007D67D9">
              <w:rPr>
                <w:rFonts w:ascii="Arial" w:hAnsi="Arial" w:cs="Arial"/>
              </w:rPr>
              <w:t>,00 Kč</w:t>
            </w:r>
          </w:p>
        </w:tc>
      </w:tr>
      <w:tr w:rsidR="00532547" w:rsidRPr="00C62699" w14:paraId="33A40FA5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4A08A" w14:textId="77777777" w:rsidR="00532547" w:rsidRPr="00C62699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FCBA3" w14:textId="768A94CE" w:rsidR="00532547" w:rsidRPr="007D67D9" w:rsidRDefault="00E2737A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1 420 925</w:t>
            </w:r>
            <w:r w:rsidR="000F26C7">
              <w:rPr>
                <w:rFonts w:ascii="Arial" w:hAnsi="Arial" w:cs="Arial"/>
              </w:rPr>
              <w:t>,00</w:t>
            </w:r>
            <w:r w:rsidR="00532547" w:rsidRPr="007D67D9">
              <w:rPr>
                <w:rFonts w:ascii="Arial" w:hAnsi="Arial" w:cs="Arial"/>
              </w:rPr>
              <w:t xml:space="preserve"> Kč</w:t>
            </w:r>
          </w:p>
        </w:tc>
      </w:tr>
      <w:tr w:rsidR="00532547" w:rsidRPr="00ED6435" w14:paraId="48CE63D4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834" w14:textId="77777777" w:rsidR="00532547" w:rsidRPr="00C62699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5DE" w14:textId="21F09771" w:rsidR="00532547" w:rsidRPr="007D67D9" w:rsidRDefault="000F26C7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2737A">
              <w:rPr>
                <w:rFonts w:ascii="Arial" w:hAnsi="Arial" w:cs="Arial"/>
              </w:rPr>
              <w:t>298 394,25</w:t>
            </w:r>
            <w:r w:rsidR="00532547" w:rsidRPr="007D67D9">
              <w:rPr>
                <w:rFonts w:ascii="Arial" w:hAnsi="Arial" w:cs="Arial"/>
              </w:rPr>
              <w:t xml:space="preserve"> Kč</w:t>
            </w:r>
          </w:p>
        </w:tc>
      </w:tr>
      <w:tr w:rsidR="00532547" w:rsidRPr="00ED6435" w14:paraId="53691362" w14:textId="77777777" w:rsidTr="00A93A6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D8915C" w14:textId="77777777" w:rsidR="00532547" w:rsidRPr="00ED6435" w:rsidRDefault="00532547" w:rsidP="00923E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D4BFD" w14:textId="5B3A1CA8" w:rsidR="00532547" w:rsidRPr="007D67D9" w:rsidRDefault="00E2737A" w:rsidP="00923E8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1 719 319,25</w:t>
            </w:r>
            <w:r w:rsidR="00532547" w:rsidRPr="007D67D9">
              <w:rPr>
                <w:rFonts w:ascii="Arial" w:hAnsi="Arial" w:cs="Arial"/>
              </w:rPr>
              <w:t xml:space="preserve"> Kč</w:t>
            </w:r>
          </w:p>
        </w:tc>
      </w:tr>
    </w:tbl>
    <w:p w14:paraId="011974CA" w14:textId="77777777" w:rsidR="00532547" w:rsidRPr="00ED6435" w:rsidRDefault="00532547" w:rsidP="00A93A65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23ED946F" w14:textId="77777777" w:rsidR="00A93A65" w:rsidRDefault="00A93A65" w:rsidP="0053254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3" w:name="_Ref97411722"/>
      <w:bookmarkStart w:id="4" w:name="_Ref97582192"/>
      <w:bookmarkStart w:id="5" w:name="_Ref99007603"/>
      <w:bookmarkStart w:id="6" w:name="_Ref98329623"/>
    </w:p>
    <w:p w14:paraId="10144042" w14:textId="77777777" w:rsidR="00532547" w:rsidRPr="00D425E1" w:rsidRDefault="00532547" w:rsidP="00532547">
      <w:pPr>
        <w:spacing w:after="0"/>
        <w:ind w:left="567"/>
        <w:jc w:val="center"/>
        <w:rPr>
          <w:rFonts w:ascii="Arial" w:hAnsi="Arial" w:cs="Arial"/>
          <w:b/>
          <w:bCs/>
        </w:rPr>
      </w:pPr>
      <w:r w:rsidRPr="00D425E1">
        <w:rPr>
          <w:rFonts w:ascii="Arial" w:hAnsi="Arial" w:cs="Arial"/>
          <w:b/>
          <w:bCs/>
        </w:rPr>
        <w:t>Čl. I</w:t>
      </w:r>
      <w:r>
        <w:rPr>
          <w:rFonts w:ascii="Arial" w:hAnsi="Arial" w:cs="Arial"/>
          <w:b/>
          <w:bCs/>
        </w:rPr>
        <w:t>II</w:t>
      </w:r>
      <w:r w:rsidRPr="00D425E1">
        <w:rPr>
          <w:rFonts w:ascii="Arial" w:hAnsi="Arial" w:cs="Arial"/>
          <w:b/>
          <w:bCs/>
        </w:rPr>
        <w:t>.</w:t>
      </w:r>
    </w:p>
    <w:p w14:paraId="73F1ED07" w14:textId="77777777" w:rsidR="00532547" w:rsidRDefault="00532547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  <w:r>
        <w:rPr>
          <w:rFonts w:ascii="Arial" w:hAnsi="Arial" w:cs="Arial"/>
          <w:b/>
          <w:bCs/>
          <w:caps/>
          <w:szCs w:val="22"/>
        </w:rPr>
        <w:t>ZÁVĚREČNÁ USTANOVENÍ</w:t>
      </w:r>
    </w:p>
    <w:p w14:paraId="2E476604" w14:textId="7777777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3.1</w:t>
      </w:r>
      <w:r>
        <w:rPr>
          <w:rFonts w:ascii="Arial" w:hAnsi="Arial" w:cs="Arial"/>
          <w:szCs w:val="22"/>
        </w:rPr>
        <w:tab/>
        <w:t>V ostatních bodech se smlouva o dílo, č. objednatele: 1208</w:t>
      </w:r>
      <w:r w:rsidRPr="00311457">
        <w:rPr>
          <w:rFonts w:ascii="Arial" w:hAnsi="Arial" w:cs="Arial"/>
          <w:szCs w:val="22"/>
        </w:rPr>
        <w:t>-202</w:t>
      </w:r>
      <w:r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</w:t>
      </w:r>
      <w:r w:rsidRPr="000637B2">
        <w:rPr>
          <w:rFonts w:ascii="Arial" w:hAnsi="Arial" w:cs="Arial"/>
          <w:szCs w:val="22"/>
        </w:rPr>
        <w:t>20231001</w:t>
      </w:r>
      <w:r>
        <w:rPr>
          <w:rFonts w:ascii="Arial" w:hAnsi="Arial" w:cs="Arial"/>
          <w:szCs w:val="22"/>
        </w:rPr>
        <w:t xml:space="preserve"> uzavřená dne 26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10.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>
        <w:rPr>
          <w:rFonts w:ascii="Arial" w:hAnsi="Arial" w:cs="Arial"/>
          <w:szCs w:val="22"/>
        </w:rPr>
        <w:t xml:space="preserve">3, </w:t>
      </w:r>
      <w:r w:rsidRPr="00BF554C">
        <w:rPr>
          <w:rFonts w:ascii="Arial" w:hAnsi="Arial" w:cs="Arial"/>
          <w:szCs w:val="22"/>
        </w:rPr>
        <w:t>nemění.</w:t>
      </w:r>
    </w:p>
    <w:p w14:paraId="04216845" w14:textId="7777777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9F763DB" w14:textId="77777777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3.3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6F5553A" w14:textId="1CBC2C2C" w:rsidR="00F5083E" w:rsidRDefault="00F5083E" w:rsidP="00F5083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caps/>
          <w:szCs w:val="22"/>
        </w:rPr>
      </w:pPr>
      <w:r>
        <w:rPr>
          <w:rFonts w:ascii="Arial" w:hAnsi="Arial" w:cs="Arial"/>
          <w:szCs w:val="22"/>
        </w:rPr>
        <w:t xml:space="preserve">3.4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</w:p>
    <w:p w14:paraId="58DAE63D" w14:textId="77777777" w:rsidR="00F5083E" w:rsidRDefault="00F5083E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</w:p>
    <w:p w14:paraId="0EFAF39B" w14:textId="77777777" w:rsidR="00F5083E" w:rsidRDefault="00F5083E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</w:p>
    <w:p w14:paraId="499E3D33" w14:textId="77777777" w:rsidR="00F5083E" w:rsidRDefault="00F5083E" w:rsidP="00532547">
      <w:pPr>
        <w:pStyle w:val="Level2"/>
        <w:numPr>
          <w:ilvl w:val="0"/>
          <w:numId w:val="0"/>
        </w:numPr>
        <w:spacing w:line="240" w:lineRule="auto"/>
        <w:ind w:left="567"/>
        <w:jc w:val="center"/>
        <w:rPr>
          <w:rFonts w:ascii="Arial" w:hAnsi="Arial" w:cs="Arial"/>
          <w:b/>
          <w:bCs/>
          <w:caps/>
          <w:szCs w:val="22"/>
        </w:rPr>
      </w:pPr>
    </w:p>
    <w:bookmarkEnd w:id="3"/>
    <w:bookmarkEnd w:id="4"/>
    <w:bookmarkEnd w:id="5"/>
    <w:bookmarkEnd w:id="6"/>
    <w:p w14:paraId="4DEAE426" w14:textId="46477223" w:rsidR="00321220" w:rsidRPr="00ED6435" w:rsidRDefault="00321220" w:rsidP="00F5083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3F43D659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1553E1"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EC344C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E7673">
        <w:rPr>
          <w:rFonts w:ascii="Arial" w:eastAsia="Times New Roman" w:hAnsi="Arial" w:cs="Arial"/>
          <w:b/>
          <w:lang w:eastAsia="cs-CZ"/>
        </w:rPr>
        <w:t>„ORIS“ spol. s r.o.</w:t>
      </w:r>
    </w:p>
    <w:p w14:paraId="07D04B9F" w14:textId="36AECD71" w:rsidR="000E7673" w:rsidRPr="000E7673" w:rsidRDefault="000E767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E7673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270AD2C3" w14:textId="77777777" w:rsidR="0061308B" w:rsidRDefault="006130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314E61C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0E7673">
        <w:rPr>
          <w:rFonts w:ascii="Arial" w:eastAsia="Times New Roman" w:hAnsi="Arial" w:cs="Arial"/>
          <w:bCs/>
          <w:lang w:eastAsia="cs-CZ"/>
        </w:rPr>
        <w:t xml:space="preserve"> Olomouc</w:t>
      </w:r>
    </w:p>
    <w:p w14:paraId="435FBFFE" w14:textId="4C29FBB1" w:rsidR="002B735B" w:rsidRPr="00ED6435" w:rsidRDefault="00C06CD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18. 11. 2024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BA0134">
        <w:rPr>
          <w:rFonts w:ascii="Arial" w:eastAsia="Times New Roman" w:hAnsi="Arial" w:cs="Arial"/>
          <w:bCs/>
          <w:lang w:eastAsia="cs-CZ"/>
        </w:rPr>
        <w:t>Datum: 15. 11. 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B15D1F" w14:textId="77777777" w:rsidR="0061308B" w:rsidRDefault="006130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AA9FE2" w14:textId="77777777" w:rsidR="002F6674" w:rsidRPr="00ED6435" w:rsidRDefault="002F667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40EE84B8" w:rsidR="002B735B" w:rsidRPr="006C3818" w:rsidRDefault="006C381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C381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49BC2C0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553E1">
        <w:rPr>
          <w:rFonts w:ascii="Arial" w:eastAsia="Times New Roman" w:hAnsi="Arial" w:cs="Arial"/>
          <w:bCs/>
          <w:lang w:eastAsia="cs-CZ"/>
        </w:rPr>
        <w:t>Petr Machala</w:t>
      </w:r>
    </w:p>
    <w:p w14:paraId="340842AD" w14:textId="54F39E67" w:rsidR="002B735B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0E7673">
        <w:rPr>
          <w:rFonts w:ascii="Arial" w:eastAsia="Times New Roman" w:hAnsi="Arial" w:cs="Arial"/>
          <w:bCs/>
          <w:lang w:eastAsia="cs-CZ"/>
        </w:rPr>
        <w:t>jednatel společnosti</w:t>
      </w:r>
    </w:p>
    <w:p w14:paraId="221E4EBB" w14:textId="77777777" w:rsidR="00805403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FDE6F3" w14:textId="77777777" w:rsidR="00805403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21F8F2" w14:textId="1D2F7E55" w:rsidR="00805403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Helena Chromčáková</w:t>
      </w:r>
    </w:p>
    <w:p w14:paraId="3595E640" w14:textId="69B5BF65" w:rsidR="00805403" w:rsidRPr="00ED6435" w:rsidRDefault="0080540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ředitele KPÚ pro Olomoucký kraj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185ADDB" w14:textId="473DC840" w:rsidR="003A5911" w:rsidRPr="00ED6435" w:rsidRDefault="003A5911" w:rsidP="003A5911">
      <w:pPr>
        <w:spacing w:line="240" w:lineRule="auto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</w:p>
    <w:p w14:paraId="74508059" w14:textId="2838187E" w:rsidR="00692FDC" w:rsidRPr="00C452AD" w:rsidRDefault="00692FDC" w:rsidP="003A5911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692FDC" w:rsidRPr="00C452AD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3454" w14:textId="77777777" w:rsidR="00545DA2" w:rsidRDefault="00545DA2" w:rsidP="007936E4">
      <w:pPr>
        <w:spacing w:after="0"/>
      </w:pPr>
      <w:r>
        <w:separator/>
      </w:r>
    </w:p>
  </w:endnote>
  <w:endnote w:type="continuationSeparator" w:id="0">
    <w:p w14:paraId="6EB869BA" w14:textId="77777777" w:rsidR="00545DA2" w:rsidRDefault="00545DA2" w:rsidP="007936E4">
      <w:pPr>
        <w:spacing w:after="0"/>
      </w:pPr>
      <w:r>
        <w:continuationSeparator/>
      </w:r>
    </w:p>
  </w:endnote>
  <w:endnote w:type="continuationNotice" w:id="1">
    <w:p w14:paraId="72B550F8" w14:textId="77777777" w:rsidR="00545DA2" w:rsidRDefault="00545DA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42E5" w14:textId="77777777" w:rsidR="00545DA2" w:rsidRDefault="00545DA2" w:rsidP="007936E4">
      <w:pPr>
        <w:spacing w:after="0"/>
      </w:pPr>
      <w:r>
        <w:separator/>
      </w:r>
    </w:p>
  </w:footnote>
  <w:footnote w:type="continuationSeparator" w:id="0">
    <w:p w14:paraId="2CFCCA96" w14:textId="77777777" w:rsidR="00545DA2" w:rsidRDefault="00545DA2" w:rsidP="007936E4">
      <w:pPr>
        <w:spacing w:after="0"/>
      </w:pPr>
      <w:r>
        <w:continuationSeparator/>
      </w:r>
    </w:p>
  </w:footnote>
  <w:footnote w:type="continuationNotice" w:id="1">
    <w:p w14:paraId="5E31D5FD" w14:textId="77777777" w:rsidR="00545DA2" w:rsidRDefault="00545DA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D2A13E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FC1CE3">
      <w:rPr>
        <w:szCs w:val="16"/>
      </w:rPr>
      <w:t xml:space="preserve">v k.ú. </w:t>
    </w:r>
    <w:r w:rsidR="00FC554A">
      <w:rPr>
        <w:szCs w:val="16"/>
      </w:rPr>
      <w:t>Nemile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4D889051" w:rsidR="00976B2F" w:rsidRPr="00126748" w:rsidRDefault="00335BF8" w:rsidP="00335BF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26748">
      <w:rPr>
        <w:rFonts w:cs="Arial"/>
        <w:szCs w:val="16"/>
        <w:lang w:val="fr-FR" w:eastAsia="cs-CZ"/>
      </w:rPr>
      <w:t xml:space="preserve">UID : </w:t>
    </w:r>
    <w:r w:rsidR="00DA733F" w:rsidRPr="00DA733F">
      <w:rPr>
        <w:rFonts w:cs="Arial"/>
        <w:szCs w:val="16"/>
      </w:rPr>
      <w:t>spudms00000015060669</w:t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szCs w:val="16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126748" w:rsidRPr="00126748">
      <w:rPr>
        <w:rFonts w:cs="Arial"/>
        <w:szCs w:val="16"/>
      </w:rPr>
      <w:t>1208-2023-521101</w:t>
    </w:r>
  </w:p>
  <w:p w14:paraId="76866424" w14:textId="05DF312B" w:rsidR="005B1B16" w:rsidRPr="00126748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</w:rPr>
    </w:pPr>
    <w:r w:rsidRPr="00126748">
      <w:rPr>
        <w:rFonts w:cs="Arial"/>
        <w:szCs w:val="16"/>
        <w:lang w:val="fr-FR" w:eastAsia="cs-CZ"/>
      </w:rPr>
      <w:tab/>
    </w:r>
    <w:r w:rsidR="00043079" w:rsidRPr="00126748">
      <w:rPr>
        <w:rFonts w:cs="Arial"/>
        <w:szCs w:val="16"/>
        <w:lang w:val="fr-FR" w:eastAsia="cs-CZ"/>
      </w:rPr>
      <w:tab/>
    </w:r>
    <w:r w:rsidR="00126748">
      <w:rPr>
        <w:rFonts w:cs="Arial"/>
        <w:szCs w:val="16"/>
        <w:lang w:val="fr-FR" w:eastAsia="cs-CZ"/>
      </w:rPr>
      <w:tab/>
    </w:r>
    <w:r w:rsidR="00335BF8">
      <w:rPr>
        <w:rFonts w:cs="Arial"/>
        <w:szCs w:val="16"/>
        <w:lang w:val="fr-FR" w:eastAsia="cs-CZ"/>
      </w:rPr>
      <w:tab/>
    </w:r>
    <w:r w:rsidR="00043079" w:rsidRPr="00126748">
      <w:rPr>
        <w:rFonts w:cs="Arial"/>
        <w:szCs w:val="16"/>
        <w:lang w:val="fr-FR" w:eastAsia="cs-CZ"/>
      </w:rPr>
      <w:t>Číslo Smlouvy Zhotovitele:</w:t>
    </w:r>
    <w:r w:rsidR="00AB519F" w:rsidRPr="00126748">
      <w:rPr>
        <w:rFonts w:cs="Arial"/>
        <w:szCs w:val="16"/>
        <w:lang w:val="fr-FR" w:eastAsia="cs-CZ"/>
      </w:rPr>
      <w:t xml:space="preserve"> </w:t>
    </w:r>
    <w:r w:rsidR="005B1B16" w:rsidRPr="00126748">
      <w:rPr>
        <w:rFonts w:cs="Arial"/>
        <w:szCs w:val="16"/>
      </w:rPr>
      <w:t>20231001</w:t>
    </w:r>
  </w:p>
  <w:p w14:paraId="6F75F815" w14:textId="5E6DF458" w:rsidR="00043079" w:rsidRPr="00AB519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Pr="00AB519F">
      <w:rPr>
        <w:rFonts w:cs="Arial"/>
        <w:szCs w:val="16"/>
        <w:lang w:val="fr-FR" w:eastAsia="cs-CZ"/>
      </w:rPr>
      <w:tab/>
    </w:r>
    <w:r w:rsidR="00126748">
      <w:rPr>
        <w:rFonts w:cs="Arial"/>
        <w:szCs w:val="16"/>
        <w:lang w:val="fr-FR" w:eastAsia="cs-CZ"/>
      </w:rPr>
      <w:tab/>
    </w:r>
    <w:r w:rsidR="00335BF8">
      <w:rPr>
        <w:rFonts w:cs="Arial"/>
        <w:szCs w:val="16"/>
        <w:lang w:val="fr-FR" w:eastAsia="cs-CZ"/>
      </w:rPr>
      <w:tab/>
    </w:r>
    <w:r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0129FF">
      <w:rPr>
        <w:rFonts w:cs="Arial"/>
        <w:szCs w:val="16"/>
        <w:lang w:val="fr-FR" w:eastAsia="cs-CZ"/>
      </w:rPr>
      <w:t>Nemile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29E8147C"/>
    <w:lvl w:ilvl="0">
      <w:start w:val="1"/>
      <w:numFmt w:val="upperRoman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98509A"/>
    <w:multiLevelType w:val="hybridMultilevel"/>
    <w:tmpl w:val="0F7EC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4"/>
  </w:num>
  <w:num w:numId="2" w16cid:durableId="1294366823">
    <w:abstractNumId w:val="40"/>
  </w:num>
  <w:num w:numId="3" w16cid:durableId="278267158">
    <w:abstractNumId w:val="19"/>
  </w:num>
  <w:num w:numId="4" w16cid:durableId="548615229">
    <w:abstractNumId w:val="23"/>
  </w:num>
  <w:num w:numId="5" w16cid:durableId="1082987843">
    <w:abstractNumId w:val="37"/>
  </w:num>
  <w:num w:numId="6" w16cid:durableId="2127583402">
    <w:abstractNumId w:val="10"/>
  </w:num>
  <w:num w:numId="7" w16cid:durableId="1622226417">
    <w:abstractNumId w:val="27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4"/>
  </w:num>
  <w:num w:numId="12" w16cid:durableId="273749594">
    <w:abstractNumId w:val="20"/>
  </w:num>
  <w:num w:numId="13" w16cid:durableId="645209022">
    <w:abstractNumId w:val="42"/>
  </w:num>
  <w:num w:numId="14" w16cid:durableId="786041932">
    <w:abstractNumId w:val="33"/>
  </w:num>
  <w:num w:numId="15" w16cid:durableId="855196663">
    <w:abstractNumId w:val="13"/>
  </w:num>
  <w:num w:numId="16" w16cid:durableId="9182672">
    <w:abstractNumId w:val="28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39"/>
  </w:num>
  <w:num w:numId="20" w16cid:durableId="100340552">
    <w:abstractNumId w:val="31"/>
  </w:num>
  <w:num w:numId="21" w16cid:durableId="1721129811">
    <w:abstractNumId w:val="12"/>
  </w:num>
  <w:num w:numId="22" w16cid:durableId="8142936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1"/>
  </w:num>
  <w:num w:numId="39" w16cid:durableId="1821342069">
    <w:abstractNumId w:val="16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2"/>
  </w:num>
  <w:num w:numId="46" w16cid:durableId="830481929">
    <w:abstractNumId w:val="29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8"/>
  </w:num>
  <w:num w:numId="51" w16cid:durableId="139419348">
    <w:abstractNumId w:val="26"/>
  </w:num>
  <w:num w:numId="52" w16cid:durableId="1936398048">
    <w:abstractNumId w:val="36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7"/>
  </w:num>
  <w:num w:numId="57" w16cid:durableId="798962457">
    <w:abstractNumId w:val="41"/>
  </w:num>
  <w:num w:numId="58" w16cid:durableId="1858494279">
    <w:abstractNumId w:val="30"/>
  </w:num>
  <w:num w:numId="59" w16cid:durableId="1898709751">
    <w:abstractNumId w:val="6"/>
  </w:num>
  <w:num w:numId="60" w16cid:durableId="1774129204">
    <w:abstractNumId w:val="35"/>
  </w:num>
  <w:num w:numId="61" w16cid:durableId="1497763964">
    <w:abstractNumId w:val="24"/>
  </w:num>
  <w:num w:numId="62" w16cid:durableId="1708332748">
    <w:abstractNumId w:val="18"/>
  </w:num>
  <w:num w:numId="63" w16cid:durableId="2139760345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67D"/>
    <w:rsid w:val="00006588"/>
    <w:rsid w:val="00006591"/>
    <w:rsid w:val="00006795"/>
    <w:rsid w:val="00007BAD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7B2"/>
    <w:rsid w:val="00063CE1"/>
    <w:rsid w:val="0006435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13C"/>
    <w:rsid w:val="00073465"/>
    <w:rsid w:val="0007348E"/>
    <w:rsid w:val="00073A55"/>
    <w:rsid w:val="00073E29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68D"/>
    <w:rsid w:val="000C65AB"/>
    <w:rsid w:val="000C68CA"/>
    <w:rsid w:val="000C72B4"/>
    <w:rsid w:val="000C7D73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362"/>
    <w:rsid w:val="000E550D"/>
    <w:rsid w:val="000E560F"/>
    <w:rsid w:val="000E5C91"/>
    <w:rsid w:val="000E628C"/>
    <w:rsid w:val="000E62B4"/>
    <w:rsid w:val="000E63BD"/>
    <w:rsid w:val="000E6545"/>
    <w:rsid w:val="000E6765"/>
    <w:rsid w:val="000E6D75"/>
    <w:rsid w:val="000E7673"/>
    <w:rsid w:val="000E7830"/>
    <w:rsid w:val="000F0212"/>
    <w:rsid w:val="000F0F57"/>
    <w:rsid w:val="000F1317"/>
    <w:rsid w:val="000F208D"/>
    <w:rsid w:val="000F26C7"/>
    <w:rsid w:val="000F339E"/>
    <w:rsid w:val="000F3508"/>
    <w:rsid w:val="000F3D2B"/>
    <w:rsid w:val="000F4185"/>
    <w:rsid w:val="000F4862"/>
    <w:rsid w:val="000F54A1"/>
    <w:rsid w:val="000F5920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5DAC"/>
    <w:rsid w:val="001260CB"/>
    <w:rsid w:val="00126748"/>
    <w:rsid w:val="001268CA"/>
    <w:rsid w:val="00126A8F"/>
    <w:rsid w:val="00126DA5"/>
    <w:rsid w:val="00127765"/>
    <w:rsid w:val="00127C34"/>
    <w:rsid w:val="001300E9"/>
    <w:rsid w:val="001313B9"/>
    <w:rsid w:val="0013226B"/>
    <w:rsid w:val="00132DD9"/>
    <w:rsid w:val="00133D07"/>
    <w:rsid w:val="00134D05"/>
    <w:rsid w:val="00134FCF"/>
    <w:rsid w:val="00135400"/>
    <w:rsid w:val="00136F16"/>
    <w:rsid w:val="00137D5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3E1"/>
    <w:rsid w:val="00155CC2"/>
    <w:rsid w:val="00155CFB"/>
    <w:rsid w:val="00156E1D"/>
    <w:rsid w:val="00157048"/>
    <w:rsid w:val="0015753D"/>
    <w:rsid w:val="00160C0B"/>
    <w:rsid w:val="00160D1D"/>
    <w:rsid w:val="00161C0B"/>
    <w:rsid w:val="001624CD"/>
    <w:rsid w:val="001627B1"/>
    <w:rsid w:val="001639E5"/>
    <w:rsid w:val="001641D6"/>
    <w:rsid w:val="001644D3"/>
    <w:rsid w:val="0016536B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0CD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D71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D93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5D6"/>
    <w:rsid w:val="001E078A"/>
    <w:rsid w:val="001E0D0C"/>
    <w:rsid w:val="001E18E0"/>
    <w:rsid w:val="001E2356"/>
    <w:rsid w:val="001E2B1E"/>
    <w:rsid w:val="001E3A1B"/>
    <w:rsid w:val="001E435A"/>
    <w:rsid w:val="001E4704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6DA"/>
    <w:rsid w:val="00202FB8"/>
    <w:rsid w:val="00203D3A"/>
    <w:rsid w:val="0020553F"/>
    <w:rsid w:val="002057AB"/>
    <w:rsid w:val="00205DFC"/>
    <w:rsid w:val="00207846"/>
    <w:rsid w:val="00207B39"/>
    <w:rsid w:val="00210B7C"/>
    <w:rsid w:val="0021157D"/>
    <w:rsid w:val="00211E4E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71"/>
    <w:rsid w:val="00251DD1"/>
    <w:rsid w:val="00251F7D"/>
    <w:rsid w:val="0025237D"/>
    <w:rsid w:val="00253DEB"/>
    <w:rsid w:val="002544C1"/>
    <w:rsid w:val="0025496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EC8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674"/>
    <w:rsid w:val="002F7ADC"/>
    <w:rsid w:val="002F7EE5"/>
    <w:rsid w:val="0030021B"/>
    <w:rsid w:val="00300329"/>
    <w:rsid w:val="003003B9"/>
    <w:rsid w:val="00300DAC"/>
    <w:rsid w:val="003010ED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BF8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AAF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C5F"/>
    <w:rsid w:val="003A1E59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3A2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868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2E6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100B"/>
    <w:rsid w:val="004416DF"/>
    <w:rsid w:val="004418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A8A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529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304"/>
    <w:rsid w:val="004E0DEB"/>
    <w:rsid w:val="004E1924"/>
    <w:rsid w:val="004E2652"/>
    <w:rsid w:val="004E2DEB"/>
    <w:rsid w:val="004E3C57"/>
    <w:rsid w:val="004E4E6C"/>
    <w:rsid w:val="004E5C47"/>
    <w:rsid w:val="004E5ECF"/>
    <w:rsid w:val="004E68E3"/>
    <w:rsid w:val="004E757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47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DA2"/>
    <w:rsid w:val="00545F54"/>
    <w:rsid w:val="00545FE0"/>
    <w:rsid w:val="005464E3"/>
    <w:rsid w:val="00546F07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C6A"/>
    <w:rsid w:val="00571B92"/>
    <w:rsid w:val="0057353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9B0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B1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4E0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08B"/>
    <w:rsid w:val="00613EFC"/>
    <w:rsid w:val="0061454C"/>
    <w:rsid w:val="00614712"/>
    <w:rsid w:val="00614CA3"/>
    <w:rsid w:val="00615042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88B"/>
    <w:rsid w:val="006C2957"/>
    <w:rsid w:val="006C323D"/>
    <w:rsid w:val="006C3818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2987"/>
    <w:rsid w:val="00712991"/>
    <w:rsid w:val="00712B02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0C7"/>
    <w:rsid w:val="0072053E"/>
    <w:rsid w:val="007207C4"/>
    <w:rsid w:val="00720F80"/>
    <w:rsid w:val="007233D7"/>
    <w:rsid w:val="00723841"/>
    <w:rsid w:val="0072399C"/>
    <w:rsid w:val="007252DF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7CA"/>
    <w:rsid w:val="007A1F3A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403"/>
    <w:rsid w:val="00805BD9"/>
    <w:rsid w:val="00806596"/>
    <w:rsid w:val="008104F8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2B0"/>
    <w:rsid w:val="008344A6"/>
    <w:rsid w:val="008347FC"/>
    <w:rsid w:val="008379C3"/>
    <w:rsid w:val="00837F34"/>
    <w:rsid w:val="0084162F"/>
    <w:rsid w:val="008419E2"/>
    <w:rsid w:val="00841D99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453D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4CA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503A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52"/>
    <w:rsid w:val="008D399A"/>
    <w:rsid w:val="008D4ECD"/>
    <w:rsid w:val="008D5269"/>
    <w:rsid w:val="008D60F8"/>
    <w:rsid w:val="008D743C"/>
    <w:rsid w:val="008E0443"/>
    <w:rsid w:val="008E0B58"/>
    <w:rsid w:val="008E17C3"/>
    <w:rsid w:val="008E1931"/>
    <w:rsid w:val="008E343A"/>
    <w:rsid w:val="008E35DE"/>
    <w:rsid w:val="008E3F2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0DA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7FE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6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27A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3C48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134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9BD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CF8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C69"/>
    <w:rsid w:val="00C0350A"/>
    <w:rsid w:val="00C03E22"/>
    <w:rsid w:val="00C04A3E"/>
    <w:rsid w:val="00C0529B"/>
    <w:rsid w:val="00C052EA"/>
    <w:rsid w:val="00C05312"/>
    <w:rsid w:val="00C064A7"/>
    <w:rsid w:val="00C06CCD"/>
    <w:rsid w:val="00C06CD4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4AEB"/>
    <w:rsid w:val="00C356F4"/>
    <w:rsid w:val="00C35782"/>
    <w:rsid w:val="00C36BE3"/>
    <w:rsid w:val="00C373C1"/>
    <w:rsid w:val="00C37769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6218"/>
    <w:rsid w:val="00C463F6"/>
    <w:rsid w:val="00C4651F"/>
    <w:rsid w:val="00C47079"/>
    <w:rsid w:val="00C47245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72D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58E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E86"/>
    <w:rsid w:val="00CB770C"/>
    <w:rsid w:val="00CB7F5D"/>
    <w:rsid w:val="00CC00D5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90A"/>
    <w:rsid w:val="00CD6334"/>
    <w:rsid w:val="00CD6A36"/>
    <w:rsid w:val="00CD7484"/>
    <w:rsid w:val="00CE0A3A"/>
    <w:rsid w:val="00CE1D6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A4F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413"/>
    <w:rsid w:val="00D22546"/>
    <w:rsid w:val="00D22722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3D6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EC5"/>
    <w:rsid w:val="00D52A3D"/>
    <w:rsid w:val="00D53367"/>
    <w:rsid w:val="00D53632"/>
    <w:rsid w:val="00D539BF"/>
    <w:rsid w:val="00D54AD2"/>
    <w:rsid w:val="00D54C28"/>
    <w:rsid w:val="00D55496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0B5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33F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6D75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37A"/>
    <w:rsid w:val="00E278E7"/>
    <w:rsid w:val="00E27E7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CA5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D97"/>
    <w:rsid w:val="00E55CCC"/>
    <w:rsid w:val="00E55EB0"/>
    <w:rsid w:val="00E56C36"/>
    <w:rsid w:val="00E56E07"/>
    <w:rsid w:val="00E57019"/>
    <w:rsid w:val="00E57477"/>
    <w:rsid w:val="00E5752D"/>
    <w:rsid w:val="00E605B5"/>
    <w:rsid w:val="00E61A27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BF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83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1235"/>
    <w:rsid w:val="00F61568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084"/>
    <w:rsid w:val="00FA3379"/>
    <w:rsid w:val="00FA455C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1C77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C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6C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6C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elements/1.1/"/>
    <ds:schemaRef ds:uri="2046fdb6-fa60-49a6-a635-1115ab0d207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da3fa48-c231-4f9d-a491-19361e04fcb4"/>
    <ds:schemaRef ds:uri="85f4b5cc-4033-44c7-b405-f5eed34c815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278</cp:revision>
  <cp:lastPrinted>2024-11-15T08:37:00Z</cp:lastPrinted>
  <dcterms:created xsi:type="dcterms:W3CDTF">2023-05-19T07:27:00Z</dcterms:created>
  <dcterms:modified xsi:type="dcterms:W3CDTF">2024-11-18T12:24:00Z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