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2 ke</w:t>
      </w:r>
      <w:bookmarkEnd w:id="0"/>
      <w:bookmarkEnd w:id="1"/>
      <w:bookmarkEnd w:id="2"/>
    </w:p>
    <w:p>
      <w:pPr>
        <w:pStyle w:val="Style2"/>
        <w:keepNext/>
        <w:keepLines/>
        <w:widowControl w:val="0"/>
        <w:shd w:val="clear" w:color="auto" w:fill="auto"/>
        <w:bidi w:val="0"/>
        <w:spacing w:before="0" w:after="20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200" w:line="240" w:lineRule="auto"/>
        <w:ind w:left="0" w:right="0" w:firstLine="0"/>
        <w:jc w:val="left"/>
        <w:rPr>
          <w:sz w:val="24"/>
          <w:szCs w:val="24"/>
        </w:rPr>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tabs>
          <w:tab w:pos="3533" w:val="left"/>
        </w:tabs>
        <w:bidi w:val="0"/>
        <w:spacing w:before="0" w:after="0" w:line="221" w:lineRule="auto"/>
        <w:ind w:left="0" w:right="0" w:firstLine="0"/>
        <w:jc w:val="center"/>
        <w:rPr>
          <w:sz w:val="24"/>
          <w:szCs w:val="24"/>
        </w:rPr>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Číslo smlouvy objednatele:</w:t>
        <w:tab/>
        <w:t>1233/2023</w:t>
      </w:r>
      <w:bookmarkEnd w:id="10"/>
      <w:bookmarkEnd w:id="11"/>
      <w:bookmarkEnd w:id="9"/>
    </w:p>
    <w:p>
      <w:pPr>
        <w:pStyle w:val="Style2"/>
        <w:keepNext/>
        <w:keepLines/>
        <w:widowControl w:val="0"/>
        <w:shd w:val="clear" w:color="auto" w:fill="auto"/>
        <w:bidi w:val="0"/>
        <w:spacing w:before="0" w:after="200" w:line="221" w:lineRule="auto"/>
        <w:ind w:left="2220" w:right="0" w:firstLine="0"/>
        <w:jc w:val="left"/>
        <w:rPr>
          <w:sz w:val="24"/>
          <w:szCs w:val="24"/>
        </w:rPr>
      </w:pP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Číslo smlouvy zhotovitele:</w:t>
      </w:r>
      <w:bookmarkEnd w:id="12"/>
      <w:bookmarkEnd w:id="13"/>
      <w:bookmarkEnd w:id="14"/>
    </w:p>
    <w:p>
      <w:pPr>
        <w:pStyle w:val="Style1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1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“Jez Černý Mlýn ř.km 209,162 - 209,362 - oprava spárování dlažeb v</w:t>
        <w:br/>
        <w:t>podjezí + úprava ocelového stavidla”</w:t>
      </w:r>
    </w:p>
    <w:p>
      <w:pPr>
        <w:pStyle w:val="Style2"/>
        <w:keepNext/>
        <w:keepLines/>
        <w:widowControl w:val="0"/>
        <w:shd w:val="clear" w:color="auto" w:fill="auto"/>
        <w:bidi w:val="0"/>
        <w:spacing w:before="0" w:after="20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2"/>
        <w:keepNext/>
        <w:keepLines/>
        <w:widowControl w:val="0"/>
        <w:shd w:val="clear" w:color="auto" w:fill="auto"/>
        <w:tabs>
          <w:tab w:pos="2788"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2"/>
        <w:keepNext/>
        <w:keepLines/>
        <w:widowControl w:val="0"/>
        <w:shd w:val="clear" w:color="auto" w:fill="auto"/>
        <w:tabs>
          <w:tab w:pos="2788"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 k podpisu smlouvy</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a k jednání o věcech smluvních:</w:t>
      </w:r>
      <w:bookmarkEnd w:id="30"/>
      <w:bookmarkEnd w:id="31"/>
      <w:bookmarkEnd w:id="32"/>
    </w:p>
    <w:p>
      <w:pPr>
        <w:pStyle w:val="Style2"/>
        <w:keepNext/>
        <w:keepLines/>
        <w:widowControl w:val="0"/>
        <w:shd w:val="clear" w:color="auto" w:fill="auto"/>
        <w:bidi w:val="0"/>
        <w:spacing w:before="0" w:after="20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oprávněn jednat o věcech technických:</w:t>
      </w:r>
      <w:bookmarkEnd w:id="33"/>
      <w:bookmarkEnd w:id="34"/>
      <w:bookmarkEnd w:id="35"/>
    </w:p>
    <w:p>
      <w:pPr>
        <w:pStyle w:val="Style2"/>
        <w:keepNext/>
        <w:keepLines/>
        <w:widowControl w:val="0"/>
        <w:shd w:val="clear" w:color="auto" w:fill="auto"/>
        <w:bidi w:val="0"/>
        <w:spacing w:before="0" w:after="2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technický dozor objednatele:</w:t>
      </w:r>
      <w:bookmarkEnd w:id="36"/>
      <w:bookmarkEnd w:id="37"/>
      <w:bookmarkEnd w:id="38"/>
    </w:p>
    <w:p>
      <w:pPr>
        <w:pStyle w:val="Style2"/>
        <w:keepNext/>
        <w:keepLines/>
        <w:widowControl w:val="0"/>
        <w:shd w:val="clear" w:color="auto" w:fill="auto"/>
        <w:tabs>
          <w:tab w:pos="2788"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IČO:</w:t>
        <w:tab/>
        <w:t>70889988</w:t>
      </w:r>
      <w:bookmarkEnd w:id="39"/>
      <w:bookmarkEnd w:id="40"/>
      <w:bookmarkEnd w:id="41"/>
    </w:p>
    <w:p>
      <w:pPr>
        <w:pStyle w:val="Style2"/>
        <w:keepNext/>
        <w:keepLines/>
        <w:widowControl w:val="0"/>
        <w:shd w:val="clear" w:color="auto" w:fill="auto"/>
        <w:tabs>
          <w:tab w:pos="2788"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DIČ:</w:t>
        <w:tab/>
        <w:t>CZ70889988</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bankovní spojení:</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číslo účtu:</w:t>
      </w:r>
      <w:bookmarkEnd w:id="48"/>
      <w:bookmarkEnd w:id="49"/>
      <w:bookmarkEnd w:id="50"/>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(dále jen „objednatel“)</w:t>
      </w:r>
      <w:bookmarkEnd w:id="51"/>
      <w:bookmarkEnd w:id="52"/>
      <w:bookmarkEnd w:id="53"/>
    </w:p>
    <w:p>
      <w:pPr>
        <w:pStyle w:val="Style2"/>
        <w:keepNext/>
        <w:keepLines/>
        <w:widowControl w:val="0"/>
        <w:shd w:val="clear" w:color="auto" w:fill="auto"/>
        <w:bidi w:val="0"/>
        <w:spacing w:before="0" w:after="200" w:line="240" w:lineRule="auto"/>
        <w:ind w:left="0" w:right="0" w:firstLine="0"/>
        <w:jc w:val="left"/>
      </w:pPr>
      <w:bookmarkStart w:id="54" w:name="bookmark54"/>
      <w:bookmarkStart w:id="55" w:name="bookmark55"/>
      <w:bookmarkStart w:id="56" w:name="bookmark56"/>
      <w:r>
        <w:rPr>
          <w:b/>
          <w:bCs/>
          <w:color w:val="000000"/>
          <w:spacing w:val="0"/>
          <w:w w:val="100"/>
          <w:position w:val="0"/>
          <w:shd w:val="clear" w:color="auto" w:fill="auto"/>
          <w:lang w:val="cs-CZ" w:eastAsia="cs-CZ" w:bidi="cs-CZ"/>
        </w:rPr>
        <w:t>a</w:t>
      </w:r>
      <w:bookmarkEnd w:id="54"/>
      <w:bookmarkEnd w:id="55"/>
      <w:bookmarkEnd w:id="56"/>
    </w:p>
    <w:p>
      <w:pPr>
        <w:pStyle w:val="Style2"/>
        <w:keepNext/>
        <w:keepLines/>
        <w:widowControl w:val="0"/>
        <w:shd w:val="clear" w:color="auto" w:fill="auto"/>
        <w:tabs>
          <w:tab w:pos="2788" w:val="left"/>
        </w:tabs>
        <w:bidi w:val="0"/>
        <w:spacing w:before="0" w:after="0" w:line="240" w:lineRule="auto"/>
        <w:ind w:left="0" w:right="0" w:firstLine="0"/>
        <w:jc w:val="left"/>
        <w:rPr>
          <w:sz w:val="24"/>
          <w:szCs w:val="24"/>
        </w:rPr>
      </w:pPr>
      <w:bookmarkStart w:id="57" w:name="bookmark57"/>
      <w:bookmarkStart w:id="58" w:name="bookmark58"/>
      <w:bookmarkStart w:id="59" w:name="bookmark59"/>
      <w:r>
        <w:rPr>
          <w:b/>
          <w:bCs/>
          <w:color w:val="000000"/>
          <w:spacing w:val="0"/>
          <w:w w:val="100"/>
          <w:position w:val="0"/>
          <w:sz w:val="22"/>
          <w:szCs w:val="22"/>
          <w:shd w:val="clear" w:color="auto" w:fill="auto"/>
          <w:lang w:val="cs-CZ" w:eastAsia="cs-CZ" w:bidi="cs-CZ"/>
        </w:rPr>
        <w:t>zhotovitel:</w:t>
        <w:tab/>
      </w:r>
      <w:r>
        <w:rPr>
          <w:b/>
          <w:bCs/>
          <w:color w:val="000000"/>
          <w:spacing w:val="0"/>
          <w:w w:val="100"/>
          <w:position w:val="0"/>
          <w:sz w:val="24"/>
          <w:szCs w:val="24"/>
          <w:shd w:val="clear" w:color="auto" w:fill="auto"/>
          <w:lang w:val="cs-CZ" w:eastAsia="cs-CZ" w:bidi="cs-CZ"/>
        </w:rPr>
        <w:t>RRR spol. s r.o.</w:t>
      </w:r>
      <w:bookmarkEnd w:id="57"/>
      <w:bookmarkEnd w:id="58"/>
      <w:bookmarkEnd w:id="59"/>
    </w:p>
    <w:p>
      <w:pPr>
        <w:pStyle w:val="Style2"/>
        <w:keepNext/>
        <w:keepLines/>
        <w:widowControl w:val="0"/>
        <w:shd w:val="clear" w:color="auto" w:fill="auto"/>
        <w:tabs>
          <w:tab w:pos="2788" w:val="left"/>
        </w:tabs>
        <w:bidi w:val="0"/>
        <w:spacing w:before="0" w:after="6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sídlo:</w:t>
        <w:tab/>
        <w:t>17. listopadu 5349, 430 04 Chomutov</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oprávněn(i) k podpisu smlouvy:</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oprávněn(i) jednat o věcech smluvních:</w:t>
      </w:r>
      <w:bookmarkEnd w:id="66"/>
      <w:bookmarkEnd w:id="67"/>
      <w:bookmarkEnd w:id="68"/>
    </w:p>
    <w:p>
      <w:pPr>
        <w:pStyle w:val="Style2"/>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oprávněn(i) jednat o věcech technických:</w:t>
      </w:r>
      <w:bookmarkEnd w:id="69"/>
      <w:bookmarkEnd w:id="70"/>
      <w:bookmarkEnd w:id="71"/>
    </w:p>
    <w:p>
      <w:pPr>
        <w:pStyle w:val="Style2"/>
        <w:keepNext/>
        <w:keepLines/>
        <w:widowControl w:val="0"/>
        <w:shd w:val="clear" w:color="auto" w:fill="auto"/>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stavbyvedoucí:</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manažer stavby:</w:t>
      </w:r>
      <w:bookmarkEnd w:id="75"/>
      <w:bookmarkEnd w:id="76"/>
      <w:bookmarkEnd w:id="77"/>
    </w:p>
    <w:p>
      <w:pPr>
        <w:pStyle w:val="Style2"/>
        <w:keepNext/>
        <w:keepLines/>
        <w:widowControl w:val="0"/>
        <w:shd w:val="clear" w:color="auto" w:fill="auto"/>
        <w:tabs>
          <w:tab w:pos="2788" w:val="left"/>
        </w:tabs>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IČO:</w:t>
        <w:tab/>
        <w:t>254 10 946</w:t>
      </w:r>
      <w:bookmarkEnd w:id="78"/>
      <w:bookmarkEnd w:id="79"/>
      <w:bookmarkEnd w:id="80"/>
    </w:p>
    <w:p>
      <w:pPr>
        <w:pStyle w:val="Style2"/>
        <w:keepNext/>
        <w:keepLines/>
        <w:widowControl w:val="0"/>
        <w:shd w:val="clear" w:color="auto" w:fill="auto"/>
        <w:tabs>
          <w:tab w:pos="2788" w:val="left"/>
        </w:tabs>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DIČ:</w:t>
        <w:tab/>
        <w:t>CZ25410946</w:t>
      </w:r>
      <w:bookmarkEnd w:id="81"/>
      <w:bookmarkEnd w:id="82"/>
      <w:bookmarkEnd w:id="83"/>
    </w:p>
    <w:p>
      <w:pPr>
        <w:pStyle w:val="Style2"/>
        <w:keepNext/>
        <w:keepLines/>
        <w:widowControl w:val="0"/>
        <w:shd w:val="clear" w:color="auto" w:fill="auto"/>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bankovní spojení:</w:t>
      </w:r>
      <w:bookmarkEnd w:id="84"/>
      <w:bookmarkEnd w:id="85"/>
      <w:bookmarkEnd w:id="86"/>
    </w:p>
    <w:p>
      <w:pPr>
        <w:pStyle w:val="Style2"/>
        <w:keepNext/>
        <w:keepLines/>
        <w:widowControl w:val="0"/>
        <w:shd w:val="clear" w:color="auto" w:fill="auto"/>
        <w:bidi w:val="0"/>
        <w:spacing w:before="0" w:after="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číslo účtu:</w:t>
      </w:r>
      <w:bookmarkEnd w:id="87"/>
      <w:bookmarkEnd w:id="88"/>
      <w:bookmarkEnd w:id="89"/>
    </w:p>
    <w:p>
      <w:pPr>
        <w:pStyle w:val="Style2"/>
        <w:keepNext/>
        <w:keepLines/>
        <w:widowControl w:val="0"/>
        <w:shd w:val="clear" w:color="auto" w:fill="auto"/>
        <w:bidi w:val="0"/>
        <w:spacing w:before="0" w:after="0" w:line="240" w:lineRule="auto"/>
        <w:ind w:left="0" w:right="0" w:firstLine="0"/>
        <w:jc w:val="left"/>
      </w:pPr>
      <w:bookmarkStart w:id="90" w:name="bookmark90"/>
      <w:bookmarkStart w:id="91" w:name="bookmark91"/>
      <w:bookmarkStart w:id="92" w:name="bookmark92"/>
      <w:r>
        <w:rPr>
          <w:color w:val="000000"/>
          <w:spacing w:val="0"/>
          <w:w w:val="100"/>
          <w:position w:val="0"/>
          <w:shd w:val="clear" w:color="auto" w:fill="auto"/>
          <w:lang w:val="cs-CZ" w:eastAsia="cs-CZ" w:bidi="cs-CZ"/>
        </w:rPr>
        <w:t>zápis v obchodním rejstříku, vedeného u Krajského soudu v Ústí nad Labem, oddíl C, vložka 16278.</w:t>
      </w:r>
      <w:bookmarkEnd w:id="90"/>
      <w:bookmarkEnd w:id="91"/>
      <w:bookmarkEnd w:id="92"/>
    </w:p>
    <w:p>
      <w:pPr>
        <w:pStyle w:val="Style2"/>
        <w:keepNext/>
        <w:keepLines/>
        <w:widowControl w:val="0"/>
        <w:shd w:val="clear" w:color="auto" w:fill="auto"/>
        <w:tabs>
          <w:tab w:pos="4949" w:val="left"/>
        </w:tabs>
        <w:bidi w:val="0"/>
        <w:spacing w:before="0" w:after="0" w:line="240" w:lineRule="auto"/>
        <w:ind w:left="0" w:right="0" w:firstLine="0"/>
        <w:jc w:val="left"/>
      </w:pPr>
      <w:bookmarkStart w:id="93" w:name="bookmark93"/>
      <w:bookmarkStart w:id="94" w:name="bookmark94"/>
      <w:bookmarkStart w:id="95" w:name="bookmark95"/>
      <w:r>
        <w:rPr>
          <w:color w:val="000000"/>
          <w:spacing w:val="0"/>
          <w:w w:val="100"/>
          <w:position w:val="0"/>
          <w:shd w:val="clear" w:color="auto" w:fill="auto"/>
          <w:lang w:val="cs-CZ" w:eastAsia="cs-CZ" w:bidi="cs-CZ"/>
        </w:rPr>
        <w:t>tel.:</w:t>
        <w:tab/>
        <w:t>e-mail:</w:t>
      </w:r>
      <w:bookmarkEnd w:id="93"/>
      <w:bookmarkEnd w:id="94"/>
      <w:bookmarkEnd w:id="95"/>
    </w:p>
    <w:p>
      <w:pPr>
        <w:pStyle w:val="Style2"/>
        <w:keepNext/>
        <w:keepLines/>
        <w:widowControl w:val="0"/>
        <w:shd w:val="clear" w:color="auto" w:fill="auto"/>
        <w:bidi w:val="0"/>
        <w:spacing w:before="0" w:after="200" w:line="240" w:lineRule="auto"/>
        <w:ind w:left="0" w:right="0" w:firstLine="0"/>
        <w:jc w:val="left"/>
      </w:pPr>
      <w:bookmarkStart w:id="96" w:name="bookmark96"/>
      <w:bookmarkStart w:id="97" w:name="bookmark97"/>
      <w:bookmarkStart w:id="98" w:name="bookmark98"/>
      <w:r>
        <w:rPr>
          <w:color w:val="000000"/>
          <w:spacing w:val="0"/>
          <w:w w:val="100"/>
          <w:position w:val="0"/>
          <w:shd w:val="clear" w:color="auto" w:fill="auto"/>
          <w:lang w:val="cs-CZ" w:eastAsia="cs-CZ" w:bidi="cs-CZ"/>
        </w:rPr>
        <w:t>(dále jen „zhotovitel“)</w:t>
      </w:r>
      <w:bookmarkEnd w:id="96"/>
      <w:bookmarkEnd w:id="97"/>
      <w:bookmarkEnd w:id="98"/>
    </w:p>
    <w:p>
      <w:pPr>
        <w:pStyle w:val="Style10"/>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w:t>
      </w:r>
    </w:p>
    <w:p>
      <w:pPr>
        <w:pStyle w:val="Style10"/>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99" w:name="bookmark99"/>
      <w:bookmarkEnd w:id="99"/>
      <w:r>
        <w:rPr>
          <w:b/>
          <w:bCs/>
          <w:color w:val="000000"/>
          <w:spacing w:val="0"/>
          <w:w w:val="100"/>
          <w:position w:val="0"/>
          <w:shd w:val="clear" w:color="auto" w:fill="auto"/>
          <w:lang w:val="cs-CZ" w:eastAsia="cs-CZ" w:bidi="cs-CZ"/>
        </w:rPr>
        <w:t>změnu předmětu díla</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17.09.2024,</w:t>
      </w:r>
    </w:p>
    <w:p>
      <w:pPr>
        <w:pStyle w:val="Style10"/>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100" w:name="bookmark100"/>
      <w:bookmarkEnd w:id="100"/>
      <w:r>
        <w:rPr>
          <w:b/>
          <w:bCs/>
          <w:color w:val="000000"/>
          <w:spacing w:val="0"/>
          <w:w w:val="100"/>
          <w:position w:val="0"/>
          <w:shd w:val="clear" w:color="auto" w:fill="auto"/>
          <w:lang w:val="cs-CZ" w:eastAsia="cs-CZ" w:bidi="cs-CZ"/>
        </w:rPr>
        <w:t>změnu ceny díla</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Tyto změny jsou obsahem Přílohy č. 1 Oceněného soupisu prací změn závazku ze dne 17.09.2024. Tato změna závazku ze smlouvy v souvislosti se zadáním dalších prací nemění celkovou povahu veřejné zakázky.</w:t>
      </w:r>
    </w:p>
    <w:p>
      <w:pPr>
        <w:pStyle w:val="Style10"/>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Změna byla řádně projednána a odsouhlasena zástupci smluvních stran na mimořádném kontrolním dnu stavby. Obě smluvní strany odsouhlasily a potvrdily oceněný soupis prací.</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10"/>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101" w:name="bookmark101"/>
      <w:bookmarkEnd w:id="101"/>
      <w:r>
        <w:rPr>
          <w:b/>
          <w:bCs/>
          <w:color w:val="000000"/>
          <w:spacing w:val="0"/>
          <w:w w:val="100"/>
          <w:position w:val="0"/>
          <w:shd w:val="clear" w:color="auto" w:fill="auto"/>
          <w:lang w:val="cs-CZ" w:eastAsia="cs-CZ" w:bidi="cs-CZ"/>
        </w:rPr>
        <w:t xml:space="preserve">Čl. I. Předmět díla </w:t>
      </w:r>
      <w:r>
        <w:rPr>
          <w:color w:val="000000"/>
          <w:spacing w:val="0"/>
          <w:w w:val="100"/>
          <w:position w:val="0"/>
          <w:shd w:val="clear" w:color="auto" w:fill="auto"/>
          <w:lang w:val="cs-CZ" w:eastAsia="cs-CZ" w:bidi="cs-CZ"/>
        </w:rPr>
        <w:t>v rozsahu přílohy tohoto dodatku – Oceněného soupisu prací změn závazku ze dne 17.09.2024, který se tímto stává nedílnou součástí smlouvy,</w:t>
      </w:r>
    </w:p>
    <w:p>
      <w:pPr>
        <w:pStyle w:val="Style10"/>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102" w:name="bookmark102"/>
      <w:bookmarkEnd w:id="102"/>
      <w:r>
        <w:rPr>
          <w:b/>
          <w:bCs/>
          <w:color w:val="000000"/>
          <w:spacing w:val="0"/>
          <w:w w:val="100"/>
          <w:position w:val="0"/>
          <w:shd w:val="clear" w:color="auto" w:fill="auto"/>
          <w:lang w:val="cs-CZ" w:eastAsia="cs-CZ" w:bidi="cs-CZ"/>
        </w:rPr>
        <w:t>Čl. III. Cena, odst. 1.</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Původní znění: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Jez Černý Mlýn ř.km 209,162-209,362 – oprava spárování dlažeb v podjezí</w:t>
      </w:r>
    </w:p>
    <w:tbl>
      <w:tblPr>
        <w:tblOverlap w:val="never"/>
        <w:jc w:val="center"/>
        <w:tblLayout w:type="fixed"/>
      </w:tblPr>
      <w:tblGrid>
        <w:gridCol w:w="1349"/>
        <w:gridCol w:w="7776"/>
      </w:tblGrid>
      <w:tr>
        <w:trPr>
          <w:trHeight w:val="1118"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1</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2</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3 VON</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kamenného obkladu jezu</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kamenné paty pravého břehu</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kamenné dlažby na pravém břehu Vedlejší a ostatní náklady</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(Jez Černý Mlýn ř.km 209,162-209,362 – oprava spárování dlažeb v podjezí): 10 014 888,58 Kč bez DPH</w:t>
      </w:r>
    </w:p>
    <w:p>
      <w:pPr>
        <w:widowControl w:val="0"/>
        <w:spacing w:after="199" w:line="1" w:lineRule="exact"/>
      </w:pP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Jez Černý Mlýn – úprava ocelového stavidla</w:t>
      </w:r>
    </w:p>
    <w:tbl>
      <w:tblPr>
        <w:tblOverlap w:val="never"/>
        <w:jc w:val="center"/>
        <w:tblLayout w:type="fixed"/>
      </w:tblPr>
      <w:tblGrid>
        <w:gridCol w:w="1349"/>
        <w:gridCol w:w="7776"/>
      </w:tblGrid>
      <w:tr>
        <w:trPr>
          <w:trHeight w:val="864"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PS 01</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PS 02</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VON</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 rozražečů</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PKO stavidlového uzávěru Vedlejší a ostatní náklady</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(Jez Černý Mlýn – úprava ocelového stavidla): 1 103 135,- Kč bez DPH</w:t>
      </w:r>
    </w:p>
    <w:p>
      <w:pPr>
        <w:widowControl w:val="0"/>
        <w:spacing w:after="439" w:line="1" w:lineRule="exact"/>
      </w:pP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Celková smluvní cena v Kč bez DPH za celý předmět díla</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(Jez Černý Mlýn ř.km 209,162-209,362 – oprava spárování dlažeb v podjezí a Jez Černý Mlýn – úprava ocelového stavidla):</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11 118 023,58 Kč</w:t>
      </w:r>
    </w:p>
    <w:p>
      <w:pPr>
        <w:pStyle w:val="Style10"/>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(slovy: jedenáct milionů jedno sto osmnáct tisíc dvacet tři korun českých padesát osm haléřů).</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Nové znění: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Jez Černý Mlýn ř.km 209,162-209,362 – oprava spárování dlažeb v podjezí</w:t>
      </w:r>
    </w:p>
    <w:tbl>
      <w:tblPr>
        <w:tblOverlap w:val="never"/>
        <w:jc w:val="left"/>
        <w:tblLayout w:type="fixed"/>
      </w:tblPr>
      <w:tblGrid>
        <w:gridCol w:w="1349"/>
        <w:gridCol w:w="7051"/>
      </w:tblGrid>
      <w:tr>
        <w:trPr>
          <w:trHeight w:val="1114"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1</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2</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3 VON</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kamenného obkladu jezu</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kamenné paty pravého břehu</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Oprava kamenné dlažby na pravém břehu Vedlejší a ostatní náklady</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(Jez Černý Mlýn ř.km 209,162-209,362 – oprava spárování dlažeb v podjezí): 10 014 888,58 Kč bez DPH</w:t>
      </w:r>
    </w:p>
    <w:p>
      <w:pPr>
        <w:widowControl w:val="0"/>
        <w:spacing w:after="199" w:line="1" w:lineRule="exact"/>
      </w:pP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Jez Černý Mlýn – úprava ocelového stavidla</w:t>
      </w:r>
    </w:p>
    <w:tbl>
      <w:tblPr>
        <w:tblOverlap w:val="never"/>
        <w:jc w:val="left"/>
        <w:tblLayout w:type="fixed"/>
      </w:tblPr>
      <w:tblGrid>
        <w:gridCol w:w="1349"/>
        <w:gridCol w:w="7046"/>
      </w:tblGrid>
      <w:tr>
        <w:trPr>
          <w:trHeight w:val="864"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PS 01</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PS 02</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VON</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 rozražečů</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PKO stavidlového uzávěru Vedlejší a ostatní náklady</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(Jez Černý Mlýn – úprava ocelového stavidla): 1 256 135,00 Kč bez DPH</w:t>
      </w:r>
    </w:p>
    <w:p>
      <w:pPr>
        <w:widowControl w:val="0"/>
        <w:spacing w:after="419" w:line="1" w:lineRule="exact"/>
      </w:pP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Celková smluvní cena v Kč bez DPH za celý předmět díla</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(Jez Černý Mlýn ř.km 209,162-209,362 – oprava spárování dlažeb v podjezí a Jez Černý Mlýn – úprava ocelového stavidla): </w:t>
      </w:r>
      <w:r>
        <w:rPr>
          <w:b/>
          <w:bCs/>
          <w:color w:val="000000"/>
          <w:spacing w:val="0"/>
          <w:w w:val="100"/>
          <w:position w:val="0"/>
          <w:shd w:val="clear" w:color="auto" w:fill="auto"/>
          <w:lang w:val="cs-CZ" w:eastAsia="cs-CZ" w:bidi="cs-CZ"/>
        </w:rPr>
        <w:t>11 271 023,58 Kč</w:t>
      </w:r>
    </w:p>
    <w:p>
      <w:pPr>
        <w:pStyle w:val="Style10"/>
        <w:keepNext w:val="0"/>
        <w:keepLines w:val="0"/>
        <w:widowControl w:val="0"/>
        <w:shd w:val="clear" w:color="auto" w:fill="auto"/>
        <w:bidi w:val="0"/>
        <w:spacing w:before="0" w:after="420" w:line="240" w:lineRule="auto"/>
        <w:ind w:left="0" w:right="0" w:firstLine="0"/>
        <w:jc w:val="both"/>
      </w:pPr>
      <w:r>
        <w:rPr>
          <w:b/>
          <w:bCs/>
          <w:color w:val="000000"/>
          <w:spacing w:val="0"/>
          <w:w w:val="100"/>
          <w:position w:val="0"/>
          <w:shd w:val="clear" w:color="auto" w:fill="auto"/>
          <w:lang w:val="cs-CZ" w:eastAsia="cs-CZ" w:bidi="cs-CZ"/>
        </w:rPr>
        <w:t>(slovy: jedenáct milionů dvě stě sedmdesát jedna tisíc dvacet tři korun českých padesát osm haléřů).</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Nedílnou součástí tohoto dodatku je:</w:t>
      </w:r>
    </w:p>
    <w:p>
      <w:pPr>
        <w:pStyle w:val="Style10"/>
        <w:keepNext w:val="0"/>
        <w:keepLines w:val="0"/>
        <w:widowControl w:val="0"/>
        <w:shd w:val="clear" w:color="auto" w:fill="auto"/>
        <w:bidi w:val="0"/>
        <w:spacing w:before="0" w:line="240" w:lineRule="auto"/>
        <w:ind w:left="0" w:right="0" w:firstLine="0"/>
        <w:jc w:val="both"/>
        <w:sectPr>
          <w:footerReference w:type="default" r:id="rId5"/>
          <w:footnotePr>
            <w:pos w:val="pageBottom"/>
            <w:numFmt w:val="decimal"/>
            <w:numRestart w:val="continuous"/>
          </w:footnotePr>
          <w:pgSz w:w="11909" w:h="16838"/>
          <w:pgMar w:top="1318" w:left="1394" w:right="1389" w:bottom="1716" w:header="890" w:footer="3" w:gutter="0"/>
          <w:pgNumType w:start="1"/>
          <w:cols w:space="720"/>
          <w:noEndnote/>
          <w:rtlGutter w:val="0"/>
          <w:docGrid w:linePitch="360"/>
        </w:sectPr>
      </w:pPr>
      <w:r>
        <w:rPr>
          <w:color w:val="000000"/>
          <w:spacing w:val="0"/>
          <w:w w:val="100"/>
          <w:position w:val="0"/>
          <w:shd w:val="clear" w:color="auto" w:fill="auto"/>
          <w:lang w:val="cs-CZ" w:eastAsia="cs-CZ" w:bidi="cs-CZ"/>
        </w:rPr>
        <w:t>Příloha č. 1: Oceněný soupis prací změn závazku ze dne 17.09.2024</w:t>
      </w:r>
    </w:p>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10"/>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pgSz w:w="11909" w:h="16838"/>
          <w:pgMar w:top="912" w:left="1394" w:right="2421" w:bottom="11296" w:header="484" w:footer="3" w:gutter="0"/>
          <w:cols w:num="2" w:space="1715"/>
          <w:noEndnote/>
          <w:rtlGutter w:val="0"/>
          <w:docGrid w:linePitch="360"/>
        </w:sectPr>
      </w:pPr>
      <w:r>
        <w:rPr>
          <w:color w:val="000000"/>
          <w:spacing w:val="0"/>
          <w:w w:val="100"/>
          <w:position w:val="0"/>
          <w:shd w:val="clear" w:color="auto" w:fill="auto"/>
          <w:lang w:val="cs-CZ" w:eastAsia="cs-CZ" w:bidi="cs-CZ"/>
        </w:rPr>
        <w:t>V Chomutově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912" w:left="0" w:right="0" w:bottom="128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4030980</wp:posOffset>
                </wp:positionH>
                <wp:positionV relativeFrom="paragraph">
                  <wp:posOffset>12700</wp:posOffset>
                </wp:positionV>
                <wp:extent cx="1021080" cy="389890"/>
                <wp:wrapSquare wrapText="bothSides"/>
                <wp:docPr id="3" name="Shape 3"/>
                <a:graphic xmlns:a="http://schemas.openxmlformats.org/drawingml/2006/main">
                  <a:graphicData uri="http://schemas.microsoft.com/office/word/2010/wordprocessingShape">
                    <wps:wsp>
                      <wps:cNvSpPr txBox="1"/>
                      <wps:spPr>
                        <a:xfrm>
                          <a:ext cx="1021080" cy="3898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RRR spol. s r.o.</w:t>
                            </w:r>
                          </w:p>
                        </w:txbxContent>
                      </wps:txbx>
                      <wps:bodyPr lIns="0" tIns="0" rIns="0" bIns="0">
                        <a:noAutoFit/>
                      </wps:bodyPr>
                    </wps:wsp>
                  </a:graphicData>
                </a:graphic>
              </wp:anchor>
            </w:drawing>
          </mc:Choice>
          <mc:Fallback>
            <w:pict>
              <v:shape id="_x0000_s1029" type="#_x0000_t202" style="position:absolute;margin-left:317.40000000000003pt;margin-top:1.pt;width:80.400000000000006pt;height:30.699999999999999pt;z-index:-12582937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RRR spol. s r.o.</w:t>
                      </w:r>
                    </w:p>
                  </w:txbxContent>
                </v:textbox>
                <w10:wrap type="square" anchorx="page"/>
              </v:shape>
            </w:pict>
          </mc:Fallback>
        </mc:AlternateConten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912" w:left="1394" w:right="5560" w:bottom="128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5765165</wp:posOffset>
              </wp:positionH>
              <wp:positionV relativeFrom="page">
                <wp:posOffset>9975215</wp:posOffset>
              </wp:positionV>
              <wp:extent cx="899160" cy="216535"/>
              <wp:wrapNone/>
              <wp:docPr id="1" name="Shape 1"/>
              <a:graphic xmlns:a="http://schemas.openxmlformats.org/drawingml/2006/main">
                <a:graphicData uri="http://schemas.microsoft.com/office/word/2010/wordprocessingShape">
                  <wps:wsp>
                    <wps:cNvSpPr txBox="1"/>
                    <wps:spPr>
                      <a:xfrm>
                        <a:ext cx="89916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3.94999999999999pt;margin-top:785.45000000000005pt;width:70.799999999999997pt;height:17.0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8"/>
      <w:szCs w:val="28"/>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17">
    <w:name w:val="Style 17"/>
    <w:basedOn w:val="Normal"/>
    <w:link w:val="CharStyle18"/>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