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1240700052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Lučice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Lučice,</w:t>
      </w:r>
      <w:r>
        <w:rPr>
          <w:spacing w:val="-3"/>
        </w:rPr>
        <w:t> </w:t>
      </w:r>
      <w:r>
        <w:rPr/>
        <w:t>č.p.</w:t>
      </w:r>
      <w:r>
        <w:rPr>
          <w:spacing w:val="-4"/>
        </w:rPr>
        <w:t> </w:t>
      </w:r>
      <w:r>
        <w:rPr/>
        <w:t>90,</w:t>
      </w:r>
      <w:r>
        <w:rPr>
          <w:spacing w:val="-2"/>
        </w:rPr>
        <w:t> </w:t>
      </w:r>
      <w:r>
        <w:rPr/>
        <w:t>582</w:t>
      </w:r>
      <w:r>
        <w:rPr>
          <w:spacing w:val="-2"/>
        </w:rPr>
        <w:t> </w:t>
      </w:r>
      <w:r>
        <w:rPr/>
        <w:t>35</w:t>
      </w:r>
      <w:r>
        <w:rPr>
          <w:spacing w:val="-3"/>
        </w:rPr>
        <w:t> </w:t>
      </w:r>
      <w:r>
        <w:rPr>
          <w:spacing w:val="-2"/>
        </w:rPr>
        <w:t>Lučice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00267830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Martinou</w:t>
      </w:r>
      <w:r>
        <w:rPr>
          <w:spacing w:val="-2"/>
        </w:rPr>
        <w:t> </w:t>
      </w:r>
      <w:r>
        <w:rPr/>
        <w:t>V a</w:t>
      </w:r>
      <w:r>
        <w:rPr>
          <w:spacing w:val="-3"/>
        </w:rPr>
        <w:t> </w:t>
      </w:r>
      <w:r>
        <w:rPr/>
        <w:t>ň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917521/0710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1240700052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373"/>
        <w:jc w:val="both"/>
      </w:pPr>
      <w:r>
        <w:rPr/>
        <w:t>„Splašková</w:t>
      </w:r>
      <w:r>
        <w:rPr>
          <w:spacing w:val="-7"/>
        </w:rPr>
        <w:t> </w:t>
      </w:r>
      <w:r>
        <w:rPr/>
        <w:t>kanalizace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ČOV</w:t>
      </w:r>
      <w:r>
        <w:rPr>
          <w:spacing w:val="-8"/>
        </w:rPr>
        <w:t> </w:t>
      </w:r>
      <w:r>
        <w:rPr>
          <w:spacing w:val="-2"/>
        </w:rPr>
        <w:t>Lučice“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b/>
          <w:sz w:val="20"/>
        </w:rPr>
        <w:t>63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253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246,71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4"/>
          <w:sz w:val="20"/>
        </w:rPr>
        <w:t> </w:t>
      </w:r>
      <w:r>
        <w:rPr>
          <w:sz w:val="20"/>
        </w:rPr>
        <w:t>(slovy:</w:t>
      </w:r>
      <w:r>
        <w:rPr>
          <w:spacing w:val="-14"/>
          <w:sz w:val="20"/>
        </w:rPr>
        <w:t> </w:t>
      </w:r>
      <w:r>
        <w:rPr>
          <w:sz w:val="20"/>
        </w:rPr>
        <w:t>šedesát</w:t>
      </w:r>
      <w:r>
        <w:rPr>
          <w:spacing w:val="-14"/>
          <w:sz w:val="20"/>
        </w:rPr>
        <w:t> </w:t>
      </w:r>
      <w:r>
        <w:rPr>
          <w:sz w:val="20"/>
        </w:rPr>
        <w:t>tři</w:t>
      </w:r>
      <w:r>
        <w:rPr>
          <w:spacing w:val="-13"/>
          <w:sz w:val="20"/>
        </w:rPr>
        <w:t> </w:t>
      </w:r>
      <w:r>
        <w:rPr>
          <w:sz w:val="20"/>
        </w:rPr>
        <w:t>miliónů</w:t>
      </w:r>
      <w:r>
        <w:rPr>
          <w:spacing w:val="-14"/>
          <w:sz w:val="20"/>
        </w:rPr>
        <w:t> </w:t>
      </w:r>
      <w:r>
        <w:rPr>
          <w:sz w:val="20"/>
        </w:rPr>
        <w:t>dvě</w:t>
      </w:r>
      <w:r>
        <w:rPr>
          <w:spacing w:val="-14"/>
          <w:sz w:val="20"/>
        </w:rPr>
        <w:t> </w:t>
      </w:r>
      <w:r>
        <w:rPr>
          <w:sz w:val="20"/>
        </w:rPr>
        <w:t>stě</w:t>
      </w:r>
      <w:r>
        <w:rPr>
          <w:spacing w:val="-13"/>
          <w:sz w:val="20"/>
        </w:rPr>
        <w:t> </w:t>
      </w:r>
      <w:r>
        <w:rPr>
          <w:sz w:val="20"/>
        </w:rPr>
        <w:t>padesát</w:t>
      </w:r>
      <w:r>
        <w:rPr>
          <w:spacing w:val="-13"/>
          <w:sz w:val="20"/>
        </w:rPr>
        <w:t> </w:t>
      </w:r>
      <w:r>
        <w:rPr>
          <w:sz w:val="20"/>
        </w:rPr>
        <w:t>tři</w:t>
      </w:r>
      <w:r>
        <w:rPr>
          <w:spacing w:val="-14"/>
          <w:sz w:val="20"/>
        </w:rPr>
        <w:t> </w:t>
      </w:r>
      <w:r>
        <w:rPr>
          <w:sz w:val="20"/>
        </w:rPr>
        <w:t>tisíc</w:t>
      </w:r>
      <w:r>
        <w:rPr>
          <w:spacing w:val="-14"/>
          <w:sz w:val="20"/>
        </w:rPr>
        <w:t> </w:t>
      </w:r>
      <w:r>
        <w:rPr>
          <w:sz w:val="20"/>
        </w:rPr>
        <w:t>dvě</w:t>
      </w:r>
      <w:r>
        <w:rPr>
          <w:spacing w:val="-14"/>
          <w:sz w:val="20"/>
        </w:rPr>
        <w:t> </w:t>
      </w:r>
      <w:r>
        <w:rPr>
          <w:sz w:val="20"/>
        </w:rPr>
        <w:t>stě</w:t>
      </w:r>
      <w:r>
        <w:rPr>
          <w:spacing w:val="-13"/>
          <w:sz w:val="20"/>
        </w:rPr>
        <w:t> </w:t>
      </w:r>
      <w:r>
        <w:rPr>
          <w:sz w:val="20"/>
        </w:rPr>
        <w:t>čtyřicet šest korun českých a sedmdesát jedna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105 422 077,86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8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24001408.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2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1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„Splašková</w:t>
      </w:r>
      <w:r>
        <w:rPr>
          <w:spacing w:val="-10"/>
          <w:sz w:val="20"/>
        </w:rPr>
        <w:t> </w:t>
      </w:r>
      <w:r>
        <w:rPr>
          <w:sz w:val="20"/>
        </w:rPr>
        <w:t>kanalizace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ČOV</w:t>
      </w:r>
      <w:r>
        <w:rPr>
          <w:spacing w:val="-9"/>
          <w:sz w:val="20"/>
        </w:rPr>
        <w:t> </w:t>
      </w:r>
      <w:r>
        <w:rPr>
          <w:sz w:val="20"/>
        </w:rPr>
        <w:t>Lučice“</w:t>
      </w:r>
      <w:r>
        <w:rPr>
          <w:spacing w:val="-11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výstavbou</w:t>
      </w:r>
      <w:r>
        <w:rPr>
          <w:spacing w:val="-4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7,40</w:t>
      </w:r>
      <w:r>
        <w:rPr>
          <w:spacing w:val="-6"/>
          <w:sz w:val="20"/>
        </w:rPr>
        <w:t> </w:t>
      </w:r>
      <w:r>
        <w:rPr>
          <w:sz w:val="20"/>
        </w:rPr>
        <w:t>km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čistírny</w:t>
      </w:r>
      <w:r>
        <w:rPr>
          <w:spacing w:val="-7"/>
          <w:sz w:val="20"/>
        </w:rPr>
        <w:t> </w:t>
      </w:r>
      <w:r>
        <w:rPr>
          <w:sz w:val="20"/>
        </w:rPr>
        <w:t>odpadních</w:t>
      </w:r>
      <w:r>
        <w:rPr>
          <w:spacing w:val="-5"/>
          <w:sz w:val="20"/>
        </w:rPr>
        <w:t> </w:t>
      </w:r>
      <w:r>
        <w:rPr>
          <w:sz w:val="20"/>
        </w:rPr>
        <w:t>vod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kapacitě</w:t>
      </w:r>
      <w:r>
        <w:rPr>
          <w:spacing w:val="-6"/>
          <w:sz w:val="20"/>
        </w:rPr>
        <w:t> </w:t>
      </w:r>
      <w:r>
        <w:rPr>
          <w:sz w:val="20"/>
        </w:rPr>
        <w:t>800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</w:t>
      </w:r>
      <w:r>
        <w:rPr>
          <w:spacing w:val="-1"/>
          <w:sz w:val="20"/>
        </w:rPr>
        <w:t> </w:t>
      </w:r>
      <w:r>
        <w:rPr>
          <w:sz w:val="20"/>
        </w:rPr>
        <w:t>599 EO na zlepšené čištění odpadních vod, na ČOV Lučice bude odstraňováno znečištění 24,40 t/rok </w:t>
      </w:r>
      <w:r>
        <w:rPr>
          <w:spacing w:val="-2"/>
          <w:sz w:val="20"/>
        </w:rPr>
        <w:t>CHSKCr,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dodržovat</w:t>
      </w:r>
      <w:r>
        <w:rPr>
          <w:spacing w:val="53"/>
          <w:sz w:val="20"/>
        </w:rPr>
        <w:t> </w:t>
      </w:r>
      <w:r>
        <w:rPr>
          <w:sz w:val="20"/>
        </w:rPr>
        <w:t>povinnosti</w:t>
      </w:r>
      <w:r>
        <w:rPr>
          <w:spacing w:val="56"/>
          <w:sz w:val="20"/>
        </w:rPr>
        <w:t> </w:t>
      </w:r>
      <w:r>
        <w:rPr>
          <w:sz w:val="20"/>
        </w:rPr>
        <w:t>podle</w:t>
      </w:r>
      <w:r>
        <w:rPr>
          <w:spacing w:val="53"/>
          <w:sz w:val="20"/>
        </w:rPr>
        <w:t> </w:t>
      </w:r>
      <w:r>
        <w:rPr>
          <w:sz w:val="20"/>
        </w:rPr>
        <w:t>čl.</w:t>
      </w:r>
      <w:r>
        <w:rPr>
          <w:spacing w:val="53"/>
          <w:sz w:val="20"/>
        </w:rPr>
        <w:t> </w:t>
      </w:r>
      <w:r>
        <w:rPr>
          <w:sz w:val="20"/>
        </w:rPr>
        <w:t>10</w:t>
      </w:r>
      <w:r>
        <w:rPr>
          <w:spacing w:val="54"/>
          <w:sz w:val="20"/>
        </w:rPr>
        <w:t> </w:t>
      </w:r>
      <w:r>
        <w:rPr>
          <w:sz w:val="20"/>
        </w:rPr>
        <w:t>písm.</w:t>
      </w:r>
      <w:r>
        <w:rPr>
          <w:spacing w:val="56"/>
          <w:sz w:val="20"/>
        </w:rPr>
        <w:t> </w:t>
      </w:r>
      <w:r>
        <w:rPr>
          <w:sz w:val="20"/>
        </w:rPr>
        <w:t>v)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4"/>
          <w:sz w:val="20"/>
        </w:rPr>
        <w:t> </w:t>
      </w:r>
      <w:r>
        <w:rPr>
          <w:sz w:val="20"/>
        </w:rPr>
        <w:t>tj.</w:t>
      </w:r>
      <w:r>
        <w:rPr>
          <w:spacing w:val="54"/>
          <w:sz w:val="20"/>
        </w:rPr>
        <w:t> </w:t>
      </w:r>
      <w:r>
        <w:rPr>
          <w:sz w:val="20"/>
        </w:rPr>
        <w:t>veškeré</w:t>
      </w:r>
      <w:r>
        <w:rPr>
          <w:spacing w:val="53"/>
          <w:sz w:val="20"/>
        </w:rPr>
        <w:t> </w:t>
      </w:r>
      <w:r>
        <w:rPr>
          <w:sz w:val="20"/>
        </w:rPr>
        <w:t>výdaje</w:t>
      </w:r>
      <w:r>
        <w:rPr>
          <w:spacing w:val="53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18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08/2027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2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73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11/2027 předložit prostřednictvím AIS SFŽP ČR Fondu podklady k 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3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než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tato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původně</w:t>
      </w:r>
      <w:r>
        <w:rPr>
          <w:spacing w:val="-6"/>
        </w:rPr>
        <w:t> </w:t>
      </w:r>
      <w:r>
        <w:rPr>
          <w:spacing w:val="-2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7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5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before="1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9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samostatného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" w:after="0"/>
        <w:ind w:left="809" w:right="111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40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6"/>
          <w:sz w:val="20"/>
        </w:rPr>
        <w:t> </w:t>
      </w:r>
      <w:r>
        <w:rPr>
          <w:sz w:val="20"/>
        </w:rPr>
        <w:t>manuálem</w:t>
      </w:r>
      <w:r>
        <w:rPr>
          <w:spacing w:val="38"/>
          <w:sz w:val="20"/>
        </w:rPr>
        <w:t> </w:t>
      </w:r>
      <w:r>
        <w:rPr>
          <w:sz w:val="20"/>
        </w:rPr>
        <w:t>k Nástroji</w:t>
      </w:r>
      <w:r>
        <w:rPr>
          <w:spacing w:val="36"/>
          <w:sz w:val="20"/>
        </w:rPr>
        <w:t> </w:t>
      </w:r>
      <w:r>
        <w:rPr>
          <w:sz w:val="20"/>
        </w:rPr>
        <w:t>Udržitelnost</w:t>
      </w:r>
      <w:r>
        <w:rPr>
          <w:spacing w:val="38"/>
          <w:sz w:val="20"/>
        </w:rPr>
        <w:t> </w:t>
      </w:r>
      <w:r>
        <w:rPr>
          <w:sz w:val="20"/>
        </w:rPr>
        <w:t>včetně</w:t>
      </w:r>
      <w:r>
        <w:rPr>
          <w:spacing w:val="36"/>
          <w:sz w:val="20"/>
        </w:rPr>
        <w:t> </w:t>
      </w:r>
      <w:r>
        <w:rPr>
          <w:sz w:val="20"/>
        </w:rPr>
        <w:t>relevantních</w:t>
      </w:r>
      <w:r>
        <w:rPr>
          <w:spacing w:val="37"/>
          <w:sz w:val="20"/>
        </w:rPr>
        <w:t> </w:t>
      </w:r>
      <w:r>
        <w:rPr>
          <w:sz w:val="20"/>
        </w:rPr>
        <w:t>příloh.</w:t>
      </w:r>
      <w:r>
        <w:rPr>
          <w:spacing w:val="39"/>
          <w:sz w:val="20"/>
        </w:rPr>
        <w:t> </w:t>
      </w:r>
      <w:r>
        <w:rPr>
          <w:sz w:val="20"/>
        </w:rPr>
        <w:t>Nástroj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předložen</w:t>
      </w:r>
      <w:r>
        <w:rPr>
          <w:spacing w:val="37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</w:t>
      </w:r>
      <w:r>
        <w:rPr>
          <w:spacing w:val="-1"/>
          <w:sz w:val="20"/>
        </w:rPr>
        <w:t> </w:t>
      </w:r>
      <w:r>
        <w:rPr>
          <w:sz w:val="20"/>
        </w:rPr>
        <w:t>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3"/>
          <w:sz w:val="20"/>
        </w:rPr>
        <w:t> </w:t>
      </w:r>
      <w:r>
        <w:rPr>
          <w:sz w:val="20"/>
        </w:rPr>
        <w:t>Plánu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3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6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7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385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2024-11-13T13:31:58Z</dcterms:created>
  <dcterms:modified xsi:type="dcterms:W3CDTF">2024-11-13T13:31:58Z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2024-11-13T00:00:00Z</vt:filetime>
  </property>
</Properties>
</file>