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5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a Ji</w:t>
      </w:r>
      <w:bookmarkEnd w:id="0"/>
    </w:p>
    <w:p>
      <w:pPr>
        <w:pStyle w:val="Style4"/>
        <w:framePr w:w="8755" w:h="1482" w:hRule="exact" w:wrap="none" w:vAnchor="page" w:hAnchor="page" w:x="1555" w:y="2127"/>
        <w:widowControl w:val="0"/>
        <w:keepNext w:val="0"/>
        <w:keepLines w:val="0"/>
        <w:shd w:val="clear" w:color="auto" w:fill="auto"/>
        <w:bidi w:val="0"/>
        <w:spacing w:before="0" w:after="214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poskytnutí ubytovacích siuzeo</w:t>
      </w:r>
      <w:bookmarkEnd w:id="1"/>
    </w:p>
    <w:p>
      <w:pPr>
        <w:pStyle w:val="Style6"/>
        <w:framePr w:w="8755" w:h="1482" w:hRule="exact" w:wrap="none" w:vAnchor="page" w:hAnchor="page" w:x="1555" w:y="2127"/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Ubytovatel:</w:t>
        <w:tab/>
        <w:t>Jindřich Málek - Penzion Komex</w:t>
      </w:r>
    </w:p>
    <w:p>
      <w:pPr>
        <w:pStyle w:val="Style6"/>
        <w:framePr w:w="8755" w:h="1482" w:hRule="exact" w:wrap="none" w:vAnchor="page" w:hAnchor="page" w:x="1555" w:y="21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3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 Rokytnice nad Jizerou, Rokytno 19, 51245 Bankovní spojení: účet č.</w:t>
      </w:r>
    </w:p>
    <w:p>
      <w:pPr>
        <w:pStyle w:val="Style8"/>
        <w:framePr w:w="8755" w:h="1482" w:hRule="exact" w:wrap="none" w:vAnchor="page" w:hAnchor="page" w:x="1555" w:y="21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firstLine="0"/>
      </w:pPr>
      <w:r>
        <w:rPr>
          <w:rStyle w:val="CharStyle1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"ubytovatel")</w:t>
      </w:r>
    </w:p>
    <w:p>
      <w:pPr>
        <w:pStyle w:val="Style6"/>
        <w:framePr w:w="8755" w:h="2334" w:hRule="exact" w:wrap="none" w:vAnchor="page" w:hAnchor="page" w:x="1555" w:y="4002"/>
        <w:tabs>
          <w:tab w:leader="none" w:pos="26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 (firma ):</w:t>
        <w:tab/>
        <w:t>Základní škola a Mateřská škola Emy Destinnové</w:t>
      </w:r>
    </w:p>
    <w:p>
      <w:pPr>
        <w:pStyle w:val="Style6"/>
        <w:framePr w:w="8755" w:h="2334" w:hRule="exact" w:wrap="none" w:vAnchor="page" w:hAnchor="page" w:x="1555" w:y="4002"/>
        <w:widowControl w:val="0"/>
        <w:keepNext w:val="0"/>
        <w:keepLines w:val="0"/>
        <w:shd w:val="clear" w:color="auto" w:fill="auto"/>
        <w:bidi w:val="0"/>
        <w:spacing w:before="0" w:after="0"/>
        <w:ind w:left="2820" w:right="1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rodné číslo (IČ, DIČ): IČO:48133892 DIČ:CZ48133892 bydliště (sídlo): nám.Svobody 3/930 , 16000 , Praha 6 Bankovní spojení:</w:t>
      </w:r>
    </w:p>
    <w:p>
      <w:pPr>
        <w:pStyle w:val="Style8"/>
        <w:framePr w:w="8755" w:h="2334" w:hRule="exact" w:wrap="none" w:vAnchor="page" w:hAnchor="page" w:x="1555" w:y="4002"/>
        <w:widowControl w:val="0"/>
        <w:keepNext w:val="0"/>
        <w:keepLines w:val="0"/>
        <w:shd w:val="clear" w:color="auto" w:fill="auto"/>
        <w:bidi w:val="0"/>
        <w:jc w:val="both"/>
        <w:spacing w:before="0" w:after="248"/>
        <w:ind w:left="2820" w:right="0" w:firstLine="0"/>
      </w:pPr>
      <w:r>
        <w:rPr>
          <w:rStyle w:val="CharStyle1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"ubytovaný")</w:t>
      </w:r>
    </w:p>
    <w:p>
      <w:pPr>
        <w:pStyle w:val="Style6"/>
        <w:framePr w:w="8755" w:h="2334" w:hRule="exact" w:wrap="none" w:vAnchor="page" w:hAnchor="page" w:x="1555" w:y="4002"/>
        <w:widowControl w:val="0"/>
        <w:keepNext w:val="0"/>
        <w:keepLines w:val="0"/>
        <w:shd w:val="clear" w:color="auto" w:fill="auto"/>
        <w:bidi w:val="0"/>
        <w:spacing w:before="0" w:after="288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uzavřeli dále uvedeného dne, měsíce a roku ve smyslu ustanovení § 51 a § 754 občanského zákoníku v platném znění tuto</w:t>
      </w:r>
    </w:p>
    <w:p>
      <w:pPr>
        <w:pStyle w:val="Style11"/>
        <w:framePr w:w="8755" w:h="2334" w:hRule="exact" w:wrap="none" w:vAnchor="page" w:hAnchor="page" w:x="1555" w:y="40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color w:val="000000"/>
          <w:position w:val="0"/>
        </w:rPr>
        <w:t>Smlouvu oposkytnutí ubytovacích služeb</w:t>
      </w:r>
      <w:bookmarkEnd w:id="2"/>
    </w:p>
    <w:p>
      <w:pPr>
        <w:pStyle w:val="Style13"/>
        <w:numPr>
          <w:ilvl w:val="0"/>
          <w:numId w:val="1"/>
        </w:numPr>
        <w:framePr w:w="8755" w:h="2209" w:hRule="exact" w:wrap="none" w:vAnchor="page" w:hAnchor="page" w:x="1555" w:y="6808"/>
        <w:tabs>
          <w:tab w:leader="none" w:pos="37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354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3"/>
    </w:p>
    <w:p>
      <w:pPr>
        <w:pStyle w:val="Style6"/>
        <w:framePr w:w="8755" w:h="2209" w:hRule="exact" w:wrap="none" w:vAnchor="page" w:hAnchor="page" w:x="1555" w:y="68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 prohlašuje, že poskytne ubytování se stravováním ve svém soukromém zařízení - Penzion Komex,v Rokytnici nad Jizerou, Rokytno 19,51245.</w:t>
      </w:r>
    </w:p>
    <w:p>
      <w:pPr>
        <w:pStyle w:val="Style8"/>
        <w:framePr w:w="8755" w:h="2209" w:hRule="exact" w:wrap="none" w:vAnchor="page" w:hAnchor="page" w:x="1555" w:y="680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"/>
          <w:b w:val="0"/>
          <w:bCs w:val="0"/>
        </w:rPr>
        <w:t xml:space="preserve">Termín ubytování 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PP: </w:t>
      </w:r>
      <w:r>
        <w:rPr>
          <w:rStyle w:val="CharStyle10"/>
          <w:b w:val="0"/>
          <w:bCs w:val="0"/>
        </w:rPr>
        <w:t xml:space="preserve">od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06.03.2017 do 11.03.2017</w:t>
      </w:r>
    </w:p>
    <w:p>
      <w:pPr>
        <w:pStyle w:val="Style6"/>
        <w:framePr w:w="8755" w:h="2209" w:hRule="exact" w:wrap="none" w:vAnchor="page" w:hAnchor="page" w:x="1555" w:y="68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Ubytovaný: Základní škola a Mateřská škola Emy Destinnové,nám.Svobody 3/930 ,160 00,Praha 6 IČO:48133892 DIČ:CZ48133892 Počet ubytovaných osob:50</w:t>
      </w:r>
    </w:p>
    <w:p>
      <w:pPr>
        <w:pStyle w:val="Style6"/>
        <w:framePr w:w="8755" w:h="2209" w:hRule="exact" w:wrap="none" w:vAnchor="page" w:hAnchor="page" w:x="1555" w:y="68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Seznam osob: Jméno a příjmení, Adresa,Datum nar. ČOP od 15-ti let Vzor:</w:t>
      </w:r>
    </w:p>
    <w:tbl>
      <w:tblPr>
        <w:tblOverlap w:val="never"/>
        <w:tblLayout w:type="fixed"/>
        <w:jc w:val="left"/>
      </w:tblPr>
      <w:tblGrid>
        <w:gridCol w:w="1752"/>
        <w:gridCol w:w="2184"/>
        <w:gridCol w:w="1690"/>
        <w:gridCol w:w="1709"/>
      </w:tblGrid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7334" w:h="528" w:wrap="none" w:vAnchor="page" w:hAnchor="page" w:x="1968" w:y="9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5"/>
              </w:rPr>
              <w:t>Jméno a příjmení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7334" w:h="528" w:wrap="none" w:vAnchor="page" w:hAnchor="page" w:x="1968" w:y="9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Adresa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7334" w:h="528" w:wrap="none" w:vAnchor="page" w:hAnchor="page" w:x="1968" w:y="9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5"/>
              </w:rPr>
              <w:t>Datum narození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7334" w:h="528" w:wrap="none" w:vAnchor="page" w:hAnchor="page" w:x="1968" w:y="9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5"/>
              </w:rPr>
              <w:t>ČOP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34" w:h="528" w:wrap="none" w:vAnchor="page" w:hAnchor="page" w:x="1968" w:y="9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34" w:h="528" w:wrap="none" w:vAnchor="page" w:hAnchor="page" w:x="1968" w:y="9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34" w:h="528" w:wrap="none" w:vAnchor="page" w:hAnchor="page" w:x="1968" w:y="92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34" w:h="528" w:wrap="none" w:vAnchor="page" w:hAnchor="page" w:x="1968" w:y="924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numPr>
          <w:ilvl w:val="0"/>
          <w:numId w:val="1"/>
        </w:numPr>
        <w:framePr w:w="8755" w:h="4417" w:hRule="exact" w:wrap="none" w:vAnchor="page" w:hAnchor="page" w:x="1555" w:y="10265"/>
        <w:tabs>
          <w:tab w:leader="none" w:pos="3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344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4"/>
    </w:p>
    <w:p>
      <w:pPr>
        <w:pStyle w:val="Style6"/>
        <w:framePr w:w="8755" w:h="4417" w:hRule="exact" w:wrap="none" w:vAnchor="page" w:hAnchor="page" w:x="1555" w:y="10265"/>
        <w:widowControl w:val="0"/>
        <w:keepNext w:val="0"/>
        <w:keepLines w:val="0"/>
        <w:shd w:val="clear" w:color="auto" w:fill="auto"/>
        <w:bidi w:val="0"/>
        <w:jc w:val="left"/>
        <w:spacing w:before="0" w:after="25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Ubytovaný se zavazuje, že za poskytnuté služby uvedené ve článku č.l., uhradí smluvní cenu, na základě rozpisu počtu ubytovaných a počtu ubytovacích dní, které budou uvedeny na faktuře, či příjmovém dokladu. Ubytovaný se dále zavazuje uhradit smluvenou cenu takto: zálohu v minimální výši 60% z ceny celého pobytu při podpisu této smlouvy, nebo při závazné objednávce ubytování. Zbývající částku uhradí nejpozději v den příjezdu na místo ubytování ubytovateli objektu nebo pověřenému pracovníkovi, před předáním ubytovacích prostor (pokud celá částka nebyla poukázána na uvedený bankovní účet, či v hotovosti). V den příjezdu uhradí dále pobytový a rekreační poplatek .pokud již nebyl uhrazen dopředu. Poplatek je určen MÚ v Rokytnici nad Jizerou, který odvede ubytovatel MÚ v řádném termínu. Úhradu zálohy 60%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event.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100% ceny klient provede na základě předložené zálohové faktury (variabilní symbol - viz číslo faktury, konstantní symbol 0308). Fakturu - daňový doklad ubytovaný obdrží v termínu uskutečnění zdanitelného plnění.</w:t>
      </w:r>
    </w:p>
    <w:p>
      <w:pPr>
        <w:pStyle w:val="Style13"/>
        <w:numPr>
          <w:ilvl w:val="0"/>
          <w:numId w:val="1"/>
        </w:numPr>
        <w:framePr w:w="8755" w:h="4417" w:hRule="exact" w:wrap="none" w:vAnchor="page" w:hAnchor="page" w:x="1555" w:y="10265"/>
        <w:tabs>
          <w:tab w:leader="none" w:pos="37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344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Změna podmínek</w:t>
      </w:r>
      <w:bookmarkEnd w:id="5"/>
    </w:p>
    <w:p>
      <w:pPr>
        <w:pStyle w:val="Style6"/>
        <w:framePr w:w="8755" w:h="4417" w:hRule="exact" w:wrap="none" w:vAnchor="page" w:hAnchor="page" w:x="1555" w:y="1026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ubytovatel nucen z objektivních důvodů před zahájením pobytu změnit podmínky smlouvy, je oprávněn navrhnout ubytovanému změnu smlouvy. Pokud navrhovaná změna smlouvy vede i ke změně ceny poskytovaných služeb, zavazuje se v návrhu uvést novou cenu. Navrhne-li ubytovatel</w:t>
      </w:r>
    </w:p>
    <w:p>
      <w:pPr>
        <w:pStyle w:val="Style16"/>
        <w:framePr w:w="8755" w:h="4417" w:hRule="exact" w:wrap="none" w:vAnchor="page" w:hAnchor="page" w:x="1555" w:y="102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</w:t>
      </w:r>
      <w:r>
        <w:rPr>
          <w:rStyle w:val="CharStyle18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spacing w:before="0" w:after="233"/>
        <w:ind w:left="0" w:right="0" w:firstLine="0"/>
      </w:pPr>
      <w:r>
        <w:rPr>
          <w:rStyle w:val="CharStyle7"/>
        </w:rPr>
        <w:t>změnu smlouvy, je ubytovaný oprávněn se rozhodnout, zda bude se změnou smlouvy souhlasit, nebo</w:t>
        <w:br/>
        <w:t>zda od ní odstoupí. Pokud ubytovaný ve lhůtě určené ubytovatelem, která bude nejméně 5 dnů od</w:t>
        <w:br/>
        <w:t>doručení návrhu na změnu smlouvy, od smlouvy neodstoupí, má se za to, že s její změnou souhlasí.</w:t>
      </w:r>
    </w:p>
    <w:p>
      <w:pPr>
        <w:pStyle w:val="Style13"/>
        <w:numPr>
          <w:ilvl w:val="0"/>
          <w:numId w:val="1"/>
        </w:numPr>
        <w:framePr w:w="8664" w:h="12936" w:hRule="exact" w:wrap="none" w:vAnchor="page" w:hAnchor="page" w:x="1600" w:y="1703"/>
        <w:tabs>
          <w:tab w:leader="none" w:pos="38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7"/>
        <w:ind w:left="346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Zrušení ubytování</w:t>
      </w:r>
      <w:bookmarkEnd w:id="6"/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Ubytovaný je oprávněn před zahájením ubytování od smlouvy odstoupit. Je-li důvodem odstoupení ubytovaného od smlouvy porušení závazku k poskytnutí ubytovacích služeb ze strany ubytovatele nebo nedojde-li k uzavření nové smlouvy dle čl.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Ill,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zavazuje se ubytovatel bez zbytečného odkladu vrátit ubytovanému vše, co od něho obdržel na úhradu ceny služeb podle zrušené smlouvy, aniž by byl ubytovaný povinen hradit odstupné.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 je oprávněn před zahájením ubytování od smlouvy odstoupit jen z důvodu zrušení termínu ubytování ze závažných provozních důvodů na straně ubytovatele anebo z důvodu porušení závazků ze strany ubytovaného. Ubytovatel je oprávněn odstoupit od smlouvy v průběhu ubytování , jestliže ubytovaný v prostorách ubytovacího zařízení i přes výstrahu hrubě porušuje dobré mravy nebo jinak hrubě porušuje a nedodržuje své závazky a povinnosti, specifikované v této smlouvě. Odstoupí-li ubytovatel od smlouvy z důvodu zrušení termínu ubytování před jeho zahájením, má ubytovaný právo požadovat, aby mu na základě nové smlouvy byl poskytnut jiný termín ubytování nejméně v kvalitě odpovídající původní smlouvě, je-li ubytovatel schopen takový termín nabídnout. Při uzavření nové smlouvy se platby uskutečněné na základě původní smlouvy považují za platby pro plnění nové smlouvy. Je-li cena služeb u nového termínu ubytování nižší než již uskutečněné platby podle předchozí věty, zavazuje se ubytovatel tento rozdíl bez zbytečného odkladu klientovi vrátit.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22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 je povinen zaplatit ubytovateli odstupné (storno poplatky), pokud odstoupí od smlouvy z jiných důvodů než které jsou uvedeny v této smlouvě a to takto: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den odstoupení od smlouvy: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více než 50 dní před nástupem ubytování 10% z ceny ubytování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30 až 49 dní před nástupem ubytování 30% z ceny ubytování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15 až 29 dní před nástupem ubytování 50% z ceny ubytování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 až 14 dní před nástupem ubytování 70% z ceny ubytování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 až 7 dní před nástupem ubytování 90% z ceny ubytování</w:t>
      </w:r>
    </w:p>
    <w:p>
      <w:pPr>
        <w:pStyle w:val="Style6"/>
        <w:numPr>
          <w:ilvl w:val="0"/>
          <w:numId w:val="3"/>
        </w:numPr>
        <w:framePr w:w="8664" w:h="12936" w:hRule="exact" w:wrap="none" w:vAnchor="page" w:hAnchor="page" w:x="1600" w:y="1703"/>
        <w:tabs>
          <w:tab w:leader="none" w:pos="1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den nástupu ubytování až 3 dny před nástupem ubytování 100% z ceny ubytování</w:t>
      </w:r>
    </w:p>
    <w:p>
      <w:pPr>
        <w:pStyle w:val="Style13"/>
        <w:numPr>
          <w:ilvl w:val="0"/>
          <w:numId w:val="1"/>
        </w:numPr>
        <w:framePr w:w="8664" w:h="12936" w:hRule="exact" w:wrap="none" w:vAnchor="page" w:hAnchor="page" w:x="1600" w:y="1703"/>
        <w:tabs>
          <w:tab w:leader="none" w:pos="38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7"/>
        <w:ind w:left="354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Převod smlouvy</w:t>
      </w:r>
      <w:bookmarkEnd w:id="7"/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 zahájením ubytování je ubytovaný oprávněn využít sjednaných služeb ve prospěch jiné osoby za podmínky, že tuto skutečnost písemně oznámí ubytovateli. Dnem doručení oznámení se osoba v něm uvedená stává novým ubytovaným. Oznámení musí obsahovat prohlášení nového klienta, že souhlasí s uzavřenou smlouvou. Původní a nový klient společně a nerozdílně odpovídají za zaplacení ceny poskytovaných služeb a úhradu nákladů, pokud takové náklady v souvislosti se změnou klienta vzniknou.</w:t>
      </w:r>
    </w:p>
    <w:p>
      <w:pPr>
        <w:pStyle w:val="Style13"/>
        <w:numPr>
          <w:ilvl w:val="0"/>
          <w:numId w:val="1"/>
        </w:numPr>
        <w:framePr w:w="8664" w:h="12936" w:hRule="exact" w:wrap="none" w:vAnchor="page" w:hAnchor="page" w:x="1600" w:y="1703"/>
        <w:tabs>
          <w:tab w:leader="none" w:pos="23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Ubytovací prostory a povinnosti smluvních stran</w:t>
      </w:r>
      <w:bookmarkEnd w:id="8"/>
    </w:p>
    <w:p>
      <w:pPr>
        <w:pStyle w:val="Style19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74"/>
        <w:ind w:left="7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 je oprávněn užívat prostory ubytovacího zařízení, jakož i užívat společné prostory ubytovacího zařízení. Práva a závazky vyplývající z této smlouvy se přiměřeně vztahují i na osoby uvedené v článku č.l. této smlouvy ubytované spolu s ubytovaným. Odpovědnost za dodržování závazků podle této smlouvy ze strany uvedených osob nese ubytovaný.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 se zavazuje odevzdat ubytovanému prostory ubytovacího zařízení ve stavu způsobilém pro řádné užívání a zajistit mu nerušený výkon jeho práv spojených s ubytováním.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Ubytovaný se zavazuje užívat prostory ubytovacího zařízení a plnění s ním spojená řádně; v těchto prostorách </w:t>
      </w:r>
      <w:r>
        <w:rPr>
          <w:rStyle w:val="CharStyle21"/>
        </w:rPr>
        <w:t xml:space="preserve">nesmí ubytovaný bez souhlasu ubytovatele zejména ubytovávat jiné než smluvené osoby nebo počet osob přesahující počet smluvený,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provádět podstatné změny na těchto prostorách. Ubytovaný se zavazuje ubytovateli odevzdat prostoty ubytovacího zařízení řádně a včas.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dojde-li k poškození nebo zničení inventáře nebo jiného majetku ubytovaným nebo osobami s ním ubytovanými, škodu v plné výši je povinen ubytovaný uhradit ubytovateli nejpozději v den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center"/>
        <w:spacing w:before="0" w:after="233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- 3 -</w:t>
      </w:r>
    </w:p>
    <w:p>
      <w:pPr>
        <w:pStyle w:val="Style6"/>
        <w:framePr w:w="8664" w:h="12936" w:hRule="exact" w:wrap="none" w:vAnchor="page" w:hAnchor="page" w:x="1600" w:y="170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ukončení smlouvy /ubytování/ nebo na základě uzavřené písemné dohody. Při ztrátě klíčů od objektu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22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 ubytovaný povinen uhradit ubytovateli částku 1.000,- Kč k provedení opatření k výměně zámků. Ubytovatel odpovídá za věci vnesené klientem do těchto prostor dle Občanského zákoníku, ustanovení § 433 a § 436 a to jen do výše plnění pojistné události.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22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 je dále povinen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uhradit smluvní cenu za ubytování dle platného ceníku</w:t>
      </w:r>
    </w:p>
    <w:p>
      <w:pPr>
        <w:pStyle w:val="Style6"/>
        <w:numPr>
          <w:ilvl w:val="0"/>
          <w:numId w:val="7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rádně užívat prostory určené k ubytování, dodržovat pořádek a čistotu na pokoji /zejména na sociálních zařízeních/, před ukončením pobytu uvést vše do původního stavu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seznámit se s Ubytovacím řádem a dodržovat jej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průtahů oznámit potřebu provedení oprav v prostorách vyhrazených k ubytování</w:t>
      </w:r>
    </w:p>
    <w:p>
      <w:pPr>
        <w:pStyle w:val="Style6"/>
        <w:numPr>
          <w:ilvl w:val="0"/>
          <w:numId w:val="7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opouštění objektu tento řádně uzamykat a uzavírat všechna okna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bezodkladně oznámit poškození nebo škodu, kterou ubytovaný v prostorách způsobil.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 nesmí bez souhlasu ubytovatele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provádět podstatné změny v ubytovacích prostorách /stěhovat nábytek apod./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používat v prostorách vlastní spotřebiče, bez předchozího oznámení ubytovateli, nebo přes jeho zákaz,</w:t>
      </w:r>
    </w:p>
    <w:p>
      <w:pPr>
        <w:pStyle w:val="Style6"/>
        <w:numPr>
          <w:ilvl w:val="0"/>
          <w:numId w:val="7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přenechat prostory vyhrazené k ubytování jiné osobě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přijímat návštěvy v objektu ubytování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ubytovávat či přechovávat v objektu zvířata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uvádět adresu jako místo podnikání.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Ubytovaný dále v prostorách objektu nesmí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nosit zbraň a střelivo, nebo je jinak přechovávat ve stavu umožňujícím jejich okamžité použití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držet, vyrábět nebo přechovávat omamné nebo psychotropní látky anebo jedy, nejde-li o léčiva, jejichž užívání bylo ubytovanému předepsáno lékařem.</w:t>
      </w:r>
    </w:p>
    <w:p>
      <w:pPr>
        <w:pStyle w:val="Style6"/>
        <w:numPr>
          <w:ilvl w:val="0"/>
          <w:numId w:val="5"/>
        </w:numPr>
        <w:framePr w:w="8621" w:h="12614" w:hRule="exact" w:wrap="none" w:vAnchor="page" w:hAnchor="page" w:x="1622" w:y="1553"/>
        <w:tabs>
          <w:tab w:leader="none" w:pos="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2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Kouřit uvnitř celého objektu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 dbá na odstranění oznámených závad bez zbytečných průtahů, jakož i odpovídá za technický a hygienický stav objektu.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Rodiče batolat a malých dětí jsou odpovědni zajistit dodržování čistoty v pokojích. Jedná se zejména</w:t>
      </w:r>
    </w:p>
    <w:p>
      <w:pPr>
        <w:pStyle w:val="Style6"/>
        <w:numPr>
          <w:ilvl w:val="0"/>
          <w:numId w:val="9"/>
        </w:numPr>
        <w:framePr w:w="8621" w:h="12614" w:hRule="exact" w:wrap="none" w:vAnchor="page" w:hAnchor="page" w:x="1622" w:y="1553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ochranu postelí, sedacích souprav před znečištěním dětmi, které nejsou dosud schopny udržovat osobní hygienu.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Parkování vozidel ubytovaných je umožněno na vlastním přilehlém parkovišti před objektem. Tyto parkovací plochy jsou otevřené a tudíž ubytovatel neručí za případné odcizení vozidla, nebo věcí ve vozidle.</w:t>
      </w:r>
    </w:p>
    <w:p>
      <w:pPr>
        <w:pStyle w:val="Style13"/>
        <w:numPr>
          <w:ilvl w:val="0"/>
          <w:numId w:val="1"/>
        </w:numPr>
        <w:framePr w:w="8621" w:h="12614" w:hRule="exact" w:wrap="none" w:vAnchor="page" w:hAnchor="page" w:x="1622" w:y="1553"/>
        <w:tabs>
          <w:tab w:leader="none" w:pos="39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6" w:line="211" w:lineRule="exact"/>
        <w:ind w:left="35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Plnění závazků</w:t>
      </w:r>
      <w:bookmarkEnd w:id="9"/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Ubytovatel odpovídá za porušení svých závazků z této smlouvy. Nesplní-li ubytovatel své závazky vyplývající ze smlouvy řádně a včas, ubytovaný může uplatnit své právo u ubytovatele bez zbytečného odkladu, ‘nejpozději však do 7 dnů od skončení termínu ubytování. / ‘písemnou formou na adresu /</w:t>
      </w:r>
    </w:p>
    <w:p>
      <w:pPr>
        <w:pStyle w:val="Style13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center"/>
        <w:spacing w:before="0" w:after="207"/>
        <w:ind w:left="0" w:right="6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Vlil. Závěrečné ustanovení</w:t>
      </w:r>
      <w:bookmarkEnd w:id="10"/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Tuto smlouvu lze měnit pouze formou písemných, číslovaných a oběmi smluvními stranami * podepsaných dodatků.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Součástí této smlouvy není pojištění.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sepisuje ve dvou stejnopisech, z nichž každá ze smluvních stran obdrží jedno vyhotovení a to jen v případě vyžádání ubytovaným.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oběmi smluvními stranami nebo jejím akceptováním a úhrady zálohy smluvní ceny za poskytnuté služby.</w:t>
      </w:r>
    </w:p>
    <w:p>
      <w:pPr>
        <w:pStyle w:val="Style6"/>
        <w:numPr>
          <w:ilvl w:val="0"/>
          <w:numId w:val="11"/>
        </w:numPr>
        <w:framePr w:w="8621" w:h="12614" w:hRule="exact" w:wrap="none" w:vAnchor="page" w:hAnchor="page" w:x="1622" w:y="1553"/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případě nesplnění povinnosti celkové úhrady smluvní ceny nebo nedodržení termínu splatnosti tato smlouva pozbývá platnosti.</w:t>
      </w:r>
    </w:p>
    <w:p>
      <w:pPr>
        <w:pStyle w:val="Style6"/>
        <w:numPr>
          <w:ilvl w:val="0"/>
          <w:numId w:val="11"/>
        </w:numPr>
        <w:framePr w:w="8621" w:h="12614" w:hRule="exact" w:wrap="none" w:vAnchor="page" w:hAnchor="page" w:x="1622" w:y="1553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 11.01.17</w:t>
      </w:r>
    </w:p>
    <w:p>
      <w:pPr>
        <w:pStyle w:val="Style6"/>
        <w:numPr>
          <w:ilvl w:val="0"/>
          <w:numId w:val="9"/>
        </w:numPr>
        <w:framePr w:w="8621" w:h="12614" w:hRule="exact" w:wrap="none" w:vAnchor="page" w:hAnchor="page" w:x="1622" w:y="1553"/>
        <w:tabs>
          <w:tab w:leader="none" w:pos="286" w:val="left"/>
          <w:tab w:leader="none" w:pos="3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ihwtnuatfii; Jindřich Málek</w:t>
        <w:tab/>
        <w:t>Ubytovaný: Základní škola a Mateřská škola Emy</w:t>
      </w:r>
    </w:p>
    <w:p>
      <w:pPr>
        <w:pStyle w:val="Style6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4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Destinnové, nám.Svobody 3/930 ,160 00,Praha 6</w:t>
      </w:r>
    </w:p>
    <w:p>
      <w:pPr>
        <w:pStyle w:val="Style22"/>
        <w:framePr w:w="8621" w:h="12614" w:hRule="exact" w:wrap="none" w:vAnchor="page" w:hAnchor="page" w:x="1622" w:y="1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76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ooono niA-rT/io^rf^oTv^N. </w:t>
      </w:r>
      <w:r>
        <w:rPr>
          <w:rStyle w:val="CharStyle24"/>
        </w:rPr>
        <w:t>/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■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0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/>
      <w:iCs/>
      <w:u w:val="none"/>
      <w:strike w:val="0"/>
      <w:smallCaps w:val="0"/>
      <w:sz w:val="62"/>
      <w:szCs w:val="62"/>
      <w:rFonts w:ascii="Arial" w:eastAsia="Arial" w:hAnsi="Arial" w:cs="Arial"/>
    </w:rPr>
  </w:style>
  <w:style w:type="character" w:customStyle="1" w:styleId="CharStyle5">
    <w:name w:val="Heading #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0">
    <w:name w:val="Body text (3) + Not Bold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2">
    <w:name w:val="Heading #3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30"/>
    </w:rPr>
  </w:style>
  <w:style w:type="character" w:customStyle="1" w:styleId="CharStyle14">
    <w:name w:val="Heading #4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5">
    <w:name w:val="Body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8">
    <w:name w:val="Body text (4) + 9 pt"/>
    <w:basedOn w:val="CharStyle17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 w:val="0"/>
      <w:bCs w:val="0"/>
      <w:i/>
      <w:iCs/>
      <w:u w:val="none"/>
      <w:strike w:val="0"/>
      <w:smallCaps w:val="0"/>
      <w:sz w:val="14"/>
      <w:szCs w:val="14"/>
      <w:rFonts w:ascii="Courier New" w:eastAsia="Courier New" w:hAnsi="Courier New" w:cs="Courier New"/>
    </w:rPr>
  </w:style>
  <w:style w:type="character" w:customStyle="1" w:styleId="CharStyle21">
    <w:name w:val="Body text (2) +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0"/>
    </w:rPr>
  </w:style>
  <w:style w:type="character" w:customStyle="1" w:styleId="CharStyle24">
    <w:name w:val="Body text (6) + Copperplate Gothic Bold,4 pt,Italic"/>
    <w:basedOn w:val="CharStyle23"/>
    <w:rPr>
      <w:lang w:val="cs-CZ" w:eastAsia="cs-CZ" w:bidi="cs-CZ"/>
      <w:i/>
      <w:iCs/>
      <w:sz w:val="8"/>
      <w:szCs w:val="8"/>
      <w:rFonts w:ascii="Copperplate Gothic Bold" w:eastAsia="Copperplate Gothic Bold" w:hAnsi="Copperplate Gothic Bold" w:cs="Copperplate Gothic Bold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after="1180" w:line="692" w:lineRule="exact"/>
    </w:pPr>
    <w:rPr>
      <w:b w:val="0"/>
      <w:bCs w:val="0"/>
      <w:i/>
      <w:iCs/>
      <w:u w:val="none"/>
      <w:strike w:val="0"/>
      <w:smallCaps w:val="0"/>
      <w:sz w:val="62"/>
      <w:szCs w:val="62"/>
      <w:rFonts w:ascii="Arial" w:eastAsia="Arial" w:hAnsi="Arial" w:cs="Arial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FFFFFF"/>
      <w:jc w:val="center"/>
      <w:outlineLvl w:val="1"/>
      <w:spacing w:before="1180" w:after="120" w:line="33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120" w:line="21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480"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1">
    <w:name w:val="Heading #3"/>
    <w:basedOn w:val="Normal"/>
    <w:link w:val="CharStyle12"/>
    <w:pPr>
      <w:widowControl w:val="0"/>
      <w:shd w:val="clear" w:color="auto" w:fill="FFFFFF"/>
      <w:jc w:val="center"/>
      <w:outlineLvl w:val="2"/>
      <w:spacing w:before="320" w:after="48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30"/>
    </w:rPr>
  </w:style>
  <w:style w:type="paragraph" w:customStyle="1" w:styleId="Style13">
    <w:name w:val="Heading #4"/>
    <w:basedOn w:val="Normal"/>
    <w:link w:val="CharStyle14"/>
    <w:pPr>
      <w:widowControl w:val="0"/>
      <w:shd w:val="clear" w:color="auto" w:fill="FFFFFF"/>
      <w:outlineLvl w:val="3"/>
      <w:spacing w:before="480" w:after="240"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center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after="140" w:line="134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Courier New" w:eastAsia="Courier New" w:hAnsi="Courier New" w:cs="Courier New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