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C3" w:rsidRDefault="007132B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akceptaci platebních karet</w:t>
      </w:r>
      <w:bookmarkEnd w:id="0"/>
      <w:bookmarkEnd w:id="1"/>
    </w:p>
    <w:p w:rsidR="00E034C3" w:rsidRDefault="007132BA">
      <w:pPr>
        <w:pStyle w:val="Zkladntext1"/>
        <w:shd w:val="clear" w:color="auto" w:fill="auto"/>
        <w:spacing w:line="216" w:lineRule="auto"/>
        <w:jc w:val="center"/>
      </w:pPr>
      <w:r>
        <w:t>(dále jen „</w:t>
      </w:r>
      <w:r>
        <w:rPr>
          <w:b/>
          <w:bCs/>
        </w:rPr>
        <w:t>Smlouva</w:t>
      </w:r>
      <w:r>
        <w:t>“)</w:t>
      </w:r>
    </w:p>
    <w:p w:rsidR="00E034C3" w:rsidRDefault="007132BA">
      <w:pPr>
        <w:pStyle w:val="Zkladntext1"/>
        <w:shd w:val="clear" w:color="auto" w:fill="auto"/>
      </w:pPr>
      <w:r>
        <w:t>mezi</w:t>
      </w:r>
    </w:p>
    <w:p w:rsidR="00E034C3" w:rsidRDefault="007132BA">
      <w:pPr>
        <w:pStyle w:val="Nadpis2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EVO Payments International s.r.o.</w:t>
      </w:r>
      <w:bookmarkEnd w:id="2"/>
      <w:bookmarkEnd w:id="3"/>
    </w:p>
    <w:p w:rsidR="00E034C3" w:rsidRDefault="007132BA">
      <w:pPr>
        <w:pStyle w:val="Zkladntext1"/>
        <w:shd w:val="clear" w:color="auto" w:fill="auto"/>
        <w:spacing w:after="0"/>
      </w:pPr>
      <w:r>
        <w:t>se sídlem: V olšinách 626/80, Strašnice, 100 00 Praha 10, Česká republika</w:t>
      </w:r>
    </w:p>
    <w:p w:rsidR="00E034C3" w:rsidRDefault="007132BA">
      <w:pPr>
        <w:pStyle w:val="Zkladntext1"/>
        <w:shd w:val="clear" w:color="auto" w:fill="auto"/>
        <w:spacing w:after="0"/>
      </w:pPr>
      <w:r>
        <w:t>IČ: 03802205</w:t>
      </w:r>
    </w:p>
    <w:p w:rsidR="00E034C3" w:rsidRDefault="007132BA">
      <w:pPr>
        <w:pStyle w:val="Zkladntext1"/>
        <w:shd w:val="clear" w:color="auto" w:fill="auto"/>
        <w:spacing w:after="0"/>
      </w:pPr>
      <w:r>
        <w:t>DIČ: CZ03802205</w:t>
      </w:r>
    </w:p>
    <w:p w:rsidR="00E034C3" w:rsidRDefault="007132BA">
      <w:pPr>
        <w:pStyle w:val="Zkladntext1"/>
        <w:shd w:val="clear" w:color="auto" w:fill="auto"/>
        <w:spacing w:after="0"/>
      </w:pPr>
      <w:r w:rsidRPr="00D77F5C">
        <w:rPr>
          <w:lang w:eastAsia="en-US" w:bidi="en-US"/>
        </w:rPr>
        <w:t>Miktaszewicz Zdzistaw</w:t>
      </w:r>
    </w:p>
    <w:p w:rsidR="00E034C3" w:rsidRDefault="007132BA">
      <w:pPr>
        <w:pStyle w:val="Zkladntext1"/>
        <w:shd w:val="clear" w:color="auto" w:fill="auto"/>
        <w:spacing w:after="0"/>
      </w:pPr>
      <w:r>
        <w:t xml:space="preserve">zapsaná v obchodním rejstříku </w:t>
      </w:r>
      <w:r>
        <w:t>vedeném Městským soudem v Praze, vložka č. C 238120</w:t>
      </w:r>
    </w:p>
    <w:p w:rsidR="00E034C3" w:rsidRDefault="007132BA">
      <w:pPr>
        <w:pStyle w:val="Zkladntext1"/>
        <w:shd w:val="clear" w:color="auto" w:fill="auto"/>
      </w:pPr>
      <w:r>
        <w:t>(dále jen „</w:t>
      </w:r>
      <w:r>
        <w:rPr>
          <w:b/>
          <w:bCs/>
        </w:rPr>
        <w:t>REVO</w:t>
      </w:r>
      <w:r>
        <w:t>“)</w:t>
      </w:r>
    </w:p>
    <w:p w:rsidR="00E034C3" w:rsidRDefault="007132BA">
      <w:pPr>
        <w:pStyle w:val="Zkladntext1"/>
        <w:shd w:val="clear" w:color="auto" w:fill="auto"/>
      </w:pPr>
      <w:r>
        <w:t>a</w:t>
      </w:r>
    </w:p>
    <w:p w:rsidR="00E034C3" w:rsidRDefault="007132BA">
      <w:pPr>
        <w:pStyle w:val="Nadpis2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GP Payments Acquiring International GmbH</w:t>
      </w:r>
      <w:bookmarkEnd w:id="4"/>
      <w:bookmarkEnd w:id="5"/>
    </w:p>
    <w:p w:rsidR="00E034C3" w:rsidRDefault="007132BA">
      <w:pPr>
        <w:pStyle w:val="Zkladntext1"/>
        <w:shd w:val="clear" w:color="auto" w:fill="auto"/>
        <w:spacing w:after="0"/>
      </w:pPr>
      <w:r>
        <w:t xml:space="preserve">se sídlem: Elsa-Brandstrom-StraRe </w:t>
      </w:r>
      <w:r>
        <w:rPr>
          <w:i/>
          <w:iCs/>
        </w:rPr>
        <w:t>10-12, 50668</w:t>
      </w:r>
      <w:r>
        <w:t xml:space="preserve"> Kolín nad Rýnem, Německo registrační č.: HRB 78863</w:t>
      </w:r>
    </w:p>
    <w:p w:rsidR="00E034C3" w:rsidRDefault="007132BA">
      <w:pPr>
        <w:pStyle w:val="Zkladntext1"/>
        <w:shd w:val="clear" w:color="auto" w:fill="auto"/>
        <w:spacing w:after="0"/>
      </w:pPr>
      <w:r>
        <w:t>zapsaná v obchodním rejstříku vedeném okresní</w:t>
      </w:r>
      <w:r>
        <w:t>m soudem (</w:t>
      </w:r>
      <w:r>
        <w:rPr>
          <w:i/>
          <w:iCs/>
        </w:rPr>
        <w:t>Amtsgericht</w:t>
      </w:r>
      <w:r>
        <w:t>) v Kolíně nad Rýnem</w:t>
      </w:r>
    </w:p>
    <w:p w:rsidR="00E034C3" w:rsidRDefault="007132BA">
      <w:pPr>
        <w:pStyle w:val="Zkladntext1"/>
        <w:shd w:val="clear" w:color="auto" w:fill="auto"/>
        <w:spacing w:after="0"/>
      </w:pPr>
      <w:r>
        <w:t>DIČ: DE243740140</w:t>
      </w:r>
    </w:p>
    <w:p w:rsidR="00E034C3" w:rsidRDefault="007132BA">
      <w:pPr>
        <w:pStyle w:val="Zkladntext1"/>
        <w:shd w:val="clear" w:color="auto" w:fill="auto"/>
      </w:pPr>
      <w:r>
        <w:t xml:space="preserve">zastoupená na základě plné moci ze dne 23. 9. 2019 společností </w:t>
      </w:r>
      <w:r>
        <w:rPr>
          <w:b/>
          <w:bCs/>
        </w:rPr>
        <w:t>EVO Payments International s.r.o.</w:t>
      </w:r>
    </w:p>
    <w:p w:rsidR="00E034C3" w:rsidRDefault="007132BA">
      <w:pPr>
        <w:pStyle w:val="Zkladntext1"/>
        <w:shd w:val="clear" w:color="auto" w:fill="auto"/>
      </w:pPr>
      <w:r>
        <w:t>(dále jen „</w:t>
      </w:r>
      <w:r>
        <w:rPr>
          <w:b/>
          <w:bCs/>
        </w:rPr>
        <w:t>EVOG</w:t>
      </w:r>
      <w:r>
        <w:t>“)</w:t>
      </w:r>
    </w:p>
    <w:p w:rsidR="00E034C3" w:rsidRDefault="007132BA">
      <w:pPr>
        <w:pStyle w:val="Zkladntext1"/>
        <w:shd w:val="clear" w:color="auto" w:fill="auto"/>
      </w:pPr>
      <w:r>
        <w:t>(REVO a EVOG mohou být dále také jednotlivě označovány jako „</w:t>
      </w:r>
      <w:r>
        <w:rPr>
          <w:b/>
          <w:bCs/>
        </w:rPr>
        <w:t>Poskytovatel služeb</w:t>
      </w:r>
      <w:r>
        <w:t xml:space="preserve">“ </w:t>
      </w:r>
      <w:r>
        <w:t>a společně jako „</w:t>
      </w:r>
      <w:r>
        <w:rPr>
          <w:b/>
          <w:bCs/>
        </w:rPr>
        <w:t>Poskytovatelé služeb</w:t>
      </w:r>
      <w:r>
        <w:t>“)</w:t>
      </w:r>
    </w:p>
    <w:p w:rsidR="00E034C3" w:rsidRDefault="007132BA">
      <w:pPr>
        <w:pStyle w:val="Zkladntext1"/>
        <w:shd w:val="clear" w:color="auto" w:fill="auto"/>
      </w:pPr>
      <w:r>
        <w:t>a</w:t>
      </w:r>
    </w:p>
    <w:p w:rsidR="00E034C3" w:rsidRDefault="007132BA">
      <w:pPr>
        <w:pStyle w:val="Nadpis2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>Národní památkový ústav</w:t>
      </w:r>
      <w:bookmarkEnd w:id="6"/>
      <w:bookmarkEnd w:id="7"/>
    </w:p>
    <w:p w:rsidR="00E034C3" w:rsidRDefault="007132BA">
      <w:pPr>
        <w:pStyle w:val="Zkladntext20"/>
        <w:shd w:val="clear" w:color="auto" w:fill="auto"/>
      </w:pPr>
      <w:r>
        <w:t>se sídlem: Valdštejnské náměstí 162/3, 118 00 Praha 1 - Malá Strana</w:t>
      </w:r>
    </w:p>
    <w:p w:rsidR="00E034C3" w:rsidRDefault="007132BA">
      <w:pPr>
        <w:pStyle w:val="Zkladntext20"/>
        <w:shd w:val="clear" w:color="auto" w:fill="auto"/>
      </w:pPr>
      <w:r>
        <w:t>IČ: 75032333</w:t>
      </w:r>
    </w:p>
    <w:p w:rsidR="00E034C3" w:rsidRDefault="007132BA">
      <w:pPr>
        <w:pStyle w:val="Zkladntext20"/>
        <w:shd w:val="clear" w:color="auto" w:fill="auto"/>
      </w:pPr>
      <w:r>
        <w:t>DIČ: CZ75032333</w:t>
      </w:r>
    </w:p>
    <w:p w:rsidR="00E034C3" w:rsidRDefault="007132BA">
      <w:pPr>
        <w:pStyle w:val="Zkladntext20"/>
        <w:shd w:val="clear" w:color="auto" w:fill="auto"/>
      </w:pPr>
      <w:r>
        <w:t>Ing. arch. Naděžda Goryczková</w:t>
      </w:r>
    </w:p>
    <w:p w:rsidR="00E034C3" w:rsidRDefault="00D77F5C">
      <w:pPr>
        <w:pStyle w:val="Zkladntext20"/>
        <w:shd w:val="clear" w:color="auto" w:fill="auto"/>
      </w:pPr>
      <w:r>
        <w:t xml:space="preserve">Mobilní telefon: </w:t>
      </w:r>
    </w:p>
    <w:p w:rsidR="00E034C3" w:rsidRDefault="007132BA">
      <w:pPr>
        <w:pStyle w:val="Zkladntext20"/>
        <w:shd w:val="clear" w:color="auto" w:fill="auto"/>
      </w:pPr>
      <w:r>
        <w:t xml:space="preserve">E-mail: </w:t>
      </w:r>
      <w:bookmarkStart w:id="8" w:name="_GoBack"/>
      <w:bookmarkEnd w:id="8"/>
    </w:p>
    <w:p w:rsidR="00E034C3" w:rsidRDefault="007132BA">
      <w:pPr>
        <w:pStyle w:val="Zkladntext20"/>
        <w:shd w:val="clear" w:color="auto" w:fill="auto"/>
        <w:spacing w:after="180"/>
      </w:pPr>
      <w:r>
        <w:t>(dále jen „</w:t>
      </w:r>
      <w:r>
        <w:rPr>
          <w:b/>
          <w:bCs/>
        </w:rPr>
        <w:t>Smluvní partner</w:t>
      </w:r>
      <w:r>
        <w:t>“)</w:t>
      </w:r>
    </w:p>
    <w:p w:rsidR="00E034C3" w:rsidRDefault="007132BA">
      <w:pPr>
        <w:pStyle w:val="Zkladntext1"/>
        <w:shd w:val="clear" w:color="auto" w:fill="auto"/>
        <w:spacing w:after="380"/>
      </w:pPr>
      <w:r>
        <w:t>(Smluvní partner a Poskytovatelé služeb mohou být dále také označováni jako „</w:t>
      </w:r>
      <w:r>
        <w:rPr>
          <w:b/>
          <w:bCs/>
        </w:rPr>
        <w:t>Smluvní strany</w:t>
      </w:r>
      <w:r>
        <w:t>“)</w:t>
      </w:r>
    </w:p>
    <w:p w:rsidR="00E034C3" w:rsidRDefault="007132BA">
      <w:pPr>
        <w:pStyle w:val="Zkladntext1"/>
        <w:shd w:val="clear" w:color="auto" w:fill="auto"/>
        <w:spacing w:after="380"/>
      </w:pPr>
      <w:r>
        <w:t>PREAMBULE</w:t>
      </w:r>
    </w:p>
    <w:p w:rsidR="00E034C3" w:rsidRDefault="007132BA">
      <w:pPr>
        <w:pStyle w:val="Zkladntext1"/>
        <w:shd w:val="clear" w:color="auto" w:fill="auto"/>
        <w:spacing w:after="0"/>
        <w:ind w:left="380" w:hanging="380"/>
      </w:pPr>
      <w:r>
        <w:t>1. Smluvní partner má v úmyslu akceptovat platební karty jak</w:t>
      </w:r>
      <w:r>
        <w:t>o prostředek platby za zboží a služby prodávané zákazníkům a hledá poskytovatele služeb zpracování plateb. Poskytovatelé služeb mají v úmyslu poskytovat Smluvnímu partnerovi komplexní řešení zpracování plateb založená na moderních technologiích.</w:t>
      </w:r>
    </w:p>
    <w:p w:rsidR="00E034C3" w:rsidRDefault="007132B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0800" distB="152400" distL="0" distR="0" simplePos="0" relativeHeight="12582937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50800</wp:posOffset>
                </wp:positionV>
                <wp:extent cx="113030" cy="1403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34C3" w:rsidRDefault="007132B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200000000000003pt;margin-top:4.pt;width:8.9000000000000004pt;height:11.050000000000001pt;z-index:-125829375;mso-wrap-distance-left:0;mso-wrap-distance-top:4.pt;mso-wrap-distance-right:0;mso-wrap-distance-bottom:1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143510" distL="0" distR="0" simplePos="0" relativeHeight="125829380" behindDoc="0" locked="0" layoutInCell="1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50800</wp:posOffset>
                </wp:positionV>
                <wp:extent cx="5928360" cy="1492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34C3" w:rsidRDefault="007132B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</w:t>
                            </w:r>
                            <w:r>
                              <w:t xml:space="preserve">ýrazy s velkými počátečními písmeny použité v této Smlouvě, jež zde nejsou definovány, mají význam definovaný pro ně v </w:t>
                            </w:r>
                            <w:r>
                              <w:rPr>
                                <w:u w:val="single"/>
                              </w:rPr>
                              <w:t>Příloze č. 1</w:t>
                            </w:r>
                            <w:r>
                              <w:t xml:space="preserve"> nebo 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3.200000000000003pt;margin-top:4.pt;width:466.80000000000001pt;height:11.75pt;z-index:-125829373;mso-wrap-distance-left:0;mso-wrap-distance-top:4.pt;mso-wrap-distance-right:0;mso-wrap-distance-bottom:11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Výrazy s velkými počátečními písmeny použité v této Smlouvě, jež zde nejsou definovány, mají význam definovaný pro ně v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Příloze č. 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nebo 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4310" distB="0" distL="0" distR="0" simplePos="0" relativeHeight="125829382" behindDoc="0" locked="0" layoutInCell="1" allowOverlap="1">
                <wp:simplePos x="0" y="0"/>
                <wp:positionH relativeFrom="page">
                  <wp:posOffset>926465</wp:posOffset>
                </wp:positionH>
                <wp:positionV relativeFrom="paragraph">
                  <wp:posOffset>194310</wp:posOffset>
                </wp:positionV>
                <wp:extent cx="2453640" cy="1492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34C3" w:rsidRDefault="007132B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u w:val="single"/>
                              </w:rPr>
                              <w:t>Příloze č. 3</w:t>
                            </w:r>
                            <w:r>
                              <w:t xml:space="preserve"> (Všeobecné obchodní podmínky) této Smlouvy.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2.950000000000003pt;margin-top:15.300000000000001pt;width:193.19999999999999pt;height:11.75pt;z-index:-125829371;mso-wrap-distance-left:0;mso-wrap-distance-top:15.3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Příloze č. 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(Všeobecné obchodní podmínky) této Smlouvy.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34C3" w:rsidRDefault="007132BA">
      <w:pPr>
        <w:pStyle w:val="Zkladntext1"/>
        <w:shd w:val="clear" w:color="auto" w:fill="auto"/>
        <w:spacing w:after="0"/>
      </w:pPr>
      <w:r>
        <w:t>Smluvní strany se tímto dohodly na následujícím:</w:t>
      </w:r>
    </w:p>
    <w:p w:rsidR="00E034C3" w:rsidRDefault="007132B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:rsidR="00E034C3" w:rsidRDefault="007132BA">
      <w:pPr>
        <w:pStyle w:val="Nadpis20"/>
        <w:keepNext/>
        <w:keepLines/>
        <w:shd w:val="clear" w:color="auto" w:fill="auto"/>
        <w:spacing w:after="180"/>
        <w:jc w:val="center"/>
      </w:pPr>
      <w:bookmarkStart w:id="9" w:name="bookmark8"/>
      <w:bookmarkStart w:id="10" w:name="bookmark9"/>
      <w:r>
        <w:t>SLUŽBY</w:t>
      </w:r>
      <w:bookmarkEnd w:id="9"/>
      <w:bookmarkEnd w:id="10"/>
    </w:p>
    <w:p w:rsidR="00E034C3" w:rsidRDefault="007132BA">
      <w:pPr>
        <w:pStyle w:val="Zkladntext1"/>
        <w:numPr>
          <w:ilvl w:val="0"/>
          <w:numId w:val="1"/>
        </w:numPr>
        <w:shd w:val="clear" w:color="auto" w:fill="auto"/>
        <w:tabs>
          <w:tab w:val="left" w:pos="812"/>
        </w:tabs>
        <w:ind w:left="800" w:hanging="420"/>
        <w:jc w:val="both"/>
      </w:pPr>
      <w:r>
        <w:t>Poskytovatelé služeb se zavazují poskytovat Smluvnímu partnerovi (i) služby zpracování plateb (dále jen „</w:t>
      </w:r>
      <w:r>
        <w:rPr>
          <w:b/>
          <w:bCs/>
        </w:rPr>
        <w:t>Služba akceptace platebních karet</w:t>
      </w:r>
      <w:r>
        <w:t>“) ve vztahu ke zpracování a vypořádání plateb za zboží a služby a dále transakcí vyplácení náhrad s použitím P</w:t>
      </w:r>
      <w:r>
        <w:t>latebních karet (dále jen „</w:t>
      </w:r>
      <w:r>
        <w:rPr>
          <w:b/>
          <w:bCs/>
        </w:rPr>
        <w:t>Transakce</w:t>
      </w:r>
      <w:r>
        <w:t>“) a (ii) další doplňkové služby (dále samostatně jen „</w:t>
      </w:r>
      <w:r>
        <w:rPr>
          <w:b/>
          <w:bCs/>
        </w:rPr>
        <w:t>Služba</w:t>
      </w:r>
      <w:r>
        <w:t>“ a souhrnně se Službou akceptace platebních karet dále jen „</w:t>
      </w:r>
      <w:r>
        <w:rPr>
          <w:b/>
          <w:bCs/>
        </w:rPr>
        <w:t>Služby</w:t>
      </w:r>
      <w:r>
        <w:t>“) a Smluvní partner se zavazuje hradit Poskytovatelům služeb odměny a poplatky za poskytova</w:t>
      </w:r>
      <w:r>
        <w:t xml:space="preserve">né Služby, to vše za podmínek sjednaných v této Smlouvě. Jednotlivé Služby jsou specifikovány v </w:t>
      </w:r>
      <w:r>
        <w:rPr>
          <w:u w:val="single"/>
        </w:rPr>
        <w:t>Příloze č. 1</w:t>
      </w:r>
      <w:r>
        <w:t xml:space="preserve"> této Smlouvy.</w:t>
      </w:r>
    </w:p>
    <w:p w:rsidR="00E034C3" w:rsidRDefault="007132BA">
      <w:pPr>
        <w:pStyle w:val="Zkladntext1"/>
        <w:numPr>
          <w:ilvl w:val="0"/>
          <w:numId w:val="1"/>
        </w:numPr>
        <w:shd w:val="clear" w:color="auto" w:fill="auto"/>
        <w:tabs>
          <w:tab w:val="left" w:pos="812"/>
        </w:tabs>
        <w:ind w:left="800" w:hanging="420"/>
        <w:jc w:val="both"/>
        <w:sectPr w:rsidR="00E034C3">
          <w:headerReference w:type="default" r:id="rId7"/>
          <w:footerReference w:type="default" r:id="rId8"/>
          <w:pgSz w:w="11900" w:h="16840"/>
          <w:pgMar w:top="1834" w:right="1095" w:bottom="1440" w:left="1095" w:header="0" w:footer="3" w:gutter="0"/>
          <w:pgNumType w:start="1"/>
          <w:cols w:space="720"/>
          <w:noEndnote/>
          <w:docGrid w:linePitch="360"/>
        </w:sectPr>
      </w:pPr>
      <w:r>
        <w:t xml:space="preserve">Poskytovatelé služeb budou Služby poskytovat v souladu s platnými právními předpisy s přihlédnutím k postavení společnosti EVOG jako platební instituce založené a existující dle německého práva </w:t>
      </w:r>
      <w:r>
        <w:t>a k funkci společnosti REVO jako subjektu poskytujícího technické služby v souvislosti se Službami. Provozně bude plnění Smlouvy zajišťovat společnost REVO, pokud dle platných právních předpisů nebo Pravidel karetních schémat není vyžadováno, aby Služby by</w:t>
      </w:r>
      <w:r>
        <w:t>ly poskytovány přímo společností EVOG, jakožto platební institucí. Poskytovatelé služeb poskytují Služby společně, přičemž každý z nich odpovídá pouze v rozsahu jím poskytovaných Služeb. Použití ustanovení § 1874 Občanského zákoníku se tímto výslovně vyluč</w:t>
      </w:r>
      <w:r>
        <w:t>uje.</w:t>
      </w:r>
    </w:p>
    <w:p w:rsidR="00E034C3" w:rsidRDefault="007132BA">
      <w:pPr>
        <w:pStyle w:val="Jin0"/>
        <w:framePr w:w="410" w:h="12466" w:wrap="around" w:hAnchor="margin" w:x="370" w:y="1450"/>
        <w:shd w:val="clear" w:color="auto" w:fill="auto"/>
        <w:spacing w:after="1380"/>
        <w:jc w:val="both"/>
      </w:pPr>
      <w:r>
        <w:lastRenderedPageBreak/>
        <w:t>1.3.</w:t>
      </w:r>
    </w:p>
    <w:p w:rsidR="00E034C3" w:rsidRDefault="007132BA">
      <w:pPr>
        <w:pStyle w:val="Jin0"/>
        <w:framePr w:w="410" w:h="12466" w:wrap="around" w:hAnchor="margin" w:x="370" w:y="1450"/>
        <w:shd w:val="clear" w:color="auto" w:fill="auto"/>
        <w:spacing w:after="1600"/>
        <w:jc w:val="both"/>
      </w:pPr>
      <w:r>
        <w:t>1.4.</w:t>
      </w:r>
    </w:p>
    <w:p w:rsidR="00E034C3" w:rsidRDefault="007132BA">
      <w:pPr>
        <w:pStyle w:val="Jin0"/>
        <w:framePr w:w="410" w:h="12466" w:wrap="around" w:hAnchor="margin" w:x="370" w:y="1450"/>
        <w:shd w:val="clear" w:color="auto" w:fill="auto"/>
        <w:spacing w:after="1000"/>
        <w:jc w:val="both"/>
      </w:pPr>
      <w:r>
        <w:t>1.5.</w:t>
      </w:r>
    </w:p>
    <w:p w:rsidR="00E034C3" w:rsidRDefault="007132BA">
      <w:pPr>
        <w:pStyle w:val="Jin0"/>
        <w:framePr w:w="410" w:h="12466" w:wrap="around" w:hAnchor="margin" w:x="370" w:y="1450"/>
        <w:shd w:val="clear" w:color="auto" w:fill="auto"/>
        <w:spacing w:after="600"/>
        <w:jc w:val="both"/>
      </w:pPr>
      <w:r>
        <w:t>2.1.</w:t>
      </w:r>
    </w:p>
    <w:p w:rsidR="00E034C3" w:rsidRDefault="007132BA">
      <w:pPr>
        <w:pStyle w:val="Jin0"/>
        <w:framePr w:w="410" w:h="12466" w:wrap="around" w:hAnchor="margin" w:x="370" w:y="1450"/>
        <w:shd w:val="clear" w:color="auto" w:fill="auto"/>
        <w:jc w:val="both"/>
      </w:pPr>
      <w:r>
        <w:t>2.2.</w:t>
      </w:r>
    </w:p>
    <w:p w:rsidR="00E034C3" w:rsidRDefault="007132BA">
      <w:pPr>
        <w:pStyle w:val="Jin0"/>
        <w:framePr w:w="410" w:h="12466" w:wrap="around" w:hAnchor="margin" w:x="370" w:y="1450"/>
        <w:shd w:val="clear" w:color="auto" w:fill="auto"/>
        <w:spacing w:after="600"/>
        <w:jc w:val="both"/>
      </w:pPr>
      <w:r>
        <w:t>2.3.</w:t>
      </w:r>
    </w:p>
    <w:p w:rsidR="00E034C3" w:rsidRDefault="007132BA">
      <w:pPr>
        <w:pStyle w:val="Jin0"/>
        <w:framePr w:w="410" w:h="12466" w:wrap="around" w:hAnchor="margin" w:x="370" w:y="1450"/>
        <w:shd w:val="clear" w:color="auto" w:fill="auto"/>
        <w:spacing w:after="1380"/>
        <w:jc w:val="both"/>
      </w:pPr>
      <w:r>
        <w:t>2.4.</w:t>
      </w:r>
    </w:p>
    <w:p w:rsidR="00E034C3" w:rsidRDefault="007132BA">
      <w:pPr>
        <w:pStyle w:val="Jin0"/>
        <w:framePr w:w="410" w:h="12466" w:wrap="around" w:hAnchor="margin" w:x="370" w:y="1450"/>
        <w:shd w:val="clear" w:color="auto" w:fill="auto"/>
        <w:spacing w:after="380"/>
        <w:jc w:val="both"/>
      </w:pPr>
      <w:r>
        <w:t>3.1.</w:t>
      </w:r>
    </w:p>
    <w:p w:rsidR="00E034C3" w:rsidRDefault="007132BA">
      <w:pPr>
        <w:pStyle w:val="Jin0"/>
        <w:framePr w:w="410" w:h="12466" w:wrap="around" w:hAnchor="margin" w:x="370" w:y="1450"/>
        <w:shd w:val="clear" w:color="auto" w:fill="auto"/>
        <w:spacing w:after="760"/>
        <w:jc w:val="both"/>
      </w:pPr>
      <w:r>
        <w:t>3.2.</w:t>
      </w:r>
    </w:p>
    <w:p w:rsidR="00E034C3" w:rsidRDefault="007132BA">
      <w:pPr>
        <w:pStyle w:val="Jin0"/>
        <w:framePr w:w="410" w:h="12466" w:wrap="around" w:hAnchor="margin" w:x="370" w:y="1450"/>
        <w:shd w:val="clear" w:color="auto" w:fill="auto"/>
        <w:spacing w:after="600"/>
        <w:jc w:val="both"/>
      </w:pPr>
      <w:r>
        <w:t>4.1.</w:t>
      </w:r>
    </w:p>
    <w:p w:rsidR="00E034C3" w:rsidRDefault="007132BA">
      <w:pPr>
        <w:pStyle w:val="Jin0"/>
        <w:framePr w:w="410" w:h="12466" w:wrap="around" w:hAnchor="margin" w:x="370" w:y="1450"/>
        <w:shd w:val="clear" w:color="auto" w:fill="auto"/>
        <w:jc w:val="both"/>
      </w:pPr>
      <w:r>
        <w:t>4.2.</w:t>
      </w:r>
    </w:p>
    <w:p w:rsidR="00E034C3" w:rsidRDefault="007132BA">
      <w:pPr>
        <w:pStyle w:val="Jin0"/>
        <w:framePr w:w="410" w:h="12466" w:wrap="around" w:hAnchor="margin" w:x="370" w:y="1450"/>
        <w:shd w:val="clear" w:color="auto" w:fill="auto"/>
        <w:spacing w:after="1200"/>
        <w:jc w:val="both"/>
      </w:pPr>
      <w:r>
        <w:t>4.3.</w:t>
      </w:r>
    </w:p>
    <w:p w:rsidR="00E034C3" w:rsidRDefault="007132BA">
      <w:pPr>
        <w:pStyle w:val="Jin0"/>
        <w:framePr w:w="410" w:h="12466" w:wrap="around" w:hAnchor="margin" w:x="370" w:y="1450"/>
        <w:shd w:val="clear" w:color="auto" w:fill="auto"/>
        <w:spacing w:after="0"/>
        <w:jc w:val="both"/>
      </w:pPr>
      <w:r>
        <w:t>5.1.</w:t>
      </w:r>
    </w:p>
    <w:p w:rsidR="00E034C3" w:rsidRDefault="007132BA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83920" cy="42672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839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4C3" w:rsidRDefault="00E034C3">
      <w:pPr>
        <w:spacing w:after="739" w:line="1" w:lineRule="exact"/>
      </w:pPr>
    </w:p>
    <w:p w:rsidR="00E034C3" w:rsidRDefault="007132BA">
      <w:pPr>
        <w:pStyle w:val="Zkladntext1"/>
        <w:shd w:val="clear" w:color="auto" w:fill="auto"/>
        <w:spacing w:after="200"/>
        <w:ind w:firstLine="800"/>
        <w:jc w:val="both"/>
      </w:pPr>
      <w:r>
        <w:t>Společnost EVOG, jako platební instituce, bude v rámci Služeb poskytovat následující služby:</w:t>
      </w:r>
    </w:p>
    <w:p w:rsidR="00E034C3" w:rsidRDefault="007132BA">
      <w:pPr>
        <w:pStyle w:val="Zkladntext1"/>
        <w:numPr>
          <w:ilvl w:val="0"/>
          <w:numId w:val="2"/>
        </w:numPr>
        <w:shd w:val="clear" w:color="auto" w:fill="auto"/>
        <w:tabs>
          <w:tab w:val="left" w:pos="1509"/>
        </w:tabs>
        <w:spacing w:after="0"/>
        <w:ind w:left="1160"/>
        <w:jc w:val="both"/>
      </w:pPr>
      <w:r>
        <w:t xml:space="preserve">převod veškerých částek splatných Smluvnímu partnerovi za dodané zboží resp. poskytnuté </w:t>
      </w:r>
      <w:r>
        <w:t>služby, jež byly uhrazeny Zákazníky</w:t>
      </w:r>
    </w:p>
    <w:p w:rsidR="00E034C3" w:rsidRDefault="007132BA">
      <w:pPr>
        <w:pStyle w:val="Zkladntext1"/>
        <w:shd w:val="clear" w:color="auto" w:fill="auto"/>
        <w:spacing w:after="0"/>
        <w:ind w:left="1520"/>
        <w:jc w:val="both"/>
      </w:pPr>
      <w:r>
        <w:t>pomocí Platebních karet, na Účet Smluvního partnera;</w:t>
      </w:r>
    </w:p>
    <w:p w:rsidR="00E034C3" w:rsidRDefault="007132BA">
      <w:pPr>
        <w:pStyle w:val="Zkladntext1"/>
        <w:numPr>
          <w:ilvl w:val="0"/>
          <w:numId w:val="2"/>
        </w:numPr>
        <w:shd w:val="clear" w:color="auto" w:fill="auto"/>
        <w:tabs>
          <w:tab w:val="left" w:pos="1509"/>
        </w:tabs>
        <w:spacing w:after="0"/>
        <w:ind w:left="1520" w:hanging="360"/>
        <w:jc w:val="both"/>
      </w:pPr>
      <w:r>
        <w:t xml:space="preserve">dle vlastního uvážení nebo na pokyn společnosti REVO započtení částek splatných Smluvním partnerem dle Smlouvy, včetně Zpětného zúčtování (Chargeback), proti částkám, </w:t>
      </w:r>
      <w:r>
        <w:t>jež by jinak byly dle Smlouvy převedeny Smluvnímu partnerovi;</w:t>
      </w:r>
    </w:p>
    <w:p w:rsidR="00E034C3" w:rsidRDefault="007132BA">
      <w:pPr>
        <w:pStyle w:val="Zkladntext1"/>
        <w:numPr>
          <w:ilvl w:val="0"/>
          <w:numId w:val="2"/>
        </w:numPr>
        <w:shd w:val="clear" w:color="auto" w:fill="auto"/>
        <w:tabs>
          <w:tab w:val="left" w:pos="1509"/>
        </w:tabs>
        <w:spacing w:after="200"/>
        <w:ind w:left="1160"/>
        <w:jc w:val="both"/>
      </w:pPr>
      <w:r>
        <w:t>dle vlastního uvážení nebo na pokyn společnosti REVO sražení částek splatných Smluvnímu partnerovi dle Smlouvy.</w:t>
      </w:r>
    </w:p>
    <w:p w:rsidR="00E034C3" w:rsidRDefault="007132BA">
      <w:pPr>
        <w:pStyle w:val="Zkladntext1"/>
        <w:shd w:val="clear" w:color="auto" w:fill="auto"/>
        <w:spacing w:after="200"/>
        <w:ind w:firstLine="800"/>
        <w:jc w:val="both"/>
      </w:pPr>
      <w:r>
        <w:t>Společnost REVO bude poskytovat veškeré další Služby neposkytované společností EVO</w:t>
      </w:r>
      <w:r>
        <w:t>G, včetně následujících:</w:t>
      </w:r>
    </w:p>
    <w:p w:rsidR="00E034C3" w:rsidRDefault="007132BA">
      <w:pPr>
        <w:pStyle w:val="Zkladntext1"/>
        <w:numPr>
          <w:ilvl w:val="0"/>
          <w:numId w:val="3"/>
        </w:numPr>
        <w:shd w:val="clear" w:color="auto" w:fill="auto"/>
        <w:tabs>
          <w:tab w:val="left" w:pos="1509"/>
        </w:tabs>
        <w:spacing w:after="0"/>
        <w:ind w:left="1160"/>
        <w:jc w:val="both"/>
      </w:pPr>
      <w:r>
        <w:t>zpracování Autorizace;</w:t>
      </w:r>
    </w:p>
    <w:p w:rsidR="00E034C3" w:rsidRDefault="007132BA">
      <w:pPr>
        <w:pStyle w:val="Zkladntext1"/>
        <w:numPr>
          <w:ilvl w:val="0"/>
          <w:numId w:val="3"/>
        </w:numPr>
        <w:shd w:val="clear" w:color="auto" w:fill="auto"/>
        <w:tabs>
          <w:tab w:val="left" w:pos="1509"/>
        </w:tabs>
        <w:spacing w:after="0"/>
        <w:ind w:left="1160"/>
        <w:jc w:val="both"/>
      </w:pPr>
      <w:r>
        <w:t>zpracování Transakce;</w:t>
      </w:r>
    </w:p>
    <w:p w:rsidR="00E034C3" w:rsidRDefault="007132BA">
      <w:pPr>
        <w:pStyle w:val="Zkladntext1"/>
        <w:numPr>
          <w:ilvl w:val="0"/>
          <w:numId w:val="3"/>
        </w:numPr>
        <w:shd w:val="clear" w:color="auto" w:fill="auto"/>
        <w:tabs>
          <w:tab w:val="left" w:pos="1509"/>
        </w:tabs>
        <w:spacing w:after="0"/>
        <w:ind w:left="1160"/>
        <w:jc w:val="both"/>
      </w:pPr>
      <w:r>
        <w:t>identifikace Transakcí splňujících kritéria podezřelých Transakcí;</w:t>
      </w:r>
    </w:p>
    <w:p w:rsidR="00E034C3" w:rsidRDefault="007132BA">
      <w:pPr>
        <w:pStyle w:val="Zkladntext1"/>
        <w:numPr>
          <w:ilvl w:val="0"/>
          <w:numId w:val="3"/>
        </w:numPr>
        <w:shd w:val="clear" w:color="auto" w:fill="auto"/>
        <w:tabs>
          <w:tab w:val="left" w:pos="1509"/>
        </w:tabs>
        <w:spacing w:after="0"/>
        <w:ind w:left="1160"/>
        <w:jc w:val="both"/>
      </w:pPr>
      <w:r>
        <w:t>blokování Transakcí klasifikovaných jako potenciálně neobvyklé Transakce;</w:t>
      </w:r>
    </w:p>
    <w:p w:rsidR="00E034C3" w:rsidRDefault="007132BA">
      <w:pPr>
        <w:pStyle w:val="Zkladntext1"/>
        <w:numPr>
          <w:ilvl w:val="0"/>
          <w:numId w:val="3"/>
        </w:numPr>
        <w:shd w:val="clear" w:color="auto" w:fill="auto"/>
        <w:tabs>
          <w:tab w:val="left" w:pos="1509"/>
        </w:tabs>
        <w:spacing w:after="0"/>
        <w:ind w:left="1160"/>
        <w:jc w:val="both"/>
      </w:pPr>
      <w:r>
        <w:t xml:space="preserve">vyřizování reklamací v rámci Karetních </w:t>
      </w:r>
      <w:r>
        <w:t>schémat; a</w:t>
      </w:r>
    </w:p>
    <w:p w:rsidR="00E034C3" w:rsidRDefault="007132BA">
      <w:pPr>
        <w:pStyle w:val="Zkladntext1"/>
        <w:numPr>
          <w:ilvl w:val="0"/>
          <w:numId w:val="3"/>
        </w:numPr>
        <w:shd w:val="clear" w:color="auto" w:fill="auto"/>
        <w:tabs>
          <w:tab w:val="left" w:pos="1509"/>
        </w:tabs>
        <w:spacing w:after="200"/>
        <w:ind w:left="1160"/>
        <w:jc w:val="both"/>
      </w:pPr>
      <w:r>
        <w:t>vydávání pokynů společnosti EVOG popsaných v bodech b) a c) výše.</w:t>
      </w:r>
    </w:p>
    <w:p w:rsidR="00E034C3" w:rsidRDefault="007132BA">
      <w:pPr>
        <w:pStyle w:val="Zkladntext1"/>
        <w:shd w:val="clear" w:color="auto" w:fill="auto"/>
        <w:spacing w:after="200"/>
        <w:ind w:left="800"/>
        <w:jc w:val="both"/>
      </w:pPr>
      <w:r>
        <w:t xml:space="preserve">Některé služby bude společnost REVO poskytovat jako pověřený zástupce EVOG zaregistrovaný pro tyto účely v registru pověřených zástupců vedeném německým úřadem pro dohled nad </w:t>
      </w:r>
      <w:r>
        <w:t>finančními službami (BaFin).</w:t>
      </w:r>
    </w:p>
    <w:p w:rsidR="00E034C3" w:rsidRDefault="007132B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:rsidR="00E034C3" w:rsidRDefault="007132BA">
      <w:pPr>
        <w:pStyle w:val="Nadpis20"/>
        <w:keepNext/>
        <w:keepLines/>
        <w:shd w:val="clear" w:color="auto" w:fill="auto"/>
        <w:jc w:val="center"/>
      </w:pPr>
      <w:bookmarkStart w:id="11" w:name="bookmark10"/>
      <w:bookmarkStart w:id="12" w:name="bookmark11"/>
      <w:r>
        <w:t>POPLATKY A PŘÍMÉ INKASO</w:t>
      </w:r>
      <w:bookmarkEnd w:id="11"/>
      <w:bookmarkEnd w:id="12"/>
    </w:p>
    <w:p w:rsidR="00E034C3" w:rsidRDefault="007132BA">
      <w:pPr>
        <w:pStyle w:val="Zkladntext1"/>
        <w:shd w:val="clear" w:color="auto" w:fill="auto"/>
        <w:spacing w:after="200"/>
        <w:ind w:left="800"/>
        <w:jc w:val="both"/>
      </w:pPr>
      <w:r>
        <w:t xml:space="preserve">Podrobný přehled odměn Poskytovatelů služeb a poplatků hrazených Smluvním partnerem Poskytovatelům služeb, jakož i jednotlivých Služeb, je uveden v </w:t>
      </w:r>
      <w:r>
        <w:rPr>
          <w:u w:val="single"/>
        </w:rPr>
        <w:t>Příloze č. 1</w:t>
      </w:r>
      <w:r>
        <w:t xml:space="preserve"> nebo v </w:t>
      </w:r>
      <w:r>
        <w:rPr>
          <w:u w:val="single"/>
        </w:rPr>
        <w:t>Příloze č. 4</w:t>
      </w:r>
      <w:r>
        <w:t xml:space="preserve"> (dle konkrétního p</w:t>
      </w:r>
      <w:r>
        <w:t>řípadu) Smlouvy (dále jen „</w:t>
      </w:r>
      <w:r>
        <w:rPr>
          <w:b/>
          <w:bCs/>
        </w:rPr>
        <w:t>Příloha č. 1</w:t>
      </w:r>
      <w:r>
        <w:t>“ a „</w:t>
      </w:r>
      <w:r>
        <w:rPr>
          <w:b/>
          <w:bCs/>
        </w:rPr>
        <w:t>Příloha č. 4</w:t>
      </w:r>
      <w:r>
        <w:t>“). Příloha č. 1 a č. 4 jsou nedílnou součástí této Smlouvy.</w:t>
      </w:r>
    </w:p>
    <w:p w:rsidR="00E034C3" w:rsidRDefault="007132BA">
      <w:pPr>
        <w:pStyle w:val="Zkladntext1"/>
        <w:shd w:val="clear" w:color="auto" w:fill="auto"/>
        <w:spacing w:after="200"/>
        <w:ind w:left="800"/>
        <w:jc w:val="both"/>
      </w:pPr>
      <w:r>
        <w:t>Smluvní strany se dohodly, že konkrétní finanční částky Transakcí budou poukazovány na Účet Smluvního partnera.</w:t>
      </w:r>
    </w:p>
    <w:p w:rsidR="00E034C3" w:rsidRDefault="007132BA">
      <w:pPr>
        <w:pStyle w:val="Zkladntext1"/>
        <w:shd w:val="clear" w:color="auto" w:fill="auto"/>
        <w:spacing w:after="200"/>
        <w:ind w:left="800"/>
        <w:jc w:val="both"/>
      </w:pPr>
      <w:r>
        <w:t>Smluvní partner tímto výslo</w:t>
      </w:r>
      <w:r>
        <w:t>vně souhlasí, že Poskytovatelé služeb jsou oprávněni v rozsahu a v případech sjednaných ve Smlouvě inkasovat jakékoli poplatky, odměny nebo jiné částky splatné Smluvním partnerem dle Smlouvy a připisovat tyto částky na Účet Poskytovatelů služeb, Rezervní ú</w:t>
      </w:r>
      <w:r>
        <w:t>čet nebo jiný platební účet Poskytovatelů služeb (dle konkrétní situace).</w:t>
      </w:r>
    </w:p>
    <w:p w:rsidR="00E034C3" w:rsidRDefault="007132BA">
      <w:pPr>
        <w:pStyle w:val="Zkladntext1"/>
        <w:shd w:val="clear" w:color="auto" w:fill="auto"/>
        <w:spacing w:after="200"/>
        <w:ind w:left="800"/>
        <w:jc w:val="both"/>
      </w:pPr>
      <w:r>
        <w:t xml:space="preserve">V souladu s čl. 2.3 Smlouvy se Smluvní partner zavazuje - v případě, že o to Poskytovatelé služeb požádají - zřídit inkaso k Účtu Smluvního partnera umožňující Poskytovatelům služeb </w:t>
      </w:r>
      <w:r>
        <w:t>inkasovat jakékoli poplatky, odměny nebo jiné částky splatné Smluvním partnerem dle Smlouvy a připisovat tyto částky na Účet Poskytovatelů služeb nebo na Rezervní účet, a to do pěti (5) Pracovních dnů od takové žádosti Poskytovatelů služeb. Smluvní partner</w:t>
      </w:r>
      <w:r>
        <w:t xml:space="preserve"> se zavazuje provést nebo zajistit provedení veškerých úkonů potřebných ke zřízení inkasa.</w:t>
      </w:r>
    </w:p>
    <w:p w:rsidR="00E034C3" w:rsidRDefault="007132B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:rsidR="00E034C3" w:rsidRDefault="007132BA">
      <w:pPr>
        <w:pStyle w:val="Nadpis20"/>
        <w:keepNext/>
        <w:keepLines/>
        <w:shd w:val="clear" w:color="auto" w:fill="auto"/>
        <w:jc w:val="center"/>
      </w:pPr>
      <w:bookmarkStart w:id="13" w:name="bookmark12"/>
      <w:bookmarkStart w:id="14" w:name="bookmark13"/>
      <w:r>
        <w:t>OBCHODNÍ PODMÍNKY</w:t>
      </w:r>
      <w:bookmarkEnd w:id="13"/>
      <w:bookmarkEnd w:id="14"/>
    </w:p>
    <w:p w:rsidR="00E034C3" w:rsidRDefault="007132BA">
      <w:pPr>
        <w:pStyle w:val="Zkladntext1"/>
        <w:shd w:val="clear" w:color="auto" w:fill="auto"/>
        <w:spacing w:after="200"/>
        <w:ind w:left="800"/>
        <w:jc w:val="both"/>
      </w:pPr>
      <w:r>
        <w:t>Všeobecné obchodní podmínky ke smlouvě o akceptaci platebních karet (dále jen „</w:t>
      </w:r>
      <w:r>
        <w:rPr>
          <w:b/>
          <w:bCs/>
        </w:rPr>
        <w:t>VOP</w:t>
      </w:r>
      <w:r>
        <w:t xml:space="preserve">“) tvoří </w:t>
      </w:r>
      <w:r>
        <w:rPr>
          <w:u w:val="single"/>
        </w:rPr>
        <w:t>Přílohu č. 3</w:t>
      </w:r>
      <w:r>
        <w:t xml:space="preserve"> této Smlouvy (dále jen „</w:t>
      </w:r>
      <w:r>
        <w:rPr>
          <w:b/>
          <w:bCs/>
        </w:rPr>
        <w:t>Příloha č. 3</w:t>
      </w:r>
      <w:r>
        <w:t>“)</w:t>
      </w:r>
      <w:r>
        <w:t>. Příloha č. 3 je nedílnou součástí této Smlouvy.</w:t>
      </w:r>
    </w:p>
    <w:p w:rsidR="00E034C3" w:rsidRDefault="007132BA">
      <w:pPr>
        <w:pStyle w:val="Zkladntext1"/>
        <w:shd w:val="clear" w:color="auto" w:fill="auto"/>
        <w:spacing w:after="200"/>
        <w:ind w:firstLine="800"/>
        <w:jc w:val="both"/>
      </w:pPr>
      <w:r>
        <w:t>Smluvní partner tímto výslovně prohlašuje a potvrzuje, že je obeznámen s VOP a souhlasí s nimi.</w:t>
      </w:r>
    </w:p>
    <w:p w:rsidR="00E034C3" w:rsidRDefault="007132B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:rsidR="00E034C3" w:rsidRDefault="007132BA">
      <w:pPr>
        <w:pStyle w:val="Nadpis20"/>
        <w:keepNext/>
        <w:keepLines/>
        <w:shd w:val="clear" w:color="auto" w:fill="auto"/>
        <w:jc w:val="center"/>
      </w:pPr>
      <w:bookmarkStart w:id="15" w:name="bookmark14"/>
      <w:bookmarkStart w:id="16" w:name="bookmark15"/>
      <w:r>
        <w:t>DOBA TRVÁNÍ A UKONČENÍ SMLOUVY</w:t>
      </w:r>
      <w:bookmarkEnd w:id="15"/>
      <w:bookmarkEnd w:id="16"/>
    </w:p>
    <w:p w:rsidR="00E034C3" w:rsidRDefault="007132BA">
      <w:pPr>
        <w:pStyle w:val="Zkladntext1"/>
        <w:shd w:val="clear" w:color="auto" w:fill="auto"/>
        <w:spacing w:after="0"/>
        <w:ind w:firstLine="800"/>
        <w:jc w:val="both"/>
      </w:pPr>
      <w:r>
        <w:t>Tato Smlouva se uzavírá na</w:t>
      </w:r>
    </w:p>
    <w:p w:rsidR="00E034C3" w:rsidRDefault="007132BA">
      <w:pPr>
        <w:pStyle w:val="Zkladntext1"/>
        <w:shd w:val="clear" w:color="auto" w:fill="auto"/>
        <w:spacing w:after="0" w:line="211" w:lineRule="auto"/>
        <w:ind w:firstLine="800"/>
        <w:jc w:val="both"/>
      </w:pPr>
      <w:r>
        <w:rPr>
          <w:b/>
          <w:bCs/>
          <w:color w:val="211D1E"/>
          <w:sz w:val="18"/>
          <w:szCs w:val="18"/>
        </w:rPr>
        <w:t xml:space="preserve">0 </w:t>
      </w:r>
      <w:r>
        <w:t>na dobu neurčitou</w:t>
      </w:r>
    </w:p>
    <w:p w:rsidR="00E034C3" w:rsidRDefault="007132BA">
      <w:pPr>
        <w:pStyle w:val="Zkladntext1"/>
        <w:shd w:val="clear" w:color="auto" w:fill="auto"/>
        <w:spacing w:after="200" w:line="223" w:lineRule="auto"/>
        <w:ind w:firstLine="800"/>
        <w:jc w:val="both"/>
      </w:pPr>
      <w:r>
        <w:rPr>
          <w:b/>
          <w:bCs/>
          <w:color w:val="211D1E"/>
          <w:sz w:val="17"/>
          <w:szCs w:val="17"/>
        </w:rPr>
        <w:t xml:space="preserve">□ </w:t>
      </w:r>
      <w:r>
        <w:t xml:space="preserve">na dobu určitou od XXX </w:t>
      </w:r>
      <w:r w:rsidRPr="00D77F5C">
        <w:rPr>
          <w:lang w:eastAsia="en-US" w:bidi="en-US"/>
        </w:rPr>
        <w:t xml:space="preserve">do </w:t>
      </w:r>
      <w:r>
        <w:t>XXX (neplatí pro Bezobslužné terminály)</w:t>
      </w:r>
    </w:p>
    <w:p w:rsidR="00E034C3" w:rsidRDefault="007132BA">
      <w:pPr>
        <w:pStyle w:val="Zkladntext1"/>
        <w:shd w:val="clear" w:color="auto" w:fill="auto"/>
        <w:spacing w:after="200"/>
        <w:ind w:firstLine="800"/>
        <w:jc w:val="both"/>
      </w:pPr>
      <w:r>
        <w:t>Ve vztahu k Bezobslužným terminálům se tato Smlouva uzavírá vždy na dobu neurčitou.</w:t>
      </w:r>
    </w:p>
    <w:p w:rsidR="00E034C3" w:rsidRDefault="007132BA">
      <w:pPr>
        <w:pStyle w:val="Zkladntext1"/>
        <w:shd w:val="clear" w:color="auto" w:fill="auto"/>
        <w:spacing w:after="200"/>
        <w:ind w:firstLine="800"/>
        <w:jc w:val="both"/>
      </w:pPr>
      <w:r>
        <w:t>Tuto Smlouvu a/nebo Služby je možno vypovědět resp. ukončit z důvodů a za podmínek uvedených ve VOP.</w:t>
      </w:r>
    </w:p>
    <w:p w:rsidR="00E034C3" w:rsidRDefault="007132B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:rsidR="00E034C3" w:rsidRDefault="007132BA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POUŽITÍ ÚDAJŮ</w:t>
      </w:r>
    </w:p>
    <w:p w:rsidR="00E034C3" w:rsidRDefault="007132BA">
      <w:pPr>
        <w:pStyle w:val="Nadpis20"/>
        <w:keepNext/>
        <w:keepLines/>
        <w:shd w:val="clear" w:color="auto" w:fill="auto"/>
        <w:ind w:firstLine="800"/>
        <w:jc w:val="both"/>
      </w:pPr>
      <w:bookmarkStart w:id="17" w:name="bookmark16"/>
      <w:bookmarkStart w:id="18" w:name="bookmark17"/>
      <w:r>
        <w:t>Obecné</w:t>
      </w:r>
      <w:bookmarkEnd w:id="17"/>
      <w:bookmarkEnd w:id="18"/>
    </w:p>
    <w:p w:rsidR="00E034C3" w:rsidRDefault="007132BA">
      <w:pPr>
        <w:pStyle w:val="Zkladntext1"/>
        <w:shd w:val="clear" w:color="auto" w:fill="auto"/>
        <w:spacing w:after="200"/>
        <w:ind w:left="800"/>
        <w:jc w:val="both"/>
        <w:sectPr w:rsidR="00E034C3">
          <w:pgSz w:w="11900" w:h="16840"/>
          <w:pgMar w:top="385" w:right="1095" w:bottom="1345" w:left="1095" w:header="0" w:footer="3" w:gutter="0"/>
          <w:cols w:space="720"/>
          <w:noEndnote/>
          <w:docGrid w:linePitch="360"/>
        </w:sectPr>
      </w:pPr>
      <w:r>
        <w:t>Smluvní partner tímto souhlasí a bere na vědomí, že informace poskytnuté Smluvním partnerem Poskytovatelům služeb v souvislosti se Smlouvou mohou zahrnovat též Osobní údaje týkající se Smluvního partnera (dále jen „</w:t>
      </w:r>
      <w:r>
        <w:rPr>
          <w:b/>
          <w:bCs/>
        </w:rPr>
        <w:t xml:space="preserve">Údaje Smluvního </w:t>
      </w:r>
      <w:r>
        <w:rPr>
          <w:b/>
          <w:bCs/>
        </w:rPr>
        <w:t>partnera</w:t>
      </w:r>
      <w:r>
        <w:t>“) a že tyto Osobní údaje jsou a mohou být Poskytovateli služeb zpracovávány: (i) za účelem dodržení platných právních předpisů a Pravidel Karetních schémat, včetně standardů upravujících zabezpečení údajů; (ii) za účelem dodržení soudních rozhodnu</w:t>
      </w:r>
      <w:r>
        <w:t>tí a ochrany práv Poskytovatelů služeb v případě jakéhokoli sporu, nebo pro účely posuzování úvěrů, správy či řízení, auditu, dodržování předpisů, zákaznických služeb a pro administrativní účely v souvislosti s poskytováním Služeb; (iii) za účelem odhalová</w:t>
      </w:r>
      <w:r>
        <w:t>ní podvodů, prevence kriminality, vymáhání dluhů</w:t>
      </w:r>
    </w:p>
    <w:p w:rsidR="00E034C3" w:rsidRDefault="007132BA">
      <w:pPr>
        <w:pStyle w:val="Zkladntext1"/>
        <w:shd w:val="clear" w:color="auto" w:fill="auto"/>
        <w:spacing w:after="200"/>
        <w:ind w:left="800"/>
        <w:jc w:val="both"/>
      </w:pPr>
      <w:r>
        <w:lastRenderedPageBreak/>
        <w:t>a ověřování identity - to vše v souvislosti se Smlouvou, včetně sdílení Údajů Smluvního partnera s Třetími osobami za účelem řízení rozhodovacího procesu v rámci vztahu mezi Poskytovateli služeb a Smluvním p</w:t>
      </w:r>
      <w:r>
        <w:t xml:space="preserve">artnerem, a za účelem plnění povinností Poskytovatelů služeb vyplývajících z právních předpisů, Pravidel Karetních schémat a Standardů zabezpečení údajů a za účelem plnění dalších povinností Poskytovatelů služeb vyplývajících z platných právních předpisů, </w:t>
      </w:r>
      <w:r>
        <w:t>včetně smluv uzavřených se společností Raiffeisenbank a.s.; a (iv) za účelem plnění Smlouvy a dalších smluvních vztahů mezi Poskytovateli služeb a jejich Smluvními partnery; a (v) za účelem umožnění Poskytovatelům služeb používat Údaje Smluvního partnera k</w:t>
      </w:r>
      <w:r>
        <w:t xml:space="preserve"> distribuci - prostřednictvím přímého marketingu - všeobecných informací a reklamních materiálů týkajících se zboží a služeb Poskytovatelů služeb ve vztahu ke Službám a/nebo obdobného zboží či služeb na základě oprávněného zájmu Poskytovatelů služeb.</w:t>
      </w:r>
    </w:p>
    <w:p w:rsidR="00E034C3" w:rsidRDefault="007132BA">
      <w:pPr>
        <w:pStyle w:val="Zkladntext1"/>
        <w:numPr>
          <w:ilvl w:val="0"/>
          <w:numId w:val="4"/>
        </w:numPr>
        <w:shd w:val="clear" w:color="auto" w:fill="auto"/>
        <w:tabs>
          <w:tab w:val="left" w:pos="815"/>
        </w:tabs>
        <w:spacing w:after="200"/>
        <w:ind w:left="800" w:hanging="420"/>
        <w:jc w:val="both"/>
      </w:pPr>
      <w:r>
        <w:t>Ve vz</w:t>
      </w:r>
      <w:r>
        <w:t>tahu k Údajům Smluvního partnera zpracovávaným dle čl. 5.1 jsou správci údajů společnosti REVO a/nebo EVOG (dle konkrétní situace). Údaje Smluvního partnera jsou a mohou být zpracovávány propojenými osobami a zástupci Poskytovatelů služeb nebo dalšími exte</w:t>
      </w:r>
      <w:r>
        <w:t>rními poskytovateli služeb nebo sdělovány těmto osobám (dále jen „</w:t>
      </w:r>
      <w:r>
        <w:rPr>
          <w:b/>
          <w:bCs/>
        </w:rPr>
        <w:t>Třetí osoby</w:t>
      </w:r>
      <w:r>
        <w:t xml:space="preserve">“), jejichž seznam je k dispozici na webové stránce </w:t>
      </w:r>
      <w:hyperlink r:id="rId10" w:history="1">
        <w:r>
          <w:rPr>
            <w:color w:val="428BCA"/>
          </w:rPr>
          <w:t>www.revopayments.cz</w:t>
        </w:r>
        <w:r>
          <w:t>.</w:t>
        </w:r>
      </w:hyperlink>
      <w:r>
        <w:t xml:space="preserve"> Tento seznam vede a pravidelně aktualizuje společnost REVO. Smlu</w:t>
      </w:r>
      <w:r>
        <w:t>vní partner dále tímto prohlašuje, že je oprávněn udělit Poskytovatelům služeb souhlas se sdělováním Údajů Smluvního partnera Třetím stranám pro účely dalšího zpracování. Třetí osoby mohou působit v jurisdikcích mimo území Evropského hospodářského prostoru</w:t>
      </w:r>
      <w:r>
        <w:t xml:space="preserve"> v souvislosti s jakýmikoli účely uvedenými v tomto čl. 5; i když v takových jurisdikcích nemusí platit zákony předepisující stejnou úroveň ochrany jako v jurisdikci Smluvního partnera, bez ohledu na to, zda jsou Údaje Smluvního partnera zpracovávány na úz</w:t>
      </w:r>
      <w:r>
        <w:t>emí Evropského hospodářského prostoru nebo jinde, jsou Poskytovatelé služeb povinni zajistit, aby se Údajům Smluvního partnera dostalo adekvátní ochrany a aby byly v každém případě chráněny v souladu s právními předpisy o ochraně údajů platnými v České rep</w:t>
      </w:r>
      <w:r>
        <w:t>ublice.</w:t>
      </w:r>
    </w:p>
    <w:p w:rsidR="00E034C3" w:rsidRDefault="007132BA">
      <w:pPr>
        <w:pStyle w:val="Zkladntext1"/>
        <w:numPr>
          <w:ilvl w:val="0"/>
          <w:numId w:val="4"/>
        </w:numPr>
        <w:shd w:val="clear" w:color="auto" w:fill="auto"/>
        <w:tabs>
          <w:tab w:val="left" w:pos="815"/>
        </w:tabs>
        <w:spacing w:after="200"/>
        <w:ind w:left="800" w:hanging="420"/>
        <w:jc w:val="both"/>
      </w:pPr>
      <w:r>
        <w:t>Zpracování Údajů Smluvního partnera dle čl. 5.1 vychází z následujících právních základů: (i) plnění smlouvy se Smluvním partnerem ve vztahu k účelům uvedeným v čl. 5.1 (i), (iii) a (iv); (ii) plnění povinností Poskytovatelů služeb a dodržování prá</w:t>
      </w:r>
      <w:r>
        <w:t>vních předpisů ve vztahu k účelům uvedeným v čl. 5.1 (i) - (iii); a (iii) oprávněné zájmy Poskytovatelů služeb nebo třetích stran ve vztahu k účelům uvedeným v čl. 5.1 (ii), (v), přičemž takový oprávněný zájem spočívá v právu Poskytovatelů služeb hájit svá</w:t>
      </w:r>
      <w:r>
        <w:t xml:space="preserve"> práva a také v zájmu Poskytovatelů služeb na nástrojích přímého marketingu.</w:t>
      </w:r>
    </w:p>
    <w:p w:rsidR="00E034C3" w:rsidRDefault="007132BA">
      <w:pPr>
        <w:pStyle w:val="Nadpis20"/>
        <w:keepNext/>
        <w:keepLines/>
        <w:shd w:val="clear" w:color="auto" w:fill="auto"/>
        <w:ind w:firstLine="800"/>
        <w:jc w:val="both"/>
      </w:pPr>
      <w:bookmarkStart w:id="19" w:name="bookmark18"/>
      <w:bookmarkStart w:id="20" w:name="bookmark19"/>
      <w:r>
        <w:t>Informace o zpracování údajů</w:t>
      </w:r>
      <w:bookmarkEnd w:id="19"/>
      <w:bookmarkEnd w:id="20"/>
    </w:p>
    <w:p w:rsidR="00E034C3" w:rsidRDefault="007132BA">
      <w:pPr>
        <w:pStyle w:val="Zkladntext1"/>
        <w:numPr>
          <w:ilvl w:val="0"/>
          <w:numId w:val="4"/>
        </w:numPr>
        <w:shd w:val="clear" w:color="auto" w:fill="auto"/>
        <w:tabs>
          <w:tab w:val="left" w:pos="815"/>
        </w:tabs>
        <w:spacing w:after="200"/>
        <w:ind w:firstLine="380"/>
        <w:jc w:val="both"/>
      </w:pPr>
      <w:r>
        <w:t>SMLUVNÍ PARTNER TÍMTO BERE NA VĚDOMÍ, ŽE:</w:t>
      </w:r>
    </w:p>
    <w:p w:rsidR="00E034C3" w:rsidRDefault="007132BA">
      <w:pPr>
        <w:pStyle w:val="Zkladntext1"/>
        <w:numPr>
          <w:ilvl w:val="0"/>
          <w:numId w:val="5"/>
        </w:numPr>
        <w:shd w:val="clear" w:color="auto" w:fill="auto"/>
        <w:tabs>
          <w:tab w:val="left" w:pos="1526"/>
        </w:tabs>
        <w:spacing w:after="0"/>
        <w:ind w:left="1160"/>
        <w:jc w:val="both"/>
      </w:pPr>
      <w:r>
        <w:t>Poskytovatelé služeb mohou zpracovávat Údaje Smluvního partnera pro účely uvedené v čl. 5.1 (i) - (iv);</w:t>
      </w:r>
    </w:p>
    <w:p w:rsidR="00E034C3" w:rsidRDefault="007132BA">
      <w:pPr>
        <w:pStyle w:val="Zkladntext1"/>
        <w:numPr>
          <w:ilvl w:val="0"/>
          <w:numId w:val="5"/>
        </w:numPr>
        <w:shd w:val="clear" w:color="auto" w:fill="auto"/>
        <w:tabs>
          <w:tab w:val="left" w:pos="1526"/>
        </w:tabs>
        <w:spacing w:after="0"/>
        <w:ind w:left="1520" w:hanging="360"/>
        <w:jc w:val="both"/>
      </w:pPr>
      <w:r>
        <w:t>Posk</w:t>
      </w:r>
      <w:r>
        <w:t>ytovatelé služeb mohou předávat Údaje Smluvního partnera vládním orgánům, regulačním orgánům, Karetním schématům nebo jiným osobám (včetně Třetích osob) v souladu s příslušnými požadavky zákonů, předpisů, smluv, nařízení nebo Pravidel Karetních schémat, ja</w:t>
      </w:r>
      <w:r>
        <w:t>k je uvedeno v čl. 5.1 (i) - (iv); a</w:t>
      </w:r>
    </w:p>
    <w:p w:rsidR="00E034C3" w:rsidRDefault="007132BA">
      <w:pPr>
        <w:pStyle w:val="Zkladntext1"/>
        <w:numPr>
          <w:ilvl w:val="0"/>
          <w:numId w:val="5"/>
        </w:numPr>
        <w:shd w:val="clear" w:color="auto" w:fill="auto"/>
        <w:tabs>
          <w:tab w:val="left" w:pos="1526"/>
        </w:tabs>
        <w:spacing w:after="200"/>
        <w:ind w:left="1520" w:hanging="360"/>
        <w:jc w:val="both"/>
      </w:pPr>
      <w:r>
        <w:t xml:space="preserve">Údaje Smluvního partnera mohou být předávány Třetím stranám a/nebo zpracovávány Třetími stranami - včetně Třetích stran působících v jurisdikcích mimo území Evropské unie - pro účely uvedené v čl. 5.1 (i) - (iv), </w:t>
      </w:r>
      <w:r>
        <w:t>přičemž takové předání a/nebo zpracování vychází z rozhodnutí Evropské komise o odpovídající ochraně dle čl. 45 nařízení GDPR, standardních doložek o ochraně údajů, standardních smluvních ustanovení nebo jiných odpovídajících záruk dle čl. 46 nařízení GDPR</w:t>
      </w:r>
      <w:r>
        <w:t>, závazných podnikových pravidel dle čl. 47 nařízení GDPR nebo z výjimek pro specifické situace dle čl. 49 nařízení GDPR.</w:t>
      </w:r>
    </w:p>
    <w:p w:rsidR="00E034C3" w:rsidRDefault="007132BA">
      <w:pPr>
        <w:pStyle w:val="Zkladntext1"/>
        <w:shd w:val="clear" w:color="auto" w:fill="auto"/>
        <w:spacing w:after="200"/>
        <w:ind w:left="800"/>
        <w:jc w:val="both"/>
      </w:pPr>
      <w:r>
        <w:t>SMLUVNÍ PARTNER TÍMTO VÝSLOVNĚ BERE NA VĚDOMÍ, ŽE ZPRACOVÁNÍ ÚDAJŮ SMLUVNÍHO PARTNERA POPSANÉ V TOMTO ČL. 5.4 PŘEDSTAVUJE ODKLÁDACÍ PO</w:t>
      </w:r>
      <w:r>
        <w:t>DMÍNKU PRO UZAVŘENÍ A/NEBO PLNĚNÍ SMLOUVY A VEŠKERÝCH DALŠÍCH VEDLEJŠÍCH SMLUV UZAVŘENÝCH V SOUVISLOSTI SE SMLOUVOU. Údaje Smluvního partnera se budou zpracovávat po dobu trvání Smlouvy a dále po dobu pěti let po jejím ukončení, není-li ze zákona vyžadován</w:t>
      </w:r>
      <w:r>
        <w:t>a delší doba.</w:t>
      </w:r>
    </w:p>
    <w:p w:rsidR="00E034C3" w:rsidRDefault="007132BA">
      <w:pPr>
        <w:pStyle w:val="Zkladntext1"/>
        <w:numPr>
          <w:ilvl w:val="0"/>
          <w:numId w:val="4"/>
        </w:numPr>
        <w:shd w:val="clear" w:color="auto" w:fill="auto"/>
        <w:tabs>
          <w:tab w:val="left" w:pos="815"/>
        </w:tabs>
        <w:spacing w:after="200"/>
        <w:ind w:firstLine="380"/>
        <w:jc w:val="both"/>
      </w:pPr>
      <w:r>
        <w:t>SMLUVNÍ PARTNER TÍMTO BERE NA VĚDOMÍ, ŽE:</w:t>
      </w:r>
    </w:p>
    <w:p w:rsidR="00E034C3" w:rsidRDefault="007132BA">
      <w:pPr>
        <w:pStyle w:val="Zkladntext1"/>
        <w:numPr>
          <w:ilvl w:val="0"/>
          <w:numId w:val="6"/>
        </w:numPr>
        <w:shd w:val="clear" w:color="auto" w:fill="auto"/>
        <w:tabs>
          <w:tab w:val="left" w:pos="1526"/>
        </w:tabs>
        <w:spacing w:after="0"/>
        <w:ind w:left="1160"/>
        <w:jc w:val="both"/>
      </w:pPr>
      <w:r>
        <w:t>Poskytovatelé služeb mohou zpracovávat Údaje Smluvního partnera pro účely přímého marketingu uvedené v čl. 5.1 (v);</w:t>
      </w:r>
    </w:p>
    <w:p w:rsidR="00E034C3" w:rsidRDefault="007132BA">
      <w:pPr>
        <w:pStyle w:val="Zkladntext1"/>
        <w:numPr>
          <w:ilvl w:val="0"/>
          <w:numId w:val="6"/>
        </w:numPr>
        <w:shd w:val="clear" w:color="auto" w:fill="auto"/>
        <w:tabs>
          <w:tab w:val="left" w:pos="1526"/>
        </w:tabs>
        <w:spacing w:after="200"/>
        <w:ind w:left="1520" w:hanging="360"/>
        <w:jc w:val="both"/>
      </w:pPr>
      <w:r>
        <w:t xml:space="preserve">Údaje Smluvního partnera mohou být předávány Třetím stranám a/nebo zpracovávány </w:t>
      </w:r>
      <w:r>
        <w:t>Třetími stranami - včetně Třetích stran působících v jurisdikcích mimo území Evropské unie - pro účely uvedené v čl. 5.1 (v), přičemž takové předání a/nebo zpracování vychází z rozhodnutí Evropské komise o odpovídající ochraně dle čl. 45 nařízení GDPR, sta</w:t>
      </w:r>
      <w:r>
        <w:t>ndardních doložek o ochraně údajů, standardních smluvních ustanovení nebo jiných odpovídajících záruk dle čl. 46 nařízení GDPR, závazných podnikových pravidel dle čl. 47 nařízení GDPR nebo z výjimek pro specifické situace dle čl. 49 nařízení GDPR.</w:t>
      </w:r>
    </w:p>
    <w:p w:rsidR="00E034C3" w:rsidRDefault="007132BA">
      <w:pPr>
        <w:pStyle w:val="Zkladntext1"/>
        <w:shd w:val="clear" w:color="auto" w:fill="auto"/>
        <w:spacing w:after="200"/>
        <w:ind w:left="800"/>
        <w:jc w:val="both"/>
      </w:pPr>
      <w:r>
        <w:t xml:space="preserve">SMLUVNÍ </w:t>
      </w:r>
      <w:r>
        <w:t>PARTNER TÍMTO VÝSLOVNĚ BERE NA VĚDOMÍ, ŽE TOTO ZPRACOVÁNÍ POPSANÉ V TOMTO ČL. 5.5 JE DOBROVOLNÉ A ŽE JAKÉKOLI ODHLÁŠENÍ ZE SEZNAMU PRO ROZESÍLÁNÍ REKLAMNÍCH SDĚLENÍ NEMÁ ŽÁDNÝ VLIV NA REALIZACI NEBO PLNĚNÍ SMLOUVY ANI JAKÉKOLI DALŠÍ VEDLEJŠÍ SMLOUVY UZAVŘE</w:t>
      </w:r>
      <w:r>
        <w:t>NÉ V SOUVISLOSTI SE SMLOUVOU.</w:t>
      </w:r>
    </w:p>
    <w:p w:rsidR="00E034C3" w:rsidRDefault="007132BA">
      <w:pPr>
        <w:pStyle w:val="Zkladntext1"/>
        <w:shd w:val="clear" w:color="auto" w:fill="auto"/>
        <w:spacing w:after="200"/>
        <w:ind w:left="800"/>
        <w:jc w:val="both"/>
      </w:pPr>
      <w:r>
        <w:t>Údaje Smluvního partnera se budou zpracovávat po dobu trvání Smlouvy a dále po dobu pěti let po jejím ukončení, přičemž před uplynutím této doby budou vymazány, jakmile se Smluvní partner odhlásí ze seznamu pro rozesílání rekl</w:t>
      </w:r>
      <w:r>
        <w:t>amních sdělení, což může učinit buď zasláním e-mailu na adresu</w:t>
      </w:r>
      <w:hyperlink r:id="rId11" w:history="1">
        <w:r>
          <w:t xml:space="preserve"> </w:t>
        </w:r>
        <w:r>
          <w:rPr>
            <w:color w:val="428BCA"/>
          </w:rPr>
          <w:t xml:space="preserve">gdpr@revopayments.cz </w:t>
        </w:r>
      </w:hyperlink>
      <w:r>
        <w:t>nebo pomocí odkazu uvedeného na konci každého obdrženého reklamního sdělení.</w:t>
      </w:r>
    </w:p>
    <w:p w:rsidR="00E034C3" w:rsidRDefault="007132BA">
      <w:pPr>
        <w:pStyle w:val="Nadpis20"/>
        <w:keepNext/>
        <w:keepLines/>
        <w:shd w:val="clear" w:color="auto" w:fill="auto"/>
        <w:ind w:firstLine="800"/>
        <w:jc w:val="both"/>
      </w:pPr>
      <w:bookmarkStart w:id="21" w:name="bookmark20"/>
      <w:bookmarkStart w:id="22" w:name="bookmark21"/>
      <w:r>
        <w:t>Souhlas s marketingem</w:t>
      </w:r>
      <w:bookmarkEnd w:id="21"/>
      <w:bookmarkEnd w:id="22"/>
    </w:p>
    <w:p w:rsidR="00E034C3" w:rsidRDefault="007132BA">
      <w:pPr>
        <w:pStyle w:val="Zkladntext1"/>
        <w:numPr>
          <w:ilvl w:val="0"/>
          <w:numId w:val="4"/>
        </w:numPr>
        <w:shd w:val="clear" w:color="auto" w:fill="auto"/>
        <w:tabs>
          <w:tab w:val="left" w:pos="815"/>
        </w:tabs>
        <w:spacing w:after="520"/>
        <w:ind w:left="800" w:hanging="420"/>
        <w:jc w:val="both"/>
      </w:pPr>
      <w:r>
        <w:t xml:space="preserve">Smluvní partner tímto souhlasí </w:t>
      </w:r>
      <w:r>
        <w:t xml:space="preserve">a bere na vědomí, že Údaje Smluvního partnera jsou a mohou být zpracovávány Poskytovateli služeb pro účely (i) nabízení nebo prodeje produktů či služeb Poskytovatelů služeb nebo Třetí strany Smluvnímu partnerovi, a to bez ohledu na to, zda takové produkty </w:t>
      </w:r>
      <w:r>
        <w:t>či služby budou spojeny se Službami, a (ii) pro účely provádění pravidelných marketingových vyhledávání Smluvního partnera.</w:t>
      </w:r>
    </w:p>
    <w:p w:rsidR="00E034C3" w:rsidRDefault="007132BA">
      <w:pPr>
        <w:jc w:val="right"/>
        <w:rPr>
          <w:sz w:val="2"/>
          <w:szCs w:val="2"/>
        </w:rPr>
        <w:sectPr w:rsidR="00E034C3">
          <w:headerReference w:type="default" r:id="rId12"/>
          <w:footerReference w:type="default" r:id="rId13"/>
          <w:pgSz w:w="11900" w:h="16840"/>
          <w:pgMar w:top="1566" w:right="1095" w:bottom="726" w:left="109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>
            <wp:extent cx="1511935" cy="255905"/>
            <wp:effectExtent l="0" t="0" r="0" b="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51193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4C3" w:rsidRDefault="007132BA">
      <w:pPr>
        <w:pStyle w:val="Zkladntext1"/>
        <w:shd w:val="clear" w:color="auto" w:fill="auto"/>
        <w:spacing w:after="240"/>
        <w:ind w:firstLine="800"/>
        <w:jc w:val="both"/>
      </w:pPr>
      <w:r>
        <w:lastRenderedPageBreak/>
        <w:t>SMLUVNÍ PARTNER TÍMTO VÝSLOVNĚ SOUHLASÍ, že:</w:t>
      </w:r>
    </w:p>
    <w:p w:rsidR="00E034C3" w:rsidRDefault="007132BA">
      <w:pPr>
        <w:pStyle w:val="Zkladntext1"/>
        <w:numPr>
          <w:ilvl w:val="0"/>
          <w:numId w:val="7"/>
        </w:numPr>
        <w:shd w:val="clear" w:color="auto" w:fill="auto"/>
        <w:tabs>
          <w:tab w:val="left" w:pos="1533"/>
        </w:tabs>
        <w:spacing w:after="0"/>
        <w:ind w:left="1160"/>
        <w:jc w:val="both"/>
      </w:pPr>
      <w:r>
        <w:t>Pos</w:t>
      </w:r>
      <w:r>
        <w:t>kytovatelé služeb mohou zpracovávat Údaje Smluvního partnera pro účely uvedené v tomto čl. 5.6;</w:t>
      </w:r>
    </w:p>
    <w:p w:rsidR="00E034C3" w:rsidRDefault="007132BA">
      <w:pPr>
        <w:pStyle w:val="Zkladntext1"/>
        <w:numPr>
          <w:ilvl w:val="0"/>
          <w:numId w:val="7"/>
        </w:numPr>
        <w:shd w:val="clear" w:color="auto" w:fill="auto"/>
        <w:tabs>
          <w:tab w:val="left" w:pos="1533"/>
        </w:tabs>
        <w:spacing w:after="0"/>
        <w:ind w:left="1160"/>
        <w:jc w:val="both"/>
      </w:pPr>
      <w:r>
        <w:t>Poskytovatelé služeb mohou předávat Údaje Smluvního partnera Třetím stranám pro účely uvedené v tomto čl. 5.6; a</w:t>
      </w:r>
    </w:p>
    <w:p w:rsidR="00E034C3" w:rsidRDefault="007132BA">
      <w:pPr>
        <w:pStyle w:val="Zkladntext1"/>
        <w:numPr>
          <w:ilvl w:val="0"/>
          <w:numId w:val="7"/>
        </w:numPr>
        <w:shd w:val="clear" w:color="auto" w:fill="auto"/>
        <w:tabs>
          <w:tab w:val="left" w:pos="1533"/>
        </w:tabs>
        <w:ind w:left="1520" w:hanging="340"/>
        <w:jc w:val="both"/>
      </w:pPr>
      <w:r>
        <w:t>Údaje Smluvního partnera mohou být předávány Tř</w:t>
      </w:r>
      <w:r>
        <w:t>etím stranám a/nebo zpracovávány Třetími stranami - včetně Třetích stran působících v jurisdikcích mimo území Evropské unie - pro účely uvedené v tomto čl. 5.6, přičemž takové předání a/nebo zpracování vychází z rozhodnutí Evropské komise o odpovídající oc</w:t>
      </w:r>
      <w:r>
        <w:t>hraně dle čl. 45 nařízení GDPR, standardních doložek o ochraně údajů, standardních smluvních ustanovení nebo jiných odpovídajících záruk dle čl. 46 nařízení GDPR, závazných podnikových pravidel dle čl. 47 nařízení GDPR nebo z výjimek pro specifické situace</w:t>
      </w:r>
      <w:r>
        <w:t xml:space="preserve"> dle čl. 49 nařízení GDPR.</w:t>
      </w:r>
    </w:p>
    <w:p w:rsidR="00E034C3" w:rsidRDefault="007132BA">
      <w:pPr>
        <w:pStyle w:val="Zkladntext1"/>
        <w:shd w:val="clear" w:color="auto" w:fill="auto"/>
        <w:ind w:left="800"/>
        <w:jc w:val="both"/>
      </w:pPr>
      <w:r>
        <w:t xml:space="preserve">SMLUVNÍ PARTNER TÍMTO VÝSLOVNĚ BERE NA VĚDOMÍ, ŽE TOTO ZPRACOVÁNÍ JE DOBROVOLNÉ A ŽE UDĚLENÍ NEBO ODVOLÁNÍ TOHOTO SOUHLASU NEMÁ ŽÁDNÝ VLIV NA REALIZACI NEBO PLNĚNÍ SMLOUVY ANI JAKÉKOLI DALŠÍ VEDLEJŠÍ SMLOUVY UZAVŘENÉ V </w:t>
      </w:r>
      <w:r>
        <w:t>SOUVISLOSTI SE SMLOUVOU. Souhlas se uděluje na dobu trvání Smlouvy a dále na dobu dvou let po jejím skončení a může být kdykoli odvolán, a to buď zasláním e-mailu na adres</w:t>
      </w:r>
      <w:hyperlink r:id="rId15" w:history="1">
        <w:r>
          <w:t xml:space="preserve">u </w:t>
        </w:r>
        <w:r>
          <w:rPr>
            <w:color w:val="428BCA"/>
          </w:rPr>
          <w:t xml:space="preserve">gdpr@revopayments.cz </w:t>
        </w:r>
      </w:hyperlink>
      <w:r>
        <w:t>nebo pomocí odkazu u</w:t>
      </w:r>
      <w:r>
        <w:t>vedeného na konci každého obdrženého marketingového sdělení.</w:t>
      </w:r>
    </w:p>
    <w:p w:rsidR="00E034C3" w:rsidRDefault="007132BA">
      <w:pPr>
        <w:pStyle w:val="Nadpis20"/>
        <w:keepNext/>
        <w:keepLines/>
        <w:shd w:val="clear" w:color="auto" w:fill="auto"/>
        <w:spacing w:after="180"/>
        <w:ind w:firstLine="800"/>
        <w:jc w:val="both"/>
      </w:pPr>
      <w:bookmarkStart w:id="23" w:name="bookmark22"/>
      <w:bookmarkStart w:id="24" w:name="bookmark23"/>
      <w:r>
        <w:t>Různé</w:t>
      </w:r>
      <w:bookmarkEnd w:id="23"/>
      <w:bookmarkEnd w:id="24"/>
    </w:p>
    <w:p w:rsidR="00E034C3" w:rsidRDefault="007132BA">
      <w:pPr>
        <w:pStyle w:val="Zkladntext1"/>
        <w:numPr>
          <w:ilvl w:val="0"/>
          <w:numId w:val="4"/>
        </w:numPr>
        <w:shd w:val="clear" w:color="auto" w:fill="auto"/>
        <w:tabs>
          <w:tab w:val="left" w:pos="821"/>
        </w:tabs>
        <w:ind w:left="800" w:hanging="420"/>
        <w:jc w:val="both"/>
      </w:pPr>
      <w:r>
        <w:t>Pro zpracování Údajů Smluvního partnera pro účely specifikované v čl. 5.1 až 5.9 výše budou Poskytovatelé služeb využívat služeb Třetí strany a dalších subjektů jako zpracovatelů. Údaje Sml</w:t>
      </w:r>
      <w:r>
        <w:t>uvního partnera budou zpracovávány manuálně i automaticky.</w:t>
      </w:r>
    </w:p>
    <w:p w:rsidR="00E034C3" w:rsidRDefault="007132BA">
      <w:pPr>
        <w:pStyle w:val="Zkladntext1"/>
        <w:numPr>
          <w:ilvl w:val="0"/>
          <w:numId w:val="4"/>
        </w:numPr>
        <w:shd w:val="clear" w:color="auto" w:fill="auto"/>
        <w:tabs>
          <w:tab w:val="left" w:pos="821"/>
        </w:tabs>
        <w:spacing w:after="0"/>
        <w:ind w:firstLine="380"/>
        <w:jc w:val="both"/>
      </w:pPr>
      <w:r>
        <w:t>Ve vztahu k Údajům Smluvního partnera má Smluvní partner vůči Poskytovatelům služeb následující práva:</w:t>
      </w:r>
    </w:p>
    <w:p w:rsidR="00E034C3" w:rsidRDefault="007132BA">
      <w:pPr>
        <w:pStyle w:val="Zkladntext1"/>
        <w:numPr>
          <w:ilvl w:val="0"/>
          <w:numId w:val="8"/>
        </w:numPr>
        <w:shd w:val="clear" w:color="auto" w:fill="auto"/>
        <w:tabs>
          <w:tab w:val="left" w:pos="1159"/>
        </w:tabs>
        <w:spacing w:after="0"/>
        <w:ind w:left="1160" w:hanging="360"/>
        <w:jc w:val="both"/>
      </w:pPr>
      <w:r>
        <w:t>PŘÍSTUP K ÚDAJŮM: Smluvní partner má právo obdržet potvrzení, zda probíhá zpracování Údajů Sml</w:t>
      </w:r>
      <w:r>
        <w:t>uvního partnera, či nikoli, a pokud ano, má právo na přístup k takovým údajům a na informace uvedené v čl. 15 nařízení GDPR;</w:t>
      </w:r>
    </w:p>
    <w:p w:rsidR="00E034C3" w:rsidRDefault="007132BA">
      <w:pPr>
        <w:pStyle w:val="Zkladntext1"/>
        <w:numPr>
          <w:ilvl w:val="0"/>
          <w:numId w:val="8"/>
        </w:numPr>
        <w:shd w:val="clear" w:color="auto" w:fill="auto"/>
        <w:tabs>
          <w:tab w:val="left" w:pos="1159"/>
        </w:tabs>
        <w:spacing w:after="0"/>
        <w:ind w:left="1160" w:hanging="360"/>
        <w:jc w:val="both"/>
      </w:pPr>
      <w:r>
        <w:t>ODVOLÁNÍ SOUHLASU: Pokud Smluvní partner udělil souhlas se zpracováním Údajů Smluvního partnera, je oprávněn takový souhlas kdykoli</w:t>
      </w:r>
      <w:r>
        <w:t xml:space="preserve"> odvolat, a to i bez uvedení důvodu, s účinností do budoucna. Za účelem výkonu tohoto práva musí Smluvní partner zaslat oznámení o odvolání souladu na adresy uvedené v čl. 5.10;</w:t>
      </w:r>
    </w:p>
    <w:p w:rsidR="00E034C3" w:rsidRDefault="007132BA">
      <w:pPr>
        <w:pStyle w:val="Zkladntext1"/>
        <w:numPr>
          <w:ilvl w:val="0"/>
          <w:numId w:val="8"/>
        </w:numPr>
        <w:shd w:val="clear" w:color="auto" w:fill="auto"/>
        <w:tabs>
          <w:tab w:val="left" w:pos="1159"/>
        </w:tabs>
        <w:spacing w:after="0"/>
        <w:ind w:left="1160" w:hanging="360"/>
        <w:jc w:val="both"/>
      </w:pPr>
      <w:r>
        <w:t>OPRAVA: Pokud jsou zpracovávané Údaje Smluvního partnera nesprávné, může Smluv</w:t>
      </w:r>
      <w:r>
        <w:t>ní partner kdykoli požadovat jejich opravu. Za účelem výkonu tohoto práva musí Smluvní partner kontaktovat Poskytovatele služeb prostřednictvím kontaktních údajů uvedených v čl. 5.10;</w:t>
      </w:r>
    </w:p>
    <w:p w:rsidR="00E034C3" w:rsidRDefault="007132BA">
      <w:pPr>
        <w:pStyle w:val="Zkladntext1"/>
        <w:numPr>
          <w:ilvl w:val="0"/>
          <w:numId w:val="8"/>
        </w:numPr>
        <w:shd w:val="clear" w:color="auto" w:fill="auto"/>
        <w:tabs>
          <w:tab w:val="left" w:pos="1159"/>
        </w:tabs>
        <w:spacing w:after="0"/>
        <w:ind w:left="1160" w:hanging="360"/>
        <w:jc w:val="both"/>
      </w:pPr>
      <w:r>
        <w:t>VYMAZÁNÍ: Smluvní partner má právo požadovat zablokování a výmaz uchováv</w:t>
      </w:r>
      <w:r>
        <w:t>aných Údajů Smluvního partnera. Pokud je výmaz v rozporu se zákonnými povinnostmi nebo smluvními závazky Poskytovatelů služeb nebo s jejich oprávněnými zájmy uvedenými v čl. 5.4, je možno Údaje Smluvního partnera pouze zablokovat;</w:t>
      </w:r>
    </w:p>
    <w:p w:rsidR="00E034C3" w:rsidRDefault="007132BA">
      <w:pPr>
        <w:pStyle w:val="Zkladntext1"/>
        <w:numPr>
          <w:ilvl w:val="0"/>
          <w:numId w:val="8"/>
        </w:numPr>
        <w:shd w:val="clear" w:color="auto" w:fill="auto"/>
        <w:tabs>
          <w:tab w:val="left" w:pos="1159"/>
        </w:tabs>
        <w:spacing w:after="0"/>
        <w:ind w:left="1160" w:hanging="360"/>
        <w:jc w:val="both"/>
      </w:pPr>
      <w:r>
        <w:t>OMEZENÍ ZPRACOVÁNÍ: Posky</w:t>
      </w:r>
      <w:r>
        <w:t>tovatelé služeb omezí zpracování Údajů Smluvního partnera v případech specifikovaných v čl. 18 nařízení GDPR, např. pokud Smluvní partner zpochybní přesnost či správnost Údajů Smluvního partnera nebo pokud bude Smluvní partner požadovat Údaje Smluvního par</w:t>
      </w:r>
      <w:r>
        <w:t>tnera za účelem obhajoby právních nároků;</w:t>
      </w:r>
    </w:p>
    <w:p w:rsidR="00E034C3" w:rsidRDefault="007132BA">
      <w:pPr>
        <w:pStyle w:val="Zkladntext1"/>
        <w:numPr>
          <w:ilvl w:val="0"/>
          <w:numId w:val="8"/>
        </w:numPr>
        <w:shd w:val="clear" w:color="auto" w:fill="auto"/>
        <w:tabs>
          <w:tab w:val="left" w:pos="1159"/>
        </w:tabs>
        <w:spacing w:after="0"/>
        <w:ind w:left="1160" w:hanging="360"/>
        <w:jc w:val="both"/>
      </w:pPr>
      <w:r>
        <w:t>NÁMITKA PROTI ZPRACOVÁNÍ: Smluvní partner má právo vznést kdykoli a bez uvedení důvodu námitku proti zpracování Údajů Smluvního partnera za podmínek specifikovaných v čl. 21 nařízení GDPR;</w:t>
      </w:r>
    </w:p>
    <w:p w:rsidR="00E034C3" w:rsidRDefault="007132BA">
      <w:pPr>
        <w:pStyle w:val="Zkladntext1"/>
        <w:numPr>
          <w:ilvl w:val="0"/>
          <w:numId w:val="8"/>
        </w:numPr>
        <w:shd w:val="clear" w:color="auto" w:fill="auto"/>
        <w:tabs>
          <w:tab w:val="left" w:pos="1159"/>
        </w:tabs>
        <w:spacing w:after="0"/>
        <w:ind w:left="1160" w:hanging="360"/>
        <w:jc w:val="both"/>
      </w:pPr>
      <w:r>
        <w:t>PŘENOSITELNOST: Pokud Sml</w:t>
      </w:r>
      <w:r>
        <w:t>uvní partner požaduje vydání Údajů Smluvního partnera poskytnutých Poskytovatelům služeb, pak Poskytovatelé služeb tyto Údaje Smluvního partnera vydají nebo poskytnou Smluvnímu partnerovi nebo jím pověřené osobě ve strukturovaném, běžně používaném a - je-l</w:t>
      </w:r>
      <w:r>
        <w:t>i to technicky možné - strojově čitelném formátu;</w:t>
      </w:r>
    </w:p>
    <w:p w:rsidR="00E034C3" w:rsidRDefault="007132BA">
      <w:pPr>
        <w:pStyle w:val="Zkladntext1"/>
        <w:numPr>
          <w:ilvl w:val="0"/>
          <w:numId w:val="8"/>
        </w:numPr>
        <w:shd w:val="clear" w:color="auto" w:fill="auto"/>
        <w:tabs>
          <w:tab w:val="left" w:pos="1159"/>
        </w:tabs>
        <w:ind w:left="1160" w:hanging="360"/>
        <w:jc w:val="both"/>
      </w:pPr>
      <w:r>
        <w:t xml:space="preserve">STÍŽNOSTI: Smluvní partner má právo předložit stížnost příslušnému dozorovému úřadu, pokud se domnívá, že došlo k porušení jeho práv na ochranu údajů. Taková stížnost bude předložena v zemi obvyklého sídla </w:t>
      </w:r>
      <w:r>
        <w:t>Smluvního partnera, jeho místa výkonu práce nebo místa, kde došlo k údajnému porušení práv, popř. jiného místa specifikovaného v čl. 77 nařízení GDPR; příslušným dozorovým úřadem v České republice je Úřad na ochranu osobních údajů.</w:t>
      </w:r>
    </w:p>
    <w:p w:rsidR="00E034C3" w:rsidRDefault="007132BA">
      <w:pPr>
        <w:pStyle w:val="Zkladntext1"/>
        <w:numPr>
          <w:ilvl w:val="0"/>
          <w:numId w:val="4"/>
        </w:numPr>
        <w:shd w:val="clear" w:color="auto" w:fill="auto"/>
        <w:tabs>
          <w:tab w:val="left" w:pos="821"/>
        </w:tabs>
        <w:ind w:left="800" w:hanging="420"/>
        <w:jc w:val="both"/>
      </w:pPr>
      <w:r>
        <w:t>Veškeré dotazy Smluvního</w:t>
      </w:r>
      <w:r>
        <w:t xml:space="preserve"> partnera týkající se zpracování Údajů Smluvního partnera mohou být kdykoli zaslány pověřenci EVO pro ochranu osobních údajů, a to buď e-mailem na adres</w:t>
      </w:r>
      <w:hyperlink r:id="rId16" w:history="1">
        <w:r>
          <w:t xml:space="preserve">u </w:t>
        </w:r>
        <w:r>
          <w:rPr>
            <w:color w:val="428BCA"/>
          </w:rPr>
          <w:t xml:space="preserve">dpo@revopayments.cz </w:t>
        </w:r>
      </w:hyperlink>
      <w:r>
        <w:t>nebo poštou na adresu: EVO Payments Inter</w:t>
      </w:r>
      <w:r>
        <w:t>national s.r.o., k rukám: Pověřence pro ochranu osobních údajů (DPO), V olšinách 626/80, Strašnice, 100 00 Praha 10, nebo alternativně k rukám Pověřence pro ochranu osobních údajů EVOG, Dr. Karsten Kinast, a to kdykoli, buď e-mailem na adresu:</w:t>
      </w:r>
      <w:hyperlink r:id="rId17" w:history="1">
        <w:r>
          <w:t xml:space="preserve"> </w:t>
        </w:r>
        <w:r>
          <w:rPr>
            <w:color w:val="428BCA"/>
          </w:rPr>
          <w:t xml:space="preserve">evo@kinast-partner.de </w:t>
        </w:r>
      </w:hyperlink>
      <w:r>
        <w:t xml:space="preserve">nebo písemně na adresu: EVO </w:t>
      </w:r>
      <w:r w:rsidRPr="00D77F5C">
        <w:rPr>
          <w:lang w:eastAsia="en-US" w:bidi="en-US"/>
        </w:rPr>
        <w:t xml:space="preserve">Payments </w:t>
      </w:r>
      <w:r>
        <w:t>International GmbH, k rukám: Pověřence pro ochranu osobních údajů (DPO), Elsa-Brandstrom-StraRe 10-12, 50668 Kolín nad Rýnem, Německo.</w:t>
      </w:r>
    </w:p>
    <w:p w:rsidR="00E034C3" w:rsidRDefault="007132BA">
      <w:pPr>
        <w:pStyle w:val="Nadpis20"/>
        <w:keepNext/>
        <w:keepLines/>
        <w:shd w:val="clear" w:color="auto" w:fill="auto"/>
        <w:spacing w:after="180"/>
        <w:ind w:firstLine="720"/>
        <w:jc w:val="both"/>
      </w:pPr>
      <w:bookmarkStart w:id="25" w:name="bookmark24"/>
      <w:bookmarkStart w:id="26" w:name="bookmark25"/>
      <w:r>
        <w:t>Marketingový souhlas REVO</w:t>
      </w:r>
      <w:bookmarkEnd w:id="25"/>
      <w:bookmarkEnd w:id="26"/>
    </w:p>
    <w:p w:rsidR="00E034C3" w:rsidRDefault="007132BA">
      <w:pPr>
        <w:pStyle w:val="Zkladntext1"/>
        <w:numPr>
          <w:ilvl w:val="0"/>
          <w:numId w:val="4"/>
        </w:numPr>
        <w:shd w:val="clear" w:color="auto" w:fill="auto"/>
        <w:tabs>
          <w:tab w:val="left" w:pos="846"/>
        </w:tabs>
        <w:spacing w:after="0"/>
        <w:ind w:firstLine="380"/>
        <w:jc w:val="both"/>
      </w:pPr>
      <w:r>
        <w:t>SMLUV</w:t>
      </w:r>
      <w:r>
        <w:t>NÍ STRANY SE TÍMTO VÝSLOVNĚ DOHODLY ŽE:</w:t>
      </w:r>
    </w:p>
    <w:p w:rsidR="00E034C3" w:rsidRDefault="007132BA">
      <w:pPr>
        <w:pStyle w:val="Zkladntext1"/>
        <w:numPr>
          <w:ilvl w:val="0"/>
          <w:numId w:val="9"/>
        </w:numPr>
        <w:shd w:val="clear" w:color="auto" w:fill="auto"/>
        <w:tabs>
          <w:tab w:val="left" w:pos="1159"/>
        </w:tabs>
        <w:spacing w:after="0"/>
        <w:ind w:left="1160" w:hanging="360"/>
        <w:jc w:val="both"/>
      </w:pPr>
      <w:r>
        <w:t>Poskytovatelé služby předávají Údaje Smluvního partnera, včetně identifikačních údajů, kontaktních údajů a údajů o spotřebované službě, finanční skupině Raiffeisenbank zahrnující společnosti Raiffeisenbank a.s., IČO:</w:t>
      </w:r>
      <w:r>
        <w:t xml:space="preserve"> 49240901, (dále jen „skupina Raiffeisenbank“); a</w:t>
      </w:r>
    </w:p>
    <w:p w:rsidR="00E034C3" w:rsidRDefault="007132BA">
      <w:pPr>
        <w:pStyle w:val="Zkladntext1"/>
        <w:numPr>
          <w:ilvl w:val="0"/>
          <w:numId w:val="9"/>
        </w:numPr>
        <w:shd w:val="clear" w:color="auto" w:fill="auto"/>
        <w:tabs>
          <w:tab w:val="left" w:pos="1159"/>
        </w:tabs>
        <w:ind w:left="1160" w:hanging="360"/>
        <w:jc w:val="both"/>
      </w:pPr>
      <w:r>
        <w:t>Členové skupiny Raiffeisenbank smí zpracovávat údaje Smluvního partnera pro účely přípravy a nabídky produktů a služeb. Více informací o zpracování osobních údajů naleznete na adrese:</w:t>
      </w:r>
      <w:hyperlink r:id="rId18" w:history="1">
        <w:r>
          <w:t xml:space="preserve"> </w:t>
        </w:r>
        <w:r>
          <w:rPr>
            <w:color w:val="428BCA"/>
          </w:rPr>
          <w:t>www.rb.cz/informacni-servis/ochrana-osobnich-udaju</w:t>
        </w:r>
        <w:r>
          <w:t>.</w:t>
        </w:r>
      </w:hyperlink>
      <w:r>
        <w:t xml:space="preserve"> Ve vztahu k údajům Smluvního partnera zpracovávaným podle tohoto čl. 5.10, členové skupiny Raiffeisenbank (dle konkrétní situace) jednají jako správci úda</w:t>
      </w:r>
      <w:r>
        <w:t>jů.</w:t>
      </w:r>
    </w:p>
    <w:p w:rsidR="00E034C3" w:rsidRDefault="007132BA">
      <w:pPr>
        <w:pStyle w:val="Zkladntext1"/>
        <w:numPr>
          <w:ilvl w:val="0"/>
          <w:numId w:val="4"/>
        </w:numPr>
        <w:shd w:val="clear" w:color="auto" w:fill="auto"/>
        <w:tabs>
          <w:tab w:val="left" w:pos="846"/>
        </w:tabs>
        <w:ind w:firstLine="380"/>
        <w:jc w:val="both"/>
      </w:pPr>
      <w:r>
        <w:t>Pro účely shromažďování souhlasů podle čl. 5.10, Poskytovatelé služeb jednají jako zástupci (agenti) členů skupiny Raiffeisenbank.</w:t>
      </w:r>
    </w:p>
    <w:p w:rsidR="00E034C3" w:rsidRDefault="007132B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:rsidR="00E034C3" w:rsidRDefault="007132BA">
      <w:pPr>
        <w:pStyle w:val="Zkladntext1"/>
        <w:shd w:val="clear" w:color="auto" w:fill="auto"/>
        <w:jc w:val="center"/>
      </w:pPr>
      <w:r>
        <w:rPr>
          <w:b/>
          <w:bCs/>
        </w:rPr>
        <w:t>PLATNOST A ÚČINNOST</w:t>
      </w:r>
      <w:r>
        <w:br w:type="page"/>
      </w:r>
    </w:p>
    <w:p w:rsidR="00E034C3" w:rsidRDefault="007132BA">
      <w:pPr>
        <w:pStyle w:val="Zkladntext1"/>
        <w:numPr>
          <w:ilvl w:val="0"/>
          <w:numId w:val="10"/>
        </w:numPr>
        <w:shd w:val="clear" w:color="auto" w:fill="auto"/>
        <w:tabs>
          <w:tab w:val="left" w:pos="808"/>
        </w:tabs>
        <w:spacing w:after="200"/>
        <w:ind w:firstLine="380"/>
        <w:jc w:val="both"/>
      </w:pPr>
      <w:r>
        <w:lastRenderedPageBreak/>
        <w:t xml:space="preserve">Tato Smlouva nabyde </w:t>
      </w:r>
      <w:r>
        <w:rPr>
          <w:b/>
          <w:bCs/>
        </w:rPr>
        <w:t xml:space="preserve">platnosti </w:t>
      </w:r>
      <w:r>
        <w:t>dnem podpisu poslední Smluvní strany.</w:t>
      </w:r>
    </w:p>
    <w:p w:rsidR="00E034C3" w:rsidRDefault="007132BA">
      <w:pPr>
        <w:pStyle w:val="Zkladntext1"/>
        <w:numPr>
          <w:ilvl w:val="0"/>
          <w:numId w:val="10"/>
        </w:numPr>
        <w:shd w:val="clear" w:color="auto" w:fill="auto"/>
        <w:tabs>
          <w:tab w:val="left" w:pos="808"/>
        </w:tabs>
        <w:spacing w:after="200"/>
        <w:ind w:left="800" w:hanging="420"/>
        <w:jc w:val="both"/>
      </w:pPr>
      <w:r>
        <w:t xml:space="preserve">Tato Smlouva nabyde </w:t>
      </w:r>
      <w:r>
        <w:rPr>
          <w:b/>
          <w:bCs/>
        </w:rPr>
        <w:t xml:space="preserve">účinnosti </w:t>
      </w:r>
      <w:r>
        <w:t>dnem jejího uveřejnění prostřednictvím registru smluv v souladu se zákonem č. 340/2015 Sb., o zvláštních podmínkách účinnosti některých smluv, uveřejňování těchto smluv a o registru smluv (zákon o registru smluv), ve znění pozdějších předpisů,.</w:t>
      </w:r>
    </w:p>
    <w:p w:rsidR="00E034C3" w:rsidRDefault="007132BA">
      <w:pPr>
        <w:pStyle w:val="Zkladntext1"/>
        <w:numPr>
          <w:ilvl w:val="0"/>
          <w:numId w:val="10"/>
        </w:numPr>
        <w:shd w:val="clear" w:color="auto" w:fill="auto"/>
        <w:tabs>
          <w:tab w:val="left" w:pos="808"/>
        </w:tabs>
        <w:spacing w:after="380"/>
        <w:ind w:firstLine="380"/>
        <w:jc w:val="both"/>
      </w:pPr>
      <w:r>
        <w:t>U</w:t>
      </w:r>
      <w:r>
        <w:t>veřejnění Smlouvy prostřednictvím Registru smluv zajistí Smluvní partner do 10 dní od podpisu této Smlouvy.</w:t>
      </w:r>
    </w:p>
    <w:p w:rsidR="00E034C3" w:rsidRDefault="007132B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:rsidR="00E034C3" w:rsidRDefault="007132BA">
      <w:pPr>
        <w:pStyle w:val="Nadpis20"/>
        <w:keepNext/>
        <w:keepLines/>
        <w:shd w:val="clear" w:color="auto" w:fill="auto"/>
        <w:jc w:val="center"/>
      </w:pPr>
      <w:bookmarkStart w:id="27" w:name="bookmark26"/>
      <w:bookmarkStart w:id="28" w:name="bookmark27"/>
      <w:r>
        <w:t>RŮZNÉ</w:t>
      </w:r>
      <w:bookmarkEnd w:id="27"/>
      <w:bookmarkEnd w:id="28"/>
    </w:p>
    <w:p w:rsidR="00E034C3" w:rsidRDefault="007132BA">
      <w:pPr>
        <w:pStyle w:val="Zkladntext1"/>
        <w:numPr>
          <w:ilvl w:val="0"/>
          <w:numId w:val="11"/>
        </w:numPr>
        <w:shd w:val="clear" w:color="auto" w:fill="auto"/>
        <w:tabs>
          <w:tab w:val="left" w:pos="808"/>
        </w:tabs>
        <w:spacing w:after="200"/>
        <w:ind w:left="800" w:hanging="420"/>
        <w:jc w:val="both"/>
      </w:pPr>
      <w:r>
        <w:t>Smluvní partner tímto prohlašuje, že mu byly v dostatečném předstihu před uzavřením této Smlouvy poskytnuty VOP a informace dle ustanoven</w:t>
      </w:r>
      <w:r>
        <w:t>í § 133 až 139 Zákona o platebním styku. Smluvní partner tímto výslovně bere na vědomí a prohlašuje, že považuje veškeré podmínky uvedené ve Smlouvě za jasné, jednoznačné a srozumitelné a že rozumí tomu, že Poskytovatelé služeb z nich budou pro účely posky</w:t>
      </w:r>
      <w:r>
        <w:t>tování Služeb Smluvnímu partnerovi vycházet.</w:t>
      </w:r>
    </w:p>
    <w:p w:rsidR="00E034C3" w:rsidRDefault="007132BA">
      <w:pPr>
        <w:pStyle w:val="Zkladntext1"/>
        <w:numPr>
          <w:ilvl w:val="0"/>
          <w:numId w:val="11"/>
        </w:numPr>
        <w:shd w:val="clear" w:color="auto" w:fill="auto"/>
        <w:tabs>
          <w:tab w:val="left" w:pos="808"/>
        </w:tabs>
        <w:spacing w:after="200"/>
        <w:ind w:left="800" w:hanging="420"/>
        <w:jc w:val="both"/>
      </w:pPr>
      <w:r>
        <w:t>Přílohy a dodatky této Smlouvy tvoří její nedílnou součást. Tato Smlouva (včetně veškeré dokumentace začleněné do ní odkazem) může být vyhotovena v jednom nebo více stejnopisech, jež se všechny společně považují</w:t>
      </w:r>
      <w:r>
        <w:t xml:space="preserve"> za jednu a tutéž smlouvu, a nabývá účinnosti za podmínek čl. 6.</w:t>
      </w:r>
    </w:p>
    <w:p w:rsidR="00E034C3" w:rsidRDefault="007132BA">
      <w:pPr>
        <w:pStyle w:val="Zkladntext1"/>
        <w:numPr>
          <w:ilvl w:val="0"/>
          <w:numId w:val="11"/>
        </w:numPr>
        <w:shd w:val="clear" w:color="auto" w:fill="auto"/>
        <w:tabs>
          <w:tab w:val="left" w:pos="808"/>
        </w:tabs>
        <w:spacing w:after="200"/>
        <w:ind w:firstLine="380"/>
        <w:jc w:val="both"/>
      </w:pPr>
      <w:r>
        <w:t xml:space="preserve">Smluvní strany tímto berou na vědomí, že </w:t>
      </w:r>
      <w:r>
        <w:rPr>
          <w:u w:val="single"/>
        </w:rPr>
        <w:t>Příloha č. 2</w:t>
      </w:r>
      <w:r>
        <w:t xml:space="preserve"> této Smlouvy byla záměrně vypuštěna.</w:t>
      </w:r>
    </w:p>
    <w:p w:rsidR="00E034C3" w:rsidRDefault="007132BA">
      <w:pPr>
        <w:pStyle w:val="Zkladntext1"/>
        <w:numPr>
          <w:ilvl w:val="0"/>
          <w:numId w:val="11"/>
        </w:numPr>
        <w:shd w:val="clear" w:color="auto" w:fill="auto"/>
        <w:tabs>
          <w:tab w:val="left" w:pos="808"/>
        </w:tabs>
        <w:spacing w:after="200"/>
        <w:ind w:firstLine="380"/>
        <w:jc w:val="both"/>
      </w:pPr>
      <w:r>
        <w:t xml:space="preserve">Jakákoli změna této Smlouvy musí být provedena písemně. Tuto Smlouvu lze měnit nebo doplňovat </w:t>
      </w:r>
      <w:r>
        <w:t>způsobem popsaným v čl. 1.3 VOP.</w:t>
      </w:r>
    </w:p>
    <w:p w:rsidR="00E034C3" w:rsidRDefault="007132BA">
      <w:pPr>
        <w:pStyle w:val="Zkladntext1"/>
        <w:numPr>
          <w:ilvl w:val="0"/>
          <w:numId w:val="11"/>
        </w:numPr>
        <w:shd w:val="clear" w:color="auto" w:fill="auto"/>
        <w:tabs>
          <w:tab w:val="left" w:pos="808"/>
        </w:tabs>
        <w:spacing w:after="200"/>
        <w:ind w:left="800" w:hanging="420"/>
        <w:jc w:val="both"/>
      </w:pPr>
      <w:r>
        <w:t>Tato Smlouva nahrazuje veškerá předchozí ujednání Smluvních stran týkající se jejího předmětu. Práva a povinnosti vzniklá na základě ujednání nahrazeného touto Smlouvou zůstávají nedotčena.</w:t>
      </w:r>
    </w:p>
    <w:p w:rsidR="00E034C3" w:rsidRDefault="007132BA">
      <w:pPr>
        <w:pStyle w:val="Zkladntext1"/>
        <w:numPr>
          <w:ilvl w:val="0"/>
          <w:numId w:val="11"/>
        </w:numPr>
        <w:shd w:val="clear" w:color="auto" w:fill="auto"/>
        <w:tabs>
          <w:tab w:val="left" w:pos="808"/>
        </w:tabs>
        <w:spacing w:after="200"/>
        <w:ind w:left="800" w:hanging="420"/>
        <w:jc w:val="both"/>
      </w:pPr>
      <w:r>
        <w:t>Smluvní strany se výslovně dohodl</w:t>
      </w:r>
      <w:r>
        <w:t>y na odchylce od zákonných pravidel stanovených v ustanoveních §§ 130 odst. 1, 132-151, 152-155, 160, 176, 183-184, 187 odst. 1 Zákona o platebním styku a na jejich nahrazení ustanoveními této Smlouvy. Smluvní strany se výslovně dohodly na odchylce od usta</w:t>
      </w:r>
      <w:r>
        <w:t>novení § 182 Zákona o platebním styku, a to bez náhrady.</w:t>
      </w:r>
    </w:p>
    <w:p w:rsidR="00E034C3" w:rsidRDefault="007132BA">
      <w:pPr>
        <w:pStyle w:val="Zkladntext1"/>
        <w:numPr>
          <w:ilvl w:val="0"/>
          <w:numId w:val="11"/>
        </w:numPr>
        <w:shd w:val="clear" w:color="auto" w:fill="auto"/>
        <w:tabs>
          <w:tab w:val="left" w:pos="808"/>
        </w:tabs>
        <w:spacing w:after="200"/>
        <w:ind w:left="800" w:hanging="420"/>
        <w:jc w:val="both"/>
      </w:pPr>
      <w:r>
        <w:t>Zástupce Smluvního partnera podepisující tuto Smlouvu výslovně bere na vědomí, že Poskytovatelé služeb mohou pořizovat a ponechávat si kopie dokladů totožnosti za účelem naplnění zásady „Poznej svého</w:t>
      </w:r>
      <w:r>
        <w:t xml:space="preserve"> klienta“ (Know Your Customer - KYC) v souladu s interními zásadami Poskytovatelů služeb a/nebo s příslušnými právními předpisy proti praní špinavých peněz.</w:t>
      </w:r>
    </w:p>
    <w:p w:rsidR="00E034C3" w:rsidRDefault="007132BA">
      <w:pPr>
        <w:pStyle w:val="Zkladntext1"/>
        <w:numPr>
          <w:ilvl w:val="0"/>
          <w:numId w:val="11"/>
        </w:numPr>
        <w:shd w:val="clear" w:color="auto" w:fill="auto"/>
        <w:tabs>
          <w:tab w:val="left" w:pos="808"/>
        </w:tabs>
        <w:spacing w:after="260"/>
        <w:ind w:firstLine="380"/>
        <w:jc w:val="both"/>
      </w:pPr>
      <w:r>
        <w:t>Tato smlouva se uzavírá elektronickou formou s kvalifikovanými elektronickými podpisy smluvních str</w:t>
      </w:r>
      <w:r>
        <w:t>an.</w:t>
      </w:r>
    </w:p>
    <w:p w:rsidR="00E034C3" w:rsidRDefault="007132BA">
      <w:pPr>
        <w:pStyle w:val="Zkladntext20"/>
        <w:numPr>
          <w:ilvl w:val="0"/>
          <w:numId w:val="11"/>
        </w:numPr>
        <w:shd w:val="clear" w:color="auto" w:fill="auto"/>
        <w:tabs>
          <w:tab w:val="left" w:pos="808"/>
        </w:tabs>
        <w:spacing w:after="260"/>
        <w:ind w:firstLine="380"/>
        <w:jc w:val="both"/>
      </w:pPr>
      <w:r>
        <w:t xml:space="preserve">SMLUVNÍ PARTNER TÍMTO VÝSLOVNĚ POTVRZUJE UDĚLENÍ SOUHLASU DLE ČLÁNKU 5.6 VÝŠE: </w:t>
      </w:r>
      <w:r>
        <w:rPr>
          <w:rFonts w:ascii="Calibri" w:eastAsia="Calibri" w:hAnsi="Calibri" w:cs="Calibri"/>
          <w:b/>
          <w:bCs/>
          <w:color w:val="211D1E"/>
          <w:sz w:val="18"/>
          <w:szCs w:val="18"/>
        </w:rPr>
        <w:t xml:space="preserve">0 </w:t>
      </w:r>
      <w:r>
        <w:t xml:space="preserve">ANO </w:t>
      </w:r>
      <w:r>
        <w:rPr>
          <w:rFonts w:ascii="Calibri" w:eastAsia="Calibri" w:hAnsi="Calibri" w:cs="Calibri"/>
          <w:b/>
          <w:bCs/>
          <w:color w:val="211D1E"/>
          <w:sz w:val="17"/>
          <w:szCs w:val="17"/>
        </w:rPr>
        <w:t xml:space="preserve">□ </w:t>
      </w:r>
      <w:r>
        <w:t>NE.</w:t>
      </w:r>
    </w:p>
    <w:p w:rsidR="00E034C3" w:rsidRDefault="007132BA">
      <w:pPr>
        <w:pStyle w:val="Zkladntext20"/>
        <w:numPr>
          <w:ilvl w:val="0"/>
          <w:numId w:val="11"/>
        </w:numPr>
        <w:shd w:val="clear" w:color="auto" w:fill="auto"/>
        <w:tabs>
          <w:tab w:val="left" w:pos="863"/>
        </w:tabs>
        <w:spacing w:after="480"/>
        <w:ind w:firstLine="380"/>
        <w:jc w:val="both"/>
      </w:pPr>
      <w:r>
        <w:t xml:space="preserve">SMLUVNÍ PARTNER TÍMTO VÝSLOVNĚ POTVRZUJE UDĚLENÍ SOUHLASU DLE ČLÁNKU 5.10 VÝŠE: </w:t>
      </w:r>
      <w:r>
        <w:rPr>
          <w:rFonts w:ascii="Calibri" w:eastAsia="Calibri" w:hAnsi="Calibri" w:cs="Calibri"/>
          <w:b/>
          <w:bCs/>
          <w:color w:val="211D1E"/>
          <w:sz w:val="18"/>
          <w:szCs w:val="18"/>
        </w:rPr>
        <w:t xml:space="preserve">0 </w:t>
      </w:r>
      <w:r>
        <w:t xml:space="preserve">ANO </w:t>
      </w:r>
      <w:r>
        <w:rPr>
          <w:rFonts w:ascii="Calibri" w:eastAsia="Calibri" w:hAnsi="Calibri" w:cs="Calibri"/>
          <w:b/>
          <w:bCs/>
          <w:color w:val="211D1E"/>
          <w:sz w:val="17"/>
          <w:szCs w:val="17"/>
        </w:rPr>
        <w:t xml:space="preserve">□ </w:t>
      </w:r>
      <w:r>
        <w:t>NE.</w:t>
      </w:r>
    </w:p>
    <w:p w:rsidR="00E034C3" w:rsidRDefault="007132BA">
      <w:pPr>
        <w:pStyle w:val="Zkladntext20"/>
        <w:shd w:val="clear" w:color="auto" w:fill="auto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4478020</wp:posOffset>
                </wp:positionH>
                <wp:positionV relativeFrom="paragraph">
                  <wp:posOffset>12700</wp:posOffset>
                </wp:positionV>
                <wp:extent cx="267970" cy="14605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34C3" w:rsidRDefault="007132B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52.60000000000002pt;margin-top:1.pt;width:21.100000000000001pt;height:11.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</w:t>
      </w:r>
      <w:r>
        <w:rPr>
          <w:color w:val="333333"/>
        </w:rPr>
        <w:t>Praze</w:t>
      </w:r>
      <w:r>
        <w:t>, dne</w:t>
      </w:r>
    </w:p>
    <w:p w:rsidR="00E034C3" w:rsidRDefault="007132B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54000" distB="0" distL="0" distR="0" simplePos="0" relativeHeight="125829386" behindDoc="0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254000</wp:posOffset>
                </wp:positionV>
                <wp:extent cx="1627505" cy="4483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34C3" w:rsidRDefault="007132BA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EVO Payments International s.r.o.</w:t>
                            </w:r>
                          </w:p>
                          <w:p w:rsidR="00E034C3" w:rsidRDefault="007132BA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Miklaszewicz Zdzislaw</w:t>
                            </w:r>
                          </w:p>
                          <w:p w:rsidR="00E034C3" w:rsidRDefault="007132BA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83.799999999999997pt;margin-top:20.pt;width:128.15000000000001pt;height:35.299999999999997pt;z-index:-125829367;mso-wrap-distance-left:0;mso-wrap-distance-top:20.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EVO Payments International s.r.o.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Miklaszewicz Zdzislaw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00" distB="3175" distL="0" distR="0" simplePos="0" relativeHeight="125829388" behindDoc="0" locked="0" layoutInCell="1" allowOverlap="1">
                <wp:simplePos x="0" y="0"/>
                <wp:positionH relativeFrom="page">
                  <wp:posOffset>3768090</wp:posOffset>
                </wp:positionH>
                <wp:positionV relativeFrom="paragraph">
                  <wp:posOffset>254000</wp:posOffset>
                </wp:positionV>
                <wp:extent cx="1490345" cy="4451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34C3" w:rsidRDefault="007132B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Národní památkový ústav</w:t>
                            </w:r>
                          </w:p>
                          <w:p w:rsidR="00E034C3" w:rsidRDefault="007132B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Ing. arch. Naděžda Goryczková</w:t>
                            </w:r>
                          </w:p>
                          <w:p w:rsidR="00E034C3" w:rsidRDefault="007132B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Generální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96.69999999999999pt;margin-top:20.pt;width:117.34999999999999pt;height:35.049999999999997pt;z-index:-125829365;mso-wrap-distance-left:0;mso-wrap-distance-top:20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Národní památkový ústav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arch. Naděžda Goryczková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Generální ředitelka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34C3" w:rsidRDefault="007132BA">
      <w:pPr>
        <w:pStyle w:val="Zkladntext20"/>
        <w:shd w:val="clear" w:color="auto" w:fill="auto"/>
        <w:spacing w:line="276" w:lineRule="auto"/>
        <w:ind w:firstLine="360"/>
      </w:pPr>
      <w:r>
        <w:t>GP Payments Acquiring International GmbH</w:t>
      </w:r>
    </w:p>
    <w:p w:rsidR="00E034C3" w:rsidRDefault="007132BA">
      <w:pPr>
        <w:pStyle w:val="Zkladntext20"/>
        <w:shd w:val="clear" w:color="auto" w:fill="auto"/>
        <w:spacing w:line="276" w:lineRule="auto"/>
        <w:ind w:left="360"/>
      </w:pPr>
      <w:r>
        <w:t xml:space="preserve">Miklaszewicz Zdzislaw, jednatel </w:t>
      </w:r>
      <w:r>
        <w:rPr>
          <w:rFonts w:ascii="Calibri" w:eastAsia="Calibri" w:hAnsi="Calibri" w:cs="Calibri"/>
          <w:b/>
          <w:bCs/>
        </w:rPr>
        <w:t xml:space="preserve">EVO </w:t>
      </w:r>
      <w:r w:rsidRPr="00D77F5C">
        <w:rPr>
          <w:rFonts w:ascii="Calibri" w:eastAsia="Calibri" w:hAnsi="Calibri" w:cs="Calibri"/>
          <w:b/>
          <w:bCs/>
          <w:lang w:eastAsia="en-US" w:bidi="en-US"/>
        </w:rPr>
        <w:t xml:space="preserve">Payments </w:t>
      </w:r>
      <w:r>
        <w:rPr>
          <w:rFonts w:ascii="Calibri" w:eastAsia="Calibri" w:hAnsi="Calibri" w:cs="Calibri"/>
          <w:b/>
          <w:bCs/>
        </w:rPr>
        <w:t xml:space="preserve">International s.r.o. </w:t>
      </w:r>
      <w:r>
        <w:t>Na základě plné moci</w:t>
      </w:r>
    </w:p>
    <w:sectPr w:rsidR="00E034C3">
      <w:headerReference w:type="default" r:id="rId19"/>
      <w:footerReference w:type="default" r:id="rId20"/>
      <w:pgSz w:w="11900" w:h="16840"/>
      <w:pgMar w:top="1566" w:right="1035" w:bottom="1835" w:left="11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BA" w:rsidRDefault="007132BA">
      <w:r>
        <w:separator/>
      </w:r>
    </w:p>
  </w:endnote>
  <w:endnote w:type="continuationSeparator" w:id="0">
    <w:p w:rsidR="007132BA" w:rsidRDefault="0071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C3" w:rsidRDefault="007132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9839325</wp:posOffset>
              </wp:positionV>
              <wp:extent cx="69850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4C3" w:rsidRDefault="007132BA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7F5C" w:rsidRPr="00D77F5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3" type="#_x0000_t202" style="position:absolute;margin-left:288.75pt;margin-top:774.75pt;width:5.5pt;height:9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" filled="f" stroked="f">
              <v:textbox style="mso-fit-shape-to-text:t" inset="0,0,0,0">
                <w:txbxContent>
                  <w:p w:rsidR="00E034C3" w:rsidRDefault="007132BA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7F5C" w:rsidRPr="00D77F5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6343015</wp:posOffset>
              </wp:positionH>
              <wp:positionV relativeFrom="page">
                <wp:posOffset>9979660</wp:posOffset>
              </wp:positionV>
              <wp:extent cx="411480" cy="1555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4C3" w:rsidRDefault="007132BA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11D1E"/>
                              <w:sz w:val="12"/>
                              <w:szCs w:val="12"/>
                              <w:lang w:val="en-US" w:eastAsia="en-US" w:bidi="en-US"/>
                            </w:rPr>
                            <w:t>Raiffeisen</w:t>
                          </w:r>
                        </w:p>
                        <w:p w:rsidR="00E034C3" w:rsidRDefault="007132BA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color w:val="211D1E"/>
                              <w:sz w:val="12"/>
                              <w:szCs w:val="12"/>
                            </w:rPr>
                            <w:t>BANK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99.44999999999999pt;margin-top:785.79999999999995pt;width:32.399999999999999pt;height:12.2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11D1E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Raiffeisen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211D1E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BANK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5252085</wp:posOffset>
              </wp:positionH>
              <wp:positionV relativeFrom="page">
                <wp:posOffset>9988550</wp:posOffset>
              </wp:positionV>
              <wp:extent cx="1073150" cy="2438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4C3" w:rsidRDefault="007132BA">
                          <w:pPr>
                            <w:pStyle w:val="Zhlavnebozpat20"/>
                            <w:shd w:val="clear" w:color="auto" w:fill="auto"/>
                            <w:tabs>
                              <w:tab w:val="right" w:pos="1690"/>
                            </w:tabs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747577"/>
                            </w:rPr>
                            <w:t>Aliance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747577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211D1E"/>
                              <w:sz w:val="40"/>
                              <w:szCs w:val="40"/>
                            </w:rPr>
                            <w:t>Ep K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13.55000000000001pt;margin-top:786.5pt;width:84.5pt;height:19.199999999999999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747577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Aliance</w:t>
                      <w:tab/>
                    </w:r>
                    <w:r>
                      <w:rPr>
                        <w:b/>
                        <w:bCs/>
                        <w:color w:val="211D1E"/>
                        <w:spacing w:val="0"/>
                        <w:w w:val="100"/>
                        <w:position w:val="0"/>
                        <w:sz w:val="40"/>
                        <w:szCs w:val="40"/>
                        <w:shd w:val="clear" w:color="auto" w:fill="auto"/>
                        <w:lang w:val="cs-CZ" w:eastAsia="cs-CZ" w:bidi="cs-CZ"/>
                      </w:rPr>
                      <w:t>Ep 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C3" w:rsidRDefault="007132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3743325</wp:posOffset>
              </wp:positionH>
              <wp:positionV relativeFrom="page">
                <wp:posOffset>9839325</wp:posOffset>
              </wp:positionV>
              <wp:extent cx="69850" cy="12192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4C3" w:rsidRDefault="007132BA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7F5C" w:rsidRPr="00D77F5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7" type="#_x0000_t202" style="position:absolute;margin-left:294.75pt;margin-top:774.75pt;width:5.5pt;height:9.6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" filled="f" stroked="f">
              <v:textbox style="mso-fit-shape-to-text:t" inset="0,0,0,0">
                <w:txbxContent>
                  <w:p w:rsidR="00E034C3" w:rsidRDefault="007132BA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7F5C" w:rsidRPr="00D77F5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C3" w:rsidRDefault="007132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9839325</wp:posOffset>
              </wp:positionV>
              <wp:extent cx="69850" cy="12192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4C3" w:rsidRDefault="007132BA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7F5C" w:rsidRPr="00D77F5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39" type="#_x0000_t202" style="position:absolute;margin-left:288.75pt;margin-top:774.75pt;width:5.5pt;height:9.6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" filled="f" stroked="f">
              <v:textbox style="mso-fit-shape-to-text:t" inset="0,0,0,0">
                <w:txbxContent>
                  <w:p w:rsidR="00E034C3" w:rsidRDefault="007132BA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7F5C" w:rsidRPr="00D77F5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6343015</wp:posOffset>
              </wp:positionH>
              <wp:positionV relativeFrom="page">
                <wp:posOffset>9979660</wp:posOffset>
              </wp:positionV>
              <wp:extent cx="411480" cy="15557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4C3" w:rsidRDefault="007132BA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11D1E"/>
                              <w:sz w:val="12"/>
                              <w:szCs w:val="12"/>
                              <w:lang w:val="en-US" w:eastAsia="en-US" w:bidi="en-US"/>
                            </w:rPr>
                            <w:t>Raiffeisen</w:t>
                          </w:r>
                        </w:p>
                        <w:p w:rsidR="00E034C3" w:rsidRDefault="007132BA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color w:val="211D1E"/>
                              <w:sz w:val="12"/>
                              <w:szCs w:val="12"/>
                            </w:rPr>
                            <w:t>BANK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499.44999999999999pt;margin-top:785.79999999999995pt;width:32.399999999999999pt;height:12.2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11D1E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Raiffeisen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211D1E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BANK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5252085</wp:posOffset>
              </wp:positionH>
              <wp:positionV relativeFrom="page">
                <wp:posOffset>9988550</wp:posOffset>
              </wp:positionV>
              <wp:extent cx="1073150" cy="24384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4C3" w:rsidRDefault="007132BA">
                          <w:pPr>
                            <w:pStyle w:val="Zhlavnebozpat20"/>
                            <w:shd w:val="clear" w:color="auto" w:fill="auto"/>
                            <w:tabs>
                              <w:tab w:val="right" w:pos="1690"/>
                            </w:tabs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747577"/>
                            </w:rPr>
                            <w:t>Aliance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747577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211D1E"/>
                              <w:sz w:val="40"/>
                              <w:szCs w:val="40"/>
                            </w:rPr>
                            <w:t>Ep K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413.55000000000001pt;margin-top:786.5pt;width:84.5pt;height:19.199999999999999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747577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Aliance</w:t>
                      <w:tab/>
                    </w:r>
                    <w:r>
                      <w:rPr>
                        <w:b/>
                        <w:bCs/>
                        <w:color w:val="211D1E"/>
                        <w:spacing w:val="0"/>
                        <w:w w:val="100"/>
                        <w:position w:val="0"/>
                        <w:sz w:val="40"/>
                        <w:szCs w:val="40"/>
                        <w:shd w:val="clear" w:color="auto" w:fill="auto"/>
                        <w:lang w:val="cs-CZ" w:eastAsia="cs-CZ" w:bidi="cs-CZ"/>
                      </w:rPr>
                      <w:t>Ep 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BA" w:rsidRDefault="007132BA"/>
  </w:footnote>
  <w:footnote w:type="continuationSeparator" w:id="0">
    <w:p w:rsidR="007132BA" w:rsidRDefault="007132B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C3" w:rsidRDefault="007132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5285740</wp:posOffset>
              </wp:positionH>
              <wp:positionV relativeFrom="page">
                <wp:posOffset>476250</wp:posOffset>
              </wp:positionV>
              <wp:extent cx="1475105" cy="1282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4C3" w:rsidRDefault="007132B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revo_PCAA/3.000/23082021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16.19999999999999pt;margin-top:37.5pt;width:116.15000000000001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revo_PCAA/3.000/23082021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C3" w:rsidRDefault="007132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5361940</wp:posOffset>
              </wp:positionH>
              <wp:positionV relativeFrom="page">
                <wp:posOffset>476250</wp:posOffset>
              </wp:positionV>
              <wp:extent cx="1475105" cy="12827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4C3" w:rsidRDefault="007132B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revo_PCAA/3.000/23082021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422.19999999999999pt;margin-top:37.5pt;width:116.15000000000001pt;height:10.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revo_PCAA/3.000/23082021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C3" w:rsidRDefault="007132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5285740</wp:posOffset>
              </wp:positionH>
              <wp:positionV relativeFrom="page">
                <wp:posOffset>476250</wp:posOffset>
              </wp:positionV>
              <wp:extent cx="1475105" cy="12827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4C3" w:rsidRDefault="007132B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revo_PCAA/3.000/23082021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416.19999999999999pt;margin-top:37.5pt;width:116.15000000000001pt;height:10.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revo_PCAA/3.000/23082021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7EE"/>
    <w:multiLevelType w:val="multilevel"/>
    <w:tmpl w:val="CFD238BC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A4456"/>
    <w:multiLevelType w:val="multilevel"/>
    <w:tmpl w:val="9D7E947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4E7FB4"/>
    <w:multiLevelType w:val="multilevel"/>
    <w:tmpl w:val="028E813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113F9F"/>
    <w:multiLevelType w:val="multilevel"/>
    <w:tmpl w:val="D7567D0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3F39DC"/>
    <w:multiLevelType w:val="multilevel"/>
    <w:tmpl w:val="B7F81F48"/>
    <w:lvl w:ilvl="0">
      <w:start w:val="2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B2AFA"/>
    <w:multiLevelType w:val="multilevel"/>
    <w:tmpl w:val="FE50FCB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C04BEB"/>
    <w:multiLevelType w:val="multilevel"/>
    <w:tmpl w:val="7198389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B64405"/>
    <w:multiLevelType w:val="multilevel"/>
    <w:tmpl w:val="81F4ED16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762007"/>
    <w:multiLevelType w:val="multilevel"/>
    <w:tmpl w:val="DD12B238"/>
    <w:lvl w:ilvl="0">
      <w:start w:val="1"/>
      <w:numFmt w:val="decimal"/>
      <w:lvlText w:val="7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C15144"/>
    <w:multiLevelType w:val="multilevel"/>
    <w:tmpl w:val="C750EC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427604"/>
    <w:multiLevelType w:val="multilevel"/>
    <w:tmpl w:val="8E503F1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C3"/>
    <w:rsid w:val="007132BA"/>
    <w:rsid w:val="00D77F5C"/>
    <w:rsid w:val="00E0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407C"/>
  <w15:docId w15:val="{1651CAEE-2EE0-4FE1-801D-DAF89110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6" w:lineRule="auto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yperlink" Target="http://www.rb.cz/informacni-servis/ochrana-osobnich-udaj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yperlink" Target="mailto:evo@kinast-partner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dpo@revopayments.cz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revopayments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dpr@revopayments.cz" TargetMode="External"/><Relationship Id="rId10" Type="http://schemas.openxmlformats.org/officeDocument/2006/relationships/hyperlink" Target="http://www.revopayments.cz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3142</Words>
  <Characters>18538</Characters>
  <Application>Microsoft Office Word</Application>
  <DocSecurity>0</DocSecurity>
  <Lines>154</Lines>
  <Paragraphs>43</Paragraphs>
  <ScaleCrop>false</ScaleCrop>
  <Company>HP Inc.</Company>
  <LinksUpToDate>false</LinksUpToDate>
  <CharactersWithSpaces>21637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Geyer</dc:creator>
  <cp:keywords/>
  <cp:lastModifiedBy>Janouchová Miroslava</cp:lastModifiedBy>
  <cp:revision>2</cp:revision>
  <dcterms:created xsi:type="dcterms:W3CDTF">2024-11-14T15:49:00Z</dcterms:created>
  <dcterms:modified xsi:type="dcterms:W3CDTF">2024-11-14T15:50:00Z</dcterms:modified>
</cp:coreProperties>
</file>