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Divadlo Archa, o.p.s. 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zastoupená Jindřichem Krippnerem, ředitelem společnosti,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RACHOT Production, s.r.o.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sídlem Kubelíkova 1548/27, 130 00 Praha 3,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zastoupená Borkem Holečkem, jednatelem společnosti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IČ: 26690179. DIČ: CZ26690179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kontaktní osoba: Borek Holeček - </w:t>
      </w:r>
      <w:r w:rsidDel="00000000" w:rsidR="00000000" w:rsidRPr="00000000">
        <w:rPr>
          <w:rFonts w:ascii="Arial" w:cs="Arial" w:eastAsia="Arial" w:hAnsi="Arial"/>
          <w:rtl w:val="0"/>
        </w:rPr>
        <w:t xml:space="preserve">borek@rachot.cz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(dále jen RACHOT)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uzavřeli podle § 1746 odst. 2 zákona č. 89/2012 Sb, občanského zákoníku níže uvedeného dne, měsíce a roku tuto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SPOLUPRÁCI PŘI USPOŘÁDÁNÍ KONCERTU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</w:t>
      </w:r>
    </w:p>
    <w:p w:rsidR="00000000" w:rsidDel="00000000" w:rsidP="00000000" w:rsidRDefault="00000000" w:rsidRPr="00000000" w14:paraId="00000016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Předmět smlouvy 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Smluvní strany se dohodly na vzájemné spolupráci při uspořádání koncertu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Seun Kuti &amp; EGYPT 80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(dále jen Koncert). Koncert se uskuteční v prostoru ARCHA+ dne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října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2024 od 20 hodin. 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</w:t>
      </w:r>
    </w:p>
    <w:p w:rsidR="00000000" w:rsidDel="00000000" w:rsidP="00000000" w:rsidRDefault="00000000" w:rsidRPr="00000000" w14:paraId="0000001B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Povinnosti ARCHY+</w:t>
      </w:r>
    </w:p>
    <w:p w:rsidR="00000000" w:rsidDel="00000000" w:rsidP="00000000" w:rsidRDefault="00000000" w:rsidRPr="00000000" w14:paraId="0000001C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425.19685039370086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se zavazuje na vlastní náklady poskytnout dne 16. 10. 2024 velký sál a jeho zázemí včetně šaten v prostoru ARCHA+ (ulice Na Poříčí 26, Praha 1) pro přípravu a vlastní realizaci Koncertu. Součástí poskytnutí prostor je rovněž dodávka energií a vody.  Prostory budou poskytnuty dle níže uvedeného harmonogramu, který může být po vzájemné dohodě Smluvních stran upraven: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:00 přístup produkce RACHOT/příprava.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14:00 get in kapela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15:00 zvuková zkouška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19:00 otevření sálu publiku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20:00 začátek koncertu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22:00 předpokládaný konec koncertu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Kontaktní osobou pro domluvu a případné změny v harmonogramu je Jakub Hykeš –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jakub.hykes@archa-plus.cz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 Václav Klíma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zajistí na vlastní náklady prostřednictvím externích spolupracovníků ozvučení a osvětlení sálů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na vlastní náklady zajistí produkční, organizační a provozní realizaci akce v rozsahu dle dohody Smluvních stran.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na vlastní náklady zajistí pořadatelskou službu, požární asistenční hlídku a úklid prostor před uspořádáním Koncertu.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zajistí předprodej vstupenek prostřednictvím systému Go out. Počty volných vstupenek, které mohou Smluvní strany využít budou předmětem dohody Smluvních stran. Kontaktní osobou pro jednání o vstupenkách je za ARCHU+ Barbora Prokopová – </w:t>
      </w:r>
      <w:hyperlink r:id="rId9">
        <w:r w:rsidDel="00000000" w:rsidR="00000000" w:rsidRPr="00000000">
          <w:rPr>
            <w:rFonts w:ascii="Arial" w:cs="Arial" w:eastAsia="Arial" w:hAnsi="Arial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se zavazuje zaslat vyúčtování prodeje vstupenek na Koncert nejpozději do týdne od konání Koncertu, to je nejpozději 23. 10. 2024. Čistá tržba ze vstupného, to je tržba z prodeje vstupenek po odečtení poplatků vstupenkového portálu GoOut, náleží RACHOTU.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nenese odpovědnost za škody (na zdraví a majetku) účinkujících a dalších spolupracujících osob zajištěných ze strany RACHOT. RACHOT  se zavazuje takové škody pokrýt a uhradit svým pojištěním, případně se nároků na škodu vzdát.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425.19685039370086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ARCHA+ je oprávněna pořídit krátký video záznam a fotografie z Koncertu a používat je bez omezení pro propagaci a pro prezentaci své činnosti, nikoliv však ke komerčním účelům.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425.19685039370086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ARCHA+ se zavazuje podílet na uspořádání Koncertu úhradou části vlastních nákladů vzniklých v souvislosti s jeho uspořádáním.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</w:t>
      </w:r>
    </w:p>
    <w:p w:rsidR="00000000" w:rsidDel="00000000" w:rsidP="00000000" w:rsidRDefault="00000000" w:rsidRPr="00000000" w14:paraId="00000031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Povinnosti RACHOT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se zavazuje smluvně zajistit účinkující umělce v termínech dle čl. I a dle harmonogramu dle článku II. této smlouvy.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720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</w:t>
      </w:r>
      <w:r w:rsidDel="00000000" w:rsidR="00000000" w:rsidRPr="00000000">
        <w:rPr>
          <w:rFonts w:ascii="Arial" w:cs="Arial" w:eastAsia="Arial" w:hAnsi="Arial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rtl w:val="0"/>
        </w:rPr>
        <w:t xml:space="preserve"> všechny autorské odměny a poplatky. RACHOT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se zavazuje zajistit výrobu a distribuci veškerých propagačních materiálů.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se zavazuje zajistit catering pro účinkující dle jejich požadavků.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RACHOT se zavazuje uhradit náklady spojené s uspořádáním Koncertu dle podmínek uvedených v článku IV. </w:t>
      </w:r>
    </w:p>
    <w:p w:rsidR="00000000" w:rsidDel="00000000" w:rsidP="00000000" w:rsidRDefault="00000000" w:rsidRPr="00000000" w14:paraId="0000003A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</w:r>
    </w:p>
    <w:p w:rsidR="00000000" w:rsidDel="00000000" w:rsidP="00000000" w:rsidRDefault="00000000" w:rsidRPr="00000000" w14:paraId="0000003C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Smluvní strany se jako spolupořadatelé podílejí na uspořádání Koncertu formou zajištění vybraných služeb dle článků II a III na vlastní náklady.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Nad rámec úhrady nákladů na zajištění služeb dle článku II ARCHOU+ uhradí RACHOT část nákladů souvisejících se službami dle článku II ve výši 80.000 Kč (slovy: osmdesát tisíc korun českých). Uvedená cena bude uhrazena na základě faktury vystavené ARCHOU+ nejdříve den po uskutečnění Koncertu.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Splatnost faktury je 10 dnů.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Čisté tržby ze vstupného, tzn. celkové tržby z prodeje vstupenek po odečtení poplatků GoOut (včetně DPH) náleží RACHOTU. ARCHA+ zašle vyúčtování prodeje vstupenek nejpozději 23. 10. 2024 na adresu kontaktní osoby RACHOT uvedené v záhlaví smlouvy. Po odsouhlasení vyúčtování odešle ARCHA+ částku ve výši čistých tržeb na účet RACHOT uvedený v záhlaví smlouvy.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základě dohody mohou Smluvní strany své závazky a pohledávky započítat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Uhrazením ceny dle bodu 2 a tržeb dle bodu 3 budou vyrovnány finanční závazky Smluvních stran vyplývajících z této smlouvy.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</w:t>
      </w:r>
    </w:p>
    <w:p w:rsidR="00000000" w:rsidDel="00000000" w:rsidP="00000000" w:rsidRDefault="00000000" w:rsidRPr="00000000" w14:paraId="00000045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Zvláštní ujednání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50 000 Kč. Toto ustanovení se netýká zásahů vyšší moci.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případě zásahu vyšší moci vynaloží smluvní strany úsilí k uspořádání Koncertu v náhradním termínu. Nebude-li náhradní termín možné sjednat, dojde ke zrušení této smlouvy bez nároku Smluvních stran na uplatnění škody vzniklé v důsledku nekonání Koncertu.  </w:t>
      </w:r>
    </w:p>
    <w:p w:rsidR="00000000" w:rsidDel="00000000" w:rsidP="00000000" w:rsidRDefault="00000000" w:rsidRPr="00000000" w14:paraId="00000049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VI.</w:t>
      </w:r>
    </w:p>
    <w:p w:rsidR="00000000" w:rsidDel="00000000" w:rsidP="00000000" w:rsidRDefault="00000000" w:rsidRPr="00000000" w14:paraId="0000004B">
      <w:pPr>
        <w:spacing w:after="0" w:line="240" w:lineRule="auto"/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Závěrečná ustanovení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line="240" w:lineRule="auto"/>
        <w:ind w:left="708.6614173228347" w:right="-226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-226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Praze dne: 10. 10. 2024</w:t>
        <w:tab/>
        <w:tab/>
        <w:tab/>
        <w:tab/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</w:t>
        <w:tab/>
        <w:t xml:space="preserve"> </w:t>
        <w:tab/>
        <w:tab/>
        <w:t xml:space="preserve">....................................................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Divadlo Archa, o. p. s.</w:t>
        <w:tab/>
        <w:t xml:space="preserve">         </w:t>
        <w:tab/>
        <w:tab/>
        <w:t xml:space="preserve">                          Rachot Production, s. r. o.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08.6614173228347" w:hanging="360.00000000000006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425.19685039370086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08.6614173228347" w:hanging="360.00000000000006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833CA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833CA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833CA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833CA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833CA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833CA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833CA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833CA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833CA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833CA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833CA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833CA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833CA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833CAF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833CAF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833CAF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833CAF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833CAF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833CA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833CA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833CA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833CA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833CA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833CAF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833CAF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833CAF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833CA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833CAF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833CAF"/>
    <w:rPr>
      <w:b w:val="1"/>
      <w:bCs w:val="1"/>
      <w:smallCaps w:val="1"/>
      <w:color w:val="0f4761" w:themeColor="accent1" w:themeShade="0000BF"/>
      <w:spacing w:val="5"/>
    </w:rPr>
  </w:style>
  <w:style w:type="character" w:styleId="Hypertextovodkaz">
    <w:name w:val="Hyperlink"/>
    <w:basedOn w:val="Standardnpsmoodstavce"/>
    <w:uiPriority w:val="99"/>
    <w:unhideWhenUsed w:val="1"/>
    <w:rsid w:val="00E5675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E5675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ra.prokopova@archa-plus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kub.hykes@archa-plus.cz" TargetMode="External"/><Relationship Id="rId8" Type="http://schemas.openxmlformats.org/officeDocument/2006/relationships/hyperlink" Target="mailto:vasek.klim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KU1c3ODsOZj4keWDwCyMTPjfg==">CgMxLjA4AHIhMWRPR3ZVQWFMbXItbVlMUGM0aFlVUXN1SzVoU1JtcnJ0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2024-07-30T07:45:00Z</dcterms:created>
  <dc:creator>Radka Kareisová</dc:creator>
</cp:coreProperties>
</file>