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154541CE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4518AC" w:rsidRPr="004518AC">
        <w:rPr>
          <w:b/>
          <w:caps/>
          <w:sz w:val="24"/>
        </w:rPr>
        <w:t>SILNICE III/05737: VSETÍN, ULICE NÁDRAŽNÍ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42E902CC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29C79C86" w14:textId="77777777" w:rsidR="004518AC" w:rsidRDefault="004518AC" w:rsidP="004518AC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objednatele SML/0147/24</w:t>
      </w:r>
    </w:p>
    <w:p w14:paraId="69CC975F" w14:textId="77777777" w:rsidR="004518AC" w:rsidRDefault="004518AC" w:rsidP="004518AC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 EUROVIA CZ, a.s.1532.4100904STI</w:t>
      </w:r>
    </w:p>
    <w:p w14:paraId="1E19063C" w14:textId="68D7F76B" w:rsidR="00E47AC1" w:rsidRDefault="004518AC" w:rsidP="004518AC">
      <w:pPr>
        <w:jc w:val="both"/>
        <w:rPr>
          <w:rFonts w:cs="Calibri"/>
          <w:szCs w:val="18"/>
          <w:lang w:eastAsia="en-US"/>
        </w:rPr>
      </w:pPr>
      <w:r>
        <w:rPr>
          <w:rFonts w:cs="Calibri"/>
          <w:b/>
          <w:sz w:val="24"/>
          <w:lang w:eastAsia="en-US"/>
        </w:rPr>
        <w:t>č. smlouvy zhotovitele SMO, a.s. 24001021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6B68EA97" w14:textId="77777777" w:rsidR="004518AC" w:rsidRPr="001D2E86" w:rsidRDefault="004518AC" w:rsidP="004518AC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32FC84B7" w14:textId="77777777" w:rsidR="004518AC" w:rsidRPr="001D2E86" w:rsidRDefault="004518AC" w:rsidP="004518A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1C7C1CA6" w14:textId="77777777" w:rsidR="004518AC" w:rsidRPr="001D2E86" w:rsidRDefault="004518AC" w:rsidP="004518A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6063E0AC" w14:textId="77777777" w:rsidR="004518AC" w:rsidRPr="001D2E86" w:rsidRDefault="004518AC" w:rsidP="004518A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72AF148D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41B45EE8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3FA9C385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6EBEABF7" w14:textId="20D1101C" w:rsidR="004518AC" w:rsidRPr="0097458B" w:rsidRDefault="004518AC" w:rsidP="004518AC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xxxxxxxxxxx</w:t>
      </w:r>
      <w:proofErr w:type="spellEnd"/>
    </w:p>
    <w:p w14:paraId="23D81D17" w14:textId="270BBFA1" w:rsidR="004518AC" w:rsidRPr="0097458B" w:rsidRDefault="004518AC" w:rsidP="004518AC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xxxxxxxxxxx</w:t>
      </w:r>
      <w:proofErr w:type="spellEnd"/>
    </w:p>
    <w:p w14:paraId="34E0C6A9" w14:textId="53095032" w:rsidR="004518AC" w:rsidRPr="0097458B" w:rsidRDefault="004518AC" w:rsidP="004518A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xxxxxxxxxxxx</w:t>
      </w:r>
      <w:proofErr w:type="spellEnd"/>
    </w:p>
    <w:p w14:paraId="2E3209ED" w14:textId="4C3924C7" w:rsidR="004518AC" w:rsidRPr="0097458B" w:rsidRDefault="004518AC" w:rsidP="004518A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</w:t>
      </w:r>
      <w:proofErr w:type="spellEnd"/>
    </w:p>
    <w:p w14:paraId="50B39C58" w14:textId="2258F0F6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2D6E47">
          <w:rPr>
            <w:rStyle w:val="Hypertextovodkaz"/>
            <w:rFonts w:cs="Calibri"/>
            <w:szCs w:val="18"/>
          </w:rPr>
          <w:t>xxxxxxxxxxxxx</w:t>
        </w:r>
        <w:proofErr w:type="spellEnd"/>
      </w:hyperlink>
    </w:p>
    <w:p w14:paraId="1581AE3E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2B0644EF" w14:textId="77777777" w:rsidR="004518AC" w:rsidRDefault="004518AC" w:rsidP="004518AC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A8F5872" w14:textId="77777777" w:rsidR="004518AC" w:rsidRPr="00ED48A6" w:rsidRDefault="004518AC" w:rsidP="004518AC">
      <w:pPr>
        <w:widowControl w:val="0"/>
        <w:spacing w:before="60"/>
        <w:jc w:val="both"/>
        <w:rPr>
          <w:rFonts w:cs="Calibri"/>
          <w:szCs w:val="18"/>
        </w:rPr>
      </w:pPr>
    </w:p>
    <w:p w14:paraId="5840DC2A" w14:textId="77777777" w:rsidR="004518AC" w:rsidRDefault="004518AC" w:rsidP="004518AC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4B4B0D6D" w14:textId="77777777" w:rsidR="004518AC" w:rsidRPr="00ED48A6" w:rsidRDefault="004518AC" w:rsidP="004518AC">
      <w:pPr>
        <w:widowControl w:val="0"/>
        <w:spacing w:before="120"/>
        <w:jc w:val="both"/>
        <w:rPr>
          <w:rFonts w:cs="Calibri"/>
          <w:szCs w:val="18"/>
        </w:rPr>
      </w:pPr>
    </w:p>
    <w:p w14:paraId="194EE418" w14:textId="77777777" w:rsidR="004518AC" w:rsidRPr="00ED48A6" w:rsidRDefault="004518AC" w:rsidP="004518AC">
      <w:pPr>
        <w:widowControl w:val="0"/>
        <w:spacing w:before="120"/>
        <w:ind w:left="3544" w:hanging="3544"/>
        <w:jc w:val="both"/>
        <w:rPr>
          <w:rFonts w:cs="Calibri"/>
          <w:b/>
          <w:szCs w:val="18"/>
        </w:rPr>
      </w:pPr>
      <w:r w:rsidRPr="006175EF">
        <w:rPr>
          <w:rFonts w:cs="Calibri"/>
          <w:b/>
          <w:szCs w:val="18"/>
        </w:rPr>
        <w:t xml:space="preserve">Společnost </w:t>
      </w:r>
      <w:r>
        <w:rPr>
          <w:rFonts w:cs="Calibri"/>
          <w:b/>
          <w:szCs w:val="18"/>
        </w:rPr>
        <w:tab/>
      </w:r>
      <w:r w:rsidRPr="006175EF">
        <w:rPr>
          <w:rFonts w:cs="Calibri"/>
          <w:b/>
          <w:szCs w:val="18"/>
        </w:rPr>
        <w:t>Přednádražní prostor – I.B etapa – Vsetín</w:t>
      </w:r>
    </w:p>
    <w:p w14:paraId="029129DD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Louky 330, 763 02 Zlín</w:t>
      </w:r>
    </w:p>
    <w:p w14:paraId="15FFBF28" w14:textId="77777777" w:rsidR="004518AC" w:rsidRDefault="004518AC" w:rsidP="004518AC">
      <w:pPr>
        <w:widowControl w:val="0"/>
        <w:ind w:left="3544" w:hanging="3544"/>
        <w:jc w:val="both"/>
        <w:rPr>
          <w:rFonts w:cs="Calibri"/>
          <w:szCs w:val="18"/>
        </w:rPr>
      </w:pPr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  <w:t>EUROVIA CZ a.s. - správcem</w:t>
      </w:r>
    </w:p>
    <w:p w14:paraId="0F551A08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</w:p>
    <w:p w14:paraId="4ED46DBC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 w:rsidRPr="006175EF">
        <w:rPr>
          <w:rFonts w:cs="Calibri"/>
          <w:b/>
          <w:bCs/>
          <w:szCs w:val="18"/>
        </w:rPr>
        <w:t>Společník 1 nebo též Správce</w:t>
      </w:r>
    </w:p>
    <w:p w14:paraId="4682B46A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  <w:t xml:space="preserve">EUROVIA CZ a.s. </w:t>
      </w:r>
    </w:p>
    <w:p w14:paraId="1F502EA9" w14:textId="77777777" w:rsidR="004518AC" w:rsidRPr="006175EF" w:rsidRDefault="004518AC" w:rsidP="004518AC">
      <w:pPr>
        <w:widowControl w:val="0"/>
        <w:ind w:left="3544" w:hanging="3544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  <w:t>U Michelského lesa 1581/2, Michle, 140 00 Praha 4</w:t>
      </w:r>
    </w:p>
    <w:p w14:paraId="621ACF4D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Městský soud v Praze, oddíl B, vložka 1561</w:t>
      </w:r>
    </w:p>
    <w:p w14:paraId="398FA8DF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452 74 924</w:t>
      </w:r>
    </w:p>
    <w:p w14:paraId="574E3C11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CZ45274924</w:t>
      </w:r>
    </w:p>
    <w:p w14:paraId="6F6335D5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Ing. Jánem </w:t>
      </w:r>
      <w:proofErr w:type="spellStart"/>
      <w:r>
        <w:rPr>
          <w:rFonts w:cs="Calibri"/>
          <w:szCs w:val="18"/>
        </w:rPr>
        <w:t>Španěm</w:t>
      </w:r>
      <w:proofErr w:type="spellEnd"/>
      <w:r>
        <w:rPr>
          <w:rFonts w:cs="Calibri"/>
          <w:szCs w:val="18"/>
        </w:rPr>
        <w:t>, členem správním rady</w:t>
      </w:r>
    </w:p>
    <w:p w14:paraId="4C152E87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Ing. Michal </w:t>
      </w:r>
      <w:proofErr w:type="spellStart"/>
      <w:r>
        <w:rPr>
          <w:rFonts w:cs="Calibri"/>
          <w:szCs w:val="18"/>
        </w:rPr>
        <w:t>Friedlaender</w:t>
      </w:r>
      <w:proofErr w:type="spellEnd"/>
      <w:r>
        <w:rPr>
          <w:rFonts w:cs="Calibri"/>
          <w:szCs w:val="18"/>
        </w:rPr>
        <w:t>, ředitel závodu Zlín</w:t>
      </w:r>
    </w:p>
    <w:p w14:paraId="63A6DE83" w14:textId="46FE95A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xxxxxxxxxxx</w:t>
      </w:r>
      <w:proofErr w:type="spellEnd"/>
    </w:p>
    <w:p w14:paraId="13B32FE5" w14:textId="01AD0241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</w:t>
      </w:r>
      <w:proofErr w:type="spellEnd"/>
    </w:p>
    <w:p w14:paraId="5C4111AC" w14:textId="40489C92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proofErr w:type="spellStart"/>
        <w:r w:rsidR="002D6E47">
          <w:rPr>
            <w:rStyle w:val="Hypertextovodkaz"/>
            <w:rFonts w:cs="Calibri"/>
            <w:szCs w:val="18"/>
          </w:rPr>
          <w:t>xxxxxxxxxxx</w:t>
        </w:r>
        <w:proofErr w:type="spellEnd"/>
      </w:hyperlink>
    </w:p>
    <w:p w14:paraId="474FD724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KB Praha, </w:t>
      </w:r>
      <w:proofErr w:type="spellStart"/>
      <w:r>
        <w:rPr>
          <w:rFonts w:cs="Calibri"/>
          <w:szCs w:val="18"/>
        </w:rPr>
        <w:t>č.ú</w:t>
      </w:r>
      <w:proofErr w:type="spellEnd"/>
      <w:r>
        <w:rPr>
          <w:rFonts w:cs="Calibri"/>
          <w:szCs w:val="18"/>
        </w:rPr>
        <w:t>. 141400112/0100</w:t>
      </w:r>
    </w:p>
    <w:p w14:paraId="5CFD49E2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</w:p>
    <w:p w14:paraId="7C0839B7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 w:rsidRPr="006175EF">
        <w:rPr>
          <w:rFonts w:cs="Calibri"/>
          <w:b/>
          <w:bCs/>
          <w:szCs w:val="18"/>
        </w:rPr>
        <w:t xml:space="preserve">Společník </w:t>
      </w:r>
      <w:r>
        <w:rPr>
          <w:rFonts w:cs="Calibri"/>
          <w:b/>
          <w:bCs/>
          <w:szCs w:val="18"/>
        </w:rPr>
        <w:t>2</w:t>
      </w:r>
    </w:p>
    <w:p w14:paraId="629B20C8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  <w:t xml:space="preserve">SMO, a.s. </w:t>
      </w:r>
    </w:p>
    <w:p w14:paraId="744589DF" w14:textId="77777777" w:rsidR="004518AC" w:rsidRPr="006175EF" w:rsidRDefault="004518AC" w:rsidP="004518AC">
      <w:pPr>
        <w:widowControl w:val="0"/>
        <w:ind w:left="3544" w:hanging="3544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  <w:t>Zlínská 172, Kvítkovice, 765 02 Otrokovice</w:t>
      </w:r>
    </w:p>
    <w:p w14:paraId="2AC71B76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  <w:t>Krajský soud v Brně, oddíl B, vložka 3624</w:t>
      </w:r>
    </w:p>
    <w:p w14:paraId="337543A0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423 39 839</w:t>
      </w:r>
    </w:p>
    <w:p w14:paraId="34B02F16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CZ42339839</w:t>
      </w:r>
    </w:p>
    <w:p w14:paraId="660B304A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564863CB" w14:textId="5D53081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xxxxxxxxxxx</w:t>
      </w:r>
      <w:proofErr w:type="spellEnd"/>
    </w:p>
    <w:p w14:paraId="32294594" w14:textId="0BF363CD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</w:t>
      </w:r>
      <w:proofErr w:type="spellEnd"/>
    </w:p>
    <w:p w14:paraId="745F08A4" w14:textId="2A9B4CA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</w:t>
      </w:r>
      <w:proofErr w:type="spellEnd"/>
    </w:p>
    <w:p w14:paraId="7CDB7F86" w14:textId="275E513D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10" w:history="1">
        <w:proofErr w:type="spellStart"/>
        <w:r w:rsidR="002D6E47">
          <w:rPr>
            <w:rStyle w:val="Hypertextovodkaz"/>
            <w:rFonts w:cs="Calibri"/>
            <w:szCs w:val="18"/>
          </w:rPr>
          <w:t>xxxxxxxx</w:t>
        </w:r>
        <w:proofErr w:type="spellEnd"/>
      </w:hyperlink>
    </w:p>
    <w:p w14:paraId="0BB832F1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Komerční banka, a.s., </w:t>
      </w:r>
      <w:proofErr w:type="spellStart"/>
      <w:r>
        <w:rPr>
          <w:rFonts w:cs="Calibri"/>
          <w:szCs w:val="18"/>
        </w:rPr>
        <w:t>č.ú</w:t>
      </w:r>
      <w:proofErr w:type="spellEnd"/>
      <w:r>
        <w:rPr>
          <w:rFonts w:cs="Calibri"/>
          <w:szCs w:val="18"/>
        </w:rPr>
        <w:t>. 102946921/0100</w:t>
      </w:r>
    </w:p>
    <w:p w14:paraId="3486F363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</w:p>
    <w:p w14:paraId="3833DA68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</w:p>
    <w:p w14:paraId="384E9F86" w14:textId="77777777" w:rsidR="004518AC" w:rsidRDefault="004518AC" w:rsidP="004518AC">
      <w:pPr>
        <w:widowControl w:val="0"/>
        <w:jc w:val="both"/>
        <w:rPr>
          <w:rFonts w:cs="Calibri"/>
          <w:szCs w:val="18"/>
        </w:rPr>
      </w:pPr>
    </w:p>
    <w:p w14:paraId="3B4AA60E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 w:rsidRPr="006175EF">
        <w:rPr>
          <w:rFonts w:cs="Calibri"/>
          <w:b/>
          <w:bCs/>
          <w:szCs w:val="18"/>
        </w:rPr>
        <w:t xml:space="preserve">Společník </w:t>
      </w:r>
      <w:r>
        <w:rPr>
          <w:rFonts w:cs="Calibri"/>
          <w:b/>
          <w:bCs/>
          <w:szCs w:val="18"/>
        </w:rPr>
        <w:t>3</w:t>
      </w:r>
    </w:p>
    <w:p w14:paraId="39D140C7" w14:textId="77777777" w:rsidR="004518AC" w:rsidRDefault="004518AC" w:rsidP="004518AC">
      <w:pPr>
        <w:widowControl w:val="0"/>
        <w:jc w:val="both"/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  <w:t>KKS, spol. s r.o.</w:t>
      </w:r>
    </w:p>
    <w:p w14:paraId="2BAED608" w14:textId="77777777" w:rsidR="004518AC" w:rsidRPr="006175EF" w:rsidRDefault="004518AC" w:rsidP="004518AC">
      <w:pPr>
        <w:widowControl w:val="0"/>
        <w:ind w:left="3544" w:hanging="3544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  <w:t>Příluky 386, 760 01 Zlín</w:t>
      </w:r>
    </w:p>
    <w:p w14:paraId="6D55AC2C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  <w:t>Krajský soud v Brně, oddíl C, vložka 3965</w:t>
      </w:r>
    </w:p>
    <w:p w14:paraId="0ABB07D4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42340802</w:t>
      </w:r>
    </w:p>
    <w:p w14:paraId="4427FC99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CZ42340802</w:t>
      </w:r>
    </w:p>
    <w:p w14:paraId="4D125658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Radomírem Kocmanem, jednatelem</w:t>
      </w:r>
    </w:p>
    <w:p w14:paraId="538742DD" w14:textId="48D0D4A2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</w:t>
      </w:r>
      <w:proofErr w:type="spellEnd"/>
    </w:p>
    <w:p w14:paraId="071CEA69" w14:textId="2EBC6174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xxxxxxxxx</w:t>
      </w:r>
      <w:proofErr w:type="spellEnd"/>
    </w:p>
    <w:p w14:paraId="7B59749D" w14:textId="33B68E52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D6E47">
        <w:rPr>
          <w:rFonts w:cs="Calibri"/>
          <w:szCs w:val="18"/>
        </w:rPr>
        <w:t>xxxxxxx</w:t>
      </w:r>
      <w:proofErr w:type="spellEnd"/>
    </w:p>
    <w:p w14:paraId="31DBAD43" w14:textId="68F47D68" w:rsidR="004518AC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11" w:history="1">
        <w:r w:rsidR="002D6E47">
          <w:rPr>
            <w:rStyle w:val="Hypertextovodkaz"/>
            <w:rFonts w:cs="Calibri"/>
            <w:szCs w:val="18"/>
          </w:rPr>
          <w:t>xxxxxx</w:t>
        </w:r>
      </w:hyperlink>
    </w:p>
    <w:p w14:paraId="5392B17D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Česká spořitelna, a.s., </w:t>
      </w:r>
      <w:proofErr w:type="spellStart"/>
      <w:r>
        <w:rPr>
          <w:rFonts w:cs="Calibri"/>
          <w:szCs w:val="18"/>
        </w:rPr>
        <w:t>č.ú</w:t>
      </w:r>
      <w:proofErr w:type="spellEnd"/>
      <w:r>
        <w:rPr>
          <w:rFonts w:cs="Calibri"/>
          <w:szCs w:val="18"/>
        </w:rPr>
        <w:t>. 1403990349/0800</w:t>
      </w:r>
    </w:p>
    <w:p w14:paraId="3DAFF38F" w14:textId="77777777" w:rsidR="004518AC" w:rsidRPr="00ED48A6" w:rsidRDefault="004518AC" w:rsidP="004518AC">
      <w:pPr>
        <w:widowControl w:val="0"/>
        <w:jc w:val="both"/>
        <w:rPr>
          <w:rFonts w:cs="Calibri"/>
          <w:szCs w:val="18"/>
        </w:rPr>
      </w:pPr>
    </w:p>
    <w:p w14:paraId="14814BE9" w14:textId="221F850D" w:rsidR="008D5B7A" w:rsidRPr="00ED48A6" w:rsidRDefault="004518AC" w:rsidP="004518AC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788E6E35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4518AC">
        <w:t>15.04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4518AC" w:rsidRPr="004518AC">
        <w:t>0147/24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4518AC" w:rsidRPr="004518AC">
        <w:t>SILNICE III/05737: VSETÍN, ULICE NÁDRAŽNÍ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4518AC" w:rsidRPr="00311298">
        <w:rPr>
          <w:caps/>
        </w:rPr>
        <w:t xml:space="preserve">Přednádražní </w:t>
      </w:r>
      <w:proofErr w:type="gramStart"/>
      <w:r w:rsidR="004518AC" w:rsidRPr="00311298">
        <w:rPr>
          <w:caps/>
        </w:rPr>
        <w:t>prostor - I</w:t>
      </w:r>
      <w:proofErr w:type="gramEnd"/>
      <w:r w:rsidR="004518AC" w:rsidRPr="00311298">
        <w:rPr>
          <w:caps/>
        </w:rPr>
        <w:t>.B etapa - Vsetín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3B82451C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</w:t>
      </w:r>
      <w:r w:rsidR="00311298">
        <w:t>6 ZZVZ, kdy se za</w:t>
      </w:r>
      <w:r w:rsidR="00311298" w:rsidRPr="00311298">
        <w:t xml:space="preserve"> podstatnou změnu závazku ze smlouvy na veřejnou zakázku nepovažuje změna, jejíž potřeba vznikla v důsledku okolností, které zadavatel jednající s náležitou péčí nemohl předvídat, a která nemění celkovou povahu veřejné zakázky.</w:t>
      </w:r>
    </w:p>
    <w:p w14:paraId="7A644675" w14:textId="0A201A02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26346A">
        <w:t>14 679 253,27</w:t>
      </w:r>
      <w:r w:rsidR="008D5B7A" w:rsidRPr="008D5B7A">
        <w:t xml:space="preserve"> </w:t>
      </w:r>
      <w:r w:rsidRPr="00D5394E">
        <w:t xml:space="preserve">Kč bez DPH se dodatkem č. 1 </w:t>
      </w:r>
      <w:r>
        <w:t>snižuje</w:t>
      </w:r>
      <w:r w:rsidRPr="00D5394E">
        <w:t xml:space="preserve"> o </w:t>
      </w:r>
      <w:r w:rsidR="00255015">
        <w:t xml:space="preserve">hodnotu neprovedených prací ve výši </w:t>
      </w:r>
      <w:r w:rsidR="0026346A">
        <w:t>403 989,09</w:t>
      </w:r>
      <w:r w:rsidR="008D5B7A">
        <w:t xml:space="preserve"> </w:t>
      </w:r>
      <w:r w:rsidRPr="00D5394E">
        <w:t xml:space="preserve">Kč bez DPH </w:t>
      </w:r>
      <w:r w:rsidR="00255015">
        <w:t xml:space="preserve">a zároveň zvyšuje o hodnotu dodatečných prací ve výši </w:t>
      </w:r>
      <w:r w:rsidR="0026346A">
        <w:t>1 089 938,92</w:t>
      </w:r>
      <w:r w:rsidR="008D5B7A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26346A">
        <w:t>15 365 203,10</w:t>
      </w:r>
      <w:r w:rsidR="008D5B7A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255015">
        <w:t xml:space="preserve">ve výši </w:t>
      </w:r>
      <w:r w:rsidR="0026346A">
        <w:t>685 949,83</w:t>
      </w:r>
      <w:r w:rsidR="008D5B7A">
        <w:t xml:space="preserve"> </w:t>
      </w:r>
      <w:r w:rsidR="00255015">
        <w:t>Kč bez DPH, což představuje</w:t>
      </w:r>
      <w:r w:rsidR="008D5B7A">
        <w:t xml:space="preserve"> </w:t>
      </w:r>
      <w:r w:rsidR="00323338" w:rsidRPr="00323338">
        <w:t xml:space="preserve">při odečtení stavebních prací, služeb nebo dodávek, které nebyly s ohledem na tyto změny realizovány </w:t>
      </w:r>
      <w:r w:rsidR="008D5B7A">
        <w:t>změnu</w:t>
      </w:r>
      <w:r w:rsidR="00255015">
        <w:t xml:space="preserve"> </w:t>
      </w:r>
      <w:r w:rsidR="0026346A">
        <w:t>4,67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97E240F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2EA86AFF" w14:textId="5ED72035" w:rsidR="00A45E48" w:rsidRPr="008F0729" w:rsidRDefault="00A45E48" w:rsidP="0081037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Změna 1.01</w:t>
      </w:r>
      <w:r w:rsidR="00EF533B" w:rsidRPr="008F0729">
        <w:rPr>
          <w:rFonts w:cs="Calibri"/>
          <w:szCs w:val="18"/>
          <w:lang w:eastAsia="en-US"/>
        </w:rPr>
        <w:t>, 1.02</w:t>
      </w:r>
    </w:p>
    <w:p w14:paraId="1E584592" w14:textId="77504C55" w:rsidR="00EF533B" w:rsidRPr="008F0729" w:rsidRDefault="001B6138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1B6138">
        <w:rPr>
          <w:rFonts w:cs="Calibri"/>
          <w:szCs w:val="18"/>
          <w:u w:val="single"/>
          <w:lang w:eastAsia="en-US"/>
        </w:rPr>
        <w:t>101</w:t>
      </w:r>
      <w:r w:rsidRPr="001B6138">
        <w:rPr>
          <w:rFonts w:cs="Calibri"/>
          <w:szCs w:val="18"/>
          <w:u w:val="single"/>
          <w:lang w:eastAsia="en-US"/>
        </w:rPr>
        <w:tab/>
        <w:t xml:space="preserve"> Rekonstrukce Nádražní ulice</w:t>
      </w:r>
    </w:p>
    <w:p w14:paraId="7ACE2F3E" w14:textId="29B9BE8B" w:rsidR="008F0729" w:rsidRDefault="001B6138" w:rsidP="008F0729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1B6138">
        <w:rPr>
          <w:rFonts w:cs="Calibri"/>
          <w:szCs w:val="18"/>
          <w:lang w:eastAsia="en-US"/>
        </w:rPr>
        <w:t>Při frézování vozovky od km 0,140 po konec úseku byla zjištěna jiná tloušťka původních živičných vrstev, než bylo uvedeno v rozpočtu.</w:t>
      </w:r>
      <w:r>
        <w:rPr>
          <w:rFonts w:cs="Calibri"/>
          <w:szCs w:val="18"/>
          <w:lang w:eastAsia="en-US"/>
        </w:rPr>
        <w:t xml:space="preserve"> Namísto</w:t>
      </w:r>
      <w:r w:rsidRPr="001B6138">
        <w:rPr>
          <w:rFonts w:cs="Calibri"/>
          <w:szCs w:val="18"/>
          <w:lang w:eastAsia="en-US"/>
        </w:rPr>
        <w:t xml:space="preserve"> frézování </w:t>
      </w:r>
      <w:proofErr w:type="spellStart"/>
      <w:r w:rsidRPr="001B6138">
        <w:rPr>
          <w:rFonts w:cs="Calibri"/>
          <w:szCs w:val="18"/>
          <w:lang w:eastAsia="en-US"/>
        </w:rPr>
        <w:t>tl</w:t>
      </w:r>
      <w:proofErr w:type="spellEnd"/>
      <w:r w:rsidRPr="001B6138">
        <w:rPr>
          <w:rFonts w:cs="Calibri"/>
          <w:szCs w:val="18"/>
          <w:lang w:eastAsia="en-US"/>
        </w:rPr>
        <w:t xml:space="preserve">. 11 cm </w:t>
      </w:r>
      <w:r>
        <w:rPr>
          <w:rFonts w:cs="Calibri"/>
          <w:szCs w:val="18"/>
          <w:lang w:eastAsia="en-US"/>
        </w:rPr>
        <w:t>b</w:t>
      </w:r>
      <w:r w:rsidRPr="001B6138">
        <w:rPr>
          <w:rFonts w:cs="Calibri"/>
          <w:szCs w:val="18"/>
          <w:lang w:eastAsia="en-US"/>
        </w:rPr>
        <w:t xml:space="preserve">ude provedeno frézování v </w:t>
      </w:r>
      <w:proofErr w:type="spellStart"/>
      <w:r w:rsidRPr="001B6138">
        <w:rPr>
          <w:rFonts w:cs="Calibri"/>
          <w:szCs w:val="18"/>
          <w:lang w:eastAsia="en-US"/>
        </w:rPr>
        <w:t>tl</w:t>
      </w:r>
      <w:proofErr w:type="spellEnd"/>
      <w:r w:rsidRPr="001B6138">
        <w:rPr>
          <w:rFonts w:cs="Calibri"/>
          <w:szCs w:val="18"/>
          <w:lang w:eastAsia="en-US"/>
        </w:rPr>
        <w:t>. 20 cm na ploše 3.704 m2</w:t>
      </w:r>
      <w:r>
        <w:rPr>
          <w:rFonts w:cs="Calibri"/>
          <w:szCs w:val="18"/>
          <w:lang w:eastAsia="en-US"/>
        </w:rPr>
        <w:t>.</w:t>
      </w:r>
    </w:p>
    <w:p w14:paraId="16EDD67A" w14:textId="7CE2273E" w:rsidR="001B6138" w:rsidRDefault="001B6138" w:rsidP="00CD21DD">
      <w:pPr>
        <w:pStyle w:val="Odstavecseseznamem"/>
        <w:spacing w:before="12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1B6138">
        <w:rPr>
          <w:rFonts w:cs="Calibri"/>
          <w:szCs w:val="18"/>
          <w:lang w:eastAsia="en-US"/>
        </w:rPr>
        <w:t>V km 0,350 - 0,400 byly při výkopech pro sanaci lokálně zjištěny staré betonové patky.</w:t>
      </w:r>
      <w:r>
        <w:rPr>
          <w:rFonts w:cs="Calibri"/>
          <w:szCs w:val="18"/>
          <w:lang w:eastAsia="en-US"/>
        </w:rPr>
        <w:t xml:space="preserve"> Na základě této skutečnosti bude provedeno</w:t>
      </w:r>
      <w:r w:rsidRPr="001B6138">
        <w:rPr>
          <w:rFonts w:cs="Calibri"/>
          <w:szCs w:val="18"/>
          <w:lang w:eastAsia="en-US"/>
        </w:rPr>
        <w:t xml:space="preserve"> odbour</w:t>
      </w:r>
      <w:r>
        <w:rPr>
          <w:rFonts w:cs="Calibri"/>
          <w:szCs w:val="18"/>
          <w:lang w:eastAsia="en-US"/>
        </w:rPr>
        <w:t>ání</w:t>
      </w:r>
      <w:r w:rsidRPr="001B6138">
        <w:rPr>
          <w:rFonts w:cs="Calibri"/>
          <w:szCs w:val="18"/>
          <w:lang w:eastAsia="en-US"/>
        </w:rPr>
        <w:t xml:space="preserve"> beton</w:t>
      </w:r>
      <w:r>
        <w:rPr>
          <w:rFonts w:cs="Calibri"/>
          <w:szCs w:val="18"/>
          <w:lang w:eastAsia="en-US"/>
        </w:rPr>
        <w:t>u</w:t>
      </w:r>
      <w:r w:rsidRPr="001B6138">
        <w:rPr>
          <w:rFonts w:cs="Calibri"/>
          <w:szCs w:val="18"/>
          <w:lang w:eastAsia="en-US"/>
        </w:rPr>
        <w:t xml:space="preserve"> v množství 34,92 m3 a vybourané hmoty v množství 69,84 t</w:t>
      </w:r>
      <w:r>
        <w:rPr>
          <w:rFonts w:cs="Calibri"/>
          <w:szCs w:val="18"/>
          <w:lang w:eastAsia="en-US"/>
        </w:rPr>
        <w:t xml:space="preserve"> budou odvezeny</w:t>
      </w:r>
      <w:r w:rsidR="00CB5488">
        <w:rPr>
          <w:rFonts w:cs="Calibri"/>
          <w:szCs w:val="18"/>
          <w:lang w:eastAsia="en-US"/>
        </w:rPr>
        <w:t xml:space="preserve"> na skládku</w:t>
      </w:r>
      <w:r w:rsidRPr="001B6138">
        <w:rPr>
          <w:rFonts w:cs="Calibri"/>
          <w:szCs w:val="18"/>
          <w:lang w:eastAsia="en-US"/>
        </w:rPr>
        <w:t>.</w:t>
      </w:r>
    </w:p>
    <w:p w14:paraId="5D87A8E7" w14:textId="4B458252" w:rsidR="00CD21DD" w:rsidRPr="008F0729" w:rsidRDefault="00CD21DD" w:rsidP="00CD21DD">
      <w:pPr>
        <w:pStyle w:val="Odstavecseseznamem"/>
        <w:spacing w:before="12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CD21DD">
        <w:rPr>
          <w:rFonts w:cs="Calibri"/>
          <w:szCs w:val="18"/>
          <w:lang w:eastAsia="en-US"/>
        </w:rPr>
        <w:t>Z důvodu řešení detailu odvodnění z ložné vrstvy v místě SMA5 odvodňovacími štěrbinovými žlaby 4000/450/500 je nutno změnit druh štěrbinových trub.</w:t>
      </w:r>
      <w:r>
        <w:rPr>
          <w:rFonts w:cs="Calibri"/>
          <w:szCs w:val="18"/>
          <w:lang w:eastAsia="en-US"/>
        </w:rPr>
        <w:t xml:space="preserve"> Š</w:t>
      </w:r>
      <w:r w:rsidRPr="00CD21DD">
        <w:rPr>
          <w:rFonts w:cs="Calibri"/>
          <w:szCs w:val="18"/>
          <w:lang w:eastAsia="en-US"/>
        </w:rPr>
        <w:t>těrbinové trouby s přerušovanou štěrbinou v počtu 17 ks</w:t>
      </w:r>
      <w:r>
        <w:rPr>
          <w:rFonts w:cs="Calibri"/>
          <w:szCs w:val="18"/>
          <w:lang w:eastAsia="en-US"/>
        </w:rPr>
        <w:t xml:space="preserve"> nebudou provedeny, namísto nich b</w:t>
      </w:r>
      <w:r w:rsidRPr="00CD21DD">
        <w:rPr>
          <w:rFonts w:cs="Calibri"/>
          <w:szCs w:val="18"/>
          <w:lang w:eastAsia="en-US"/>
        </w:rPr>
        <w:t>udou osazeny štěrbinové trouby s přerušovanou štěrbinou a drenážními otvory v počtu 17 ks.</w:t>
      </w: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19D7076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B900B2">
        <w:rPr>
          <w:rFonts w:cs="Calibri"/>
          <w:szCs w:val="18"/>
          <w:lang w:eastAsia="en-US"/>
        </w:rPr>
        <w:t>15 365 203,10</w:t>
      </w:r>
      <w:r w:rsidR="008D5B7A" w:rsidRPr="008D5B7A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0C9BEED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B900B2">
        <w:rPr>
          <w:rFonts w:cs="Calibri"/>
          <w:szCs w:val="18"/>
          <w:lang w:eastAsia="en-US"/>
        </w:rPr>
        <w:t>3 226 692,65</w:t>
      </w:r>
      <w:r w:rsidR="008D5B7A" w:rsidRPr="008D5B7A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7023A431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B900B2">
        <w:rPr>
          <w:rFonts w:cs="Calibri"/>
          <w:szCs w:val="18"/>
          <w:lang w:eastAsia="en-US"/>
        </w:rPr>
        <w:t>18 591 895,75</w:t>
      </w:r>
      <w:r w:rsidR="008D5B7A" w:rsidRPr="008D5B7A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5701DF05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proofErr w:type="spellStart"/>
      <w:r w:rsidR="00B900B2">
        <w:rPr>
          <w:rFonts w:cs="Calibri"/>
          <w:szCs w:val="18"/>
          <w:lang w:eastAsia="en-US"/>
        </w:rPr>
        <w:t>osmnáctmilionůpětsetdevadesátjedentisícosmsetdevadesátpět</w:t>
      </w:r>
      <w:proofErr w:type="spellEnd"/>
      <w:r w:rsidR="008D5B7A">
        <w:rPr>
          <w:rFonts w:cs="Calibri"/>
          <w:szCs w:val="18"/>
          <w:lang w:eastAsia="en-US"/>
        </w:rPr>
        <w:t xml:space="preserve"> korun českých, </w:t>
      </w:r>
      <w:r w:rsidR="00B900B2">
        <w:rPr>
          <w:rFonts w:cs="Calibri"/>
          <w:szCs w:val="18"/>
          <w:lang w:eastAsia="en-US"/>
        </w:rPr>
        <w:t>75</w:t>
      </w:r>
      <w:r w:rsidR="008D5B7A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lastRenderedPageBreak/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7BCB02B9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8D5B7A" w:rsidRPr="008D5B7A">
        <w:rPr>
          <w:rFonts w:ascii="Calibri" w:hAnsi="Calibri" w:cs="Calibri"/>
          <w:sz w:val="18"/>
          <w:szCs w:val="18"/>
        </w:rPr>
        <w:t>0</w:t>
      </w:r>
      <w:r w:rsidR="00093362">
        <w:rPr>
          <w:rFonts w:ascii="Calibri" w:hAnsi="Calibri" w:cs="Calibri"/>
          <w:sz w:val="18"/>
          <w:szCs w:val="18"/>
        </w:rPr>
        <w:t>2</w:t>
      </w:r>
      <w:r w:rsidRPr="008D5B7A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BF52CC6" w:rsidR="00DD3DB2" w:rsidRPr="00DD3DB2" w:rsidRDefault="001F23F6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1F23F6">
        <w:rPr>
          <w:rFonts w:ascii="Calibri" w:hAnsi="Calibri" w:cs="Calibri"/>
          <w:sz w:val="18"/>
          <w:szCs w:val="18"/>
        </w:rPr>
        <w:t>Tento dodatek č. 1 je uzavřen písemně, a to ve formě elektronické nebo listinné. Je-li tento dodatek vyhotoven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tento dodatek vyhotoven v listinné formě, připojí smluvní strany své podpisy tak, že každá ze smluvních stran obdrží 2 vyhotovení této smlouvy.</w:t>
      </w:r>
      <w:r w:rsidR="00DD3DB2" w:rsidRPr="00DD3DB2">
        <w:rPr>
          <w:rFonts w:ascii="Calibri" w:hAnsi="Calibri" w:cs="Calibri"/>
          <w:sz w:val="18"/>
          <w:szCs w:val="18"/>
        </w:rPr>
        <w:t xml:space="preserve"> </w:t>
      </w:r>
    </w:p>
    <w:p w14:paraId="0FBB731B" w14:textId="77777777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0"/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093362" w:rsidRPr="00ED48A6" w14:paraId="2F25FF80" w14:textId="77777777" w:rsidTr="008B149A">
        <w:trPr>
          <w:trHeight w:val="401"/>
        </w:trPr>
        <w:tc>
          <w:tcPr>
            <w:tcW w:w="9106" w:type="dxa"/>
            <w:gridSpan w:val="2"/>
            <w:hideMark/>
          </w:tcPr>
          <w:p w14:paraId="5D4159FC" w14:textId="45D851D5" w:rsidR="00093362" w:rsidRPr="00ED48A6" w:rsidRDefault="00093362" w:rsidP="008B149A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</w:tr>
      <w:tr w:rsidR="00093362" w:rsidRPr="00ED48A6" w14:paraId="140C2305" w14:textId="77777777" w:rsidTr="008B149A">
        <w:trPr>
          <w:trHeight w:val="314"/>
        </w:trPr>
        <w:tc>
          <w:tcPr>
            <w:tcW w:w="4553" w:type="dxa"/>
          </w:tcPr>
          <w:p w14:paraId="5FC79B01" w14:textId="50EA263B" w:rsidR="00093362" w:rsidRPr="00ED48A6" w:rsidRDefault="00093362" w:rsidP="008B149A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 xml:space="preserve">Ve Zlíně </w:t>
            </w:r>
            <w:r w:rsidR="00F31306">
              <w:rPr>
                <w:rFonts w:cs="Calibri"/>
                <w:szCs w:val="18"/>
                <w:lang w:eastAsia="en-US"/>
              </w:rPr>
              <w:t>13.11.2024</w:t>
            </w:r>
          </w:p>
        </w:tc>
        <w:tc>
          <w:tcPr>
            <w:tcW w:w="4553" w:type="dxa"/>
          </w:tcPr>
          <w:p w14:paraId="07925679" w14:textId="44A44FDB" w:rsidR="00093362" w:rsidRPr="00ED48A6" w:rsidRDefault="00093362" w:rsidP="008B149A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>
              <w:rPr>
                <w:rFonts w:cs="Calibri"/>
                <w:szCs w:val="18"/>
                <w:lang w:eastAsia="en-US"/>
              </w:rPr>
              <w:t xml:space="preserve">e Zlíně </w:t>
            </w:r>
            <w:r w:rsidR="00F31306">
              <w:rPr>
                <w:rFonts w:cs="Calibri"/>
                <w:szCs w:val="18"/>
                <w:lang w:eastAsia="en-US"/>
              </w:rPr>
              <w:t>12.11.2024</w:t>
            </w:r>
          </w:p>
        </w:tc>
      </w:tr>
      <w:tr w:rsidR="00093362" w:rsidRPr="00ED48A6" w14:paraId="0257D34F" w14:textId="77777777" w:rsidTr="008B149A">
        <w:trPr>
          <w:trHeight w:val="314"/>
        </w:trPr>
        <w:tc>
          <w:tcPr>
            <w:tcW w:w="4553" w:type="dxa"/>
            <w:hideMark/>
          </w:tcPr>
          <w:p w14:paraId="41AFCB49" w14:textId="77777777" w:rsidR="00093362" w:rsidRPr="00ED48A6" w:rsidRDefault="00093362" w:rsidP="008B149A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</w:p>
        </w:tc>
        <w:tc>
          <w:tcPr>
            <w:tcW w:w="4553" w:type="dxa"/>
            <w:hideMark/>
          </w:tcPr>
          <w:p w14:paraId="4A10D212" w14:textId="77777777" w:rsidR="00093362" w:rsidRPr="00ED48A6" w:rsidRDefault="00093362" w:rsidP="008B149A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Zhotovitel:</w:t>
            </w:r>
          </w:p>
        </w:tc>
      </w:tr>
      <w:tr w:rsidR="00093362" w:rsidRPr="00ED48A6" w14:paraId="68FA0A1E" w14:textId="77777777" w:rsidTr="008B149A">
        <w:trPr>
          <w:trHeight w:val="314"/>
        </w:trPr>
        <w:tc>
          <w:tcPr>
            <w:tcW w:w="4553" w:type="dxa"/>
          </w:tcPr>
          <w:p w14:paraId="7E523E36" w14:textId="77777777" w:rsidR="00093362" w:rsidRPr="00ED48A6" w:rsidRDefault="00093362" w:rsidP="008B149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34298685" w14:textId="77777777" w:rsidR="00093362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</w:p>
          <w:p w14:paraId="381A7243" w14:textId="77777777" w:rsidR="00093362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b/>
                <w:bCs/>
                <w:color w:val="333333"/>
                <w:szCs w:val="18"/>
              </w:rPr>
            </w:pPr>
          </w:p>
          <w:p w14:paraId="699E34ED" w14:textId="77777777" w:rsidR="00093362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b/>
                <w:bCs/>
                <w:color w:val="333333"/>
                <w:szCs w:val="18"/>
              </w:rPr>
            </w:pPr>
          </w:p>
          <w:p w14:paraId="4E1B3DF8" w14:textId="77777777" w:rsidR="00093362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5DBD8187" w14:textId="77777777" w:rsidR="00093362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756157F6" w14:textId="77777777" w:rsidR="00093362" w:rsidRPr="00ED48A6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32787FD7" w14:textId="77777777" w:rsidR="00093362" w:rsidRPr="00397CA8" w:rsidRDefault="00093362" w:rsidP="008B149A">
            <w:pPr>
              <w:pStyle w:val="Textvbloku"/>
              <w:ind w:left="4962" w:hanging="4962"/>
              <w:rPr>
                <w:b/>
                <w:sz w:val="22"/>
              </w:rPr>
            </w:pPr>
            <w:r w:rsidRPr="00645C46">
              <w:rPr>
                <w:rFonts w:ascii="Calibri" w:hAnsi="Calibri" w:cs="Calibri"/>
                <w:b/>
                <w:sz w:val="18"/>
                <w:szCs w:val="18"/>
              </w:rPr>
              <w:t>Společnost „Přednádražní prostor – I.B etapa</w:t>
            </w:r>
            <w:r>
              <w:rPr>
                <w:b/>
                <w:sz w:val="22"/>
                <w:szCs w:val="22"/>
              </w:rPr>
              <w:t xml:space="preserve"> Vsetín“</w:t>
            </w:r>
          </w:p>
          <w:p w14:paraId="53CD1E2A" w14:textId="77777777" w:rsidR="00093362" w:rsidRPr="00645C46" w:rsidRDefault="00093362" w:rsidP="008B149A">
            <w:pPr>
              <w:pStyle w:val="Zkladntext21"/>
              <w:spacing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  <w:r w:rsidRPr="00645C46">
              <w:rPr>
                <w:rFonts w:cs="Calibri"/>
                <w:b/>
                <w:bCs/>
                <w:szCs w:val="18"/>
                <w:lang w:eastAsia="en-US"/>
              </w:rPr>
              <w:t>Společník 1</w:t>
            </w:r>
          </w:p>
          <w:p w14:paraId="7F0B20E6" w14:textId="77777777" w:rsidR="00093362" w:rsidRPr="00ED48A6" w:rsidRDefault="00093362" w:rsidP="008B149A">
            <w:pPr>
              <w:pStyle w:val="Zkladntext21"/>
              <w:spacing w:before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645C46">
              <w:rPr>
                <w:rFonts w:cs="Calibri"/>
                <w:b/>
                <w:bCs/>
                <w:szCs w:val="18"/>
                <w:lang w:eastAsia="en-US"/>
              </w:rPr>
              <w:t>EUROVIA CZ, a.s.</w:t>
            </w:r>
          </w:p>
        </w:tc>
      </w:tr>
      <w:tr w:rsidR="00093362" w:rsidRPr="00ED48A6" w14:paraId="1E9787BD" w14:textId="77777777" w:rsidTr="008B149A">
        <w:trPr>
          <w:trHeight w:val="314"/>
        </w:trPr>
        <w:tc>
          <w:tcPr>
            <w:tcW w:w="4553" w:type="dxa"/>
            <w:hideMark/>
          </w:tcPr>
          <w:p w14:paraId="5B6316C2" w14:textId="77777777" w:rsidR="00093362" w:rsidRPr="00ED48A6" w:rsidRDefault="00093362" w:rsidP="008B149A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36D05F8" w14:textId="77777777" w:rsidR="00093362" w:rsidRPr="00ED48A6" w:rsidRDefault="00093362" w:rsidP="008B149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088AA761" w14:textId="77777777" w:rsidR="00093362" w:rsidRPr="00ED48A6" w:rsidRDefault="00093362" w:rsidP="008B149A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</w:t>
            </w:r>
            <w:r>
              <w:rPr>
                <w:lang w:eastAsia="en-US"/>
              </w:rPr>
              <w:t>..</w:t>
            </w:r>
          </w:p>
          <w:p w14:paraId="4A43F520" w14:textId="77777777" w:rsidR="00093362" w:rsidRDefault="00093362" w:rsidP="008B149A">
            <w:r>
              <w:t xml:space="preserve">Ing. Ján </w:t>
            </w:r>
            <w:proofErr w:type="spellStart"/>
            <w:r>
              <w:t>Špaňo</w:t>
            </w:r>
            <w:proofErr w:type="spellEnd"/>
            <w:r>
              <w:t>, člen správní rady, na základě plné moci</w:t>
            </w:r>
          </w:p>
          <w:p w14:paraId="2C1FB201" w14:textId="77777777" w:rsidR="00093362" w:rsidRDefault="00093362" w:rsidP="008B149A"/>
          <w:p w14:paraId="56FCA0FC" w14:textId="77777777" w:rsidR="00093362" w:rsidRDefault="00093362" w:rsidP="008B149A"/>
          <w:p w14:paraId="34B8CE78" w14:textId="441EB4E5" w:rsidR="00093362" w:rsidRPr="00645C46" w:rsidRDefault="00093362" w:rsidP="008B149A">
            <w:pPr>
              <w:rPr>
                <w:b/>
                <w:bCs/>
              </w:rPr>
            </w:pPr>
            <w:r w:rsidRPr="00645C46">
              <w:rPr>
                <w:b/>
                <w:bCs/>
              </w:rPr>
              <w:t>Společník 2</w:t>
            </w:r>
            <w:r>
              <w:rPr>
                <w:b/>
                <w:bCs/>
              </w:rPr>
              <w:t xml:space="preserve">           </w:t>
            </w:r>
            <w:r w:rsidR="00F31306" w:rsidRPr="00F31306">
              <w:t>31.10.2024</w:t>
            </w:r>
            <w:r w:rsidRPr="00F31306">
              <w:t xml:space="preserve"> </w:t>
            </w:r>
            <w:r>
              <w:rPr>
                <w:b/>
                <w:bCs/>
              </w:rPr>
              <w:t xml:space="preserve">                            </w:t>
            </w:r>
          </w:p>
          <w:p w14:paraId="30D5B327" w14:textId="77777777" w:rsidR="00093362" w:rsidRDefault="00093362" w:rsidP="008B149A">
            <w:pPr>
              <w:rPr>
                <w:b/>
                <w:bCs/>
              </w:rPr>
            </w:pPr>
            <w:r w:rsidRPr="00645C46">
              <w:rPr>
                <w:b/>
                <w:bCs/>
              </w:rPr>
              <w:t>SMO a.s.</w:t>
            </w:r>
          </w:p>
          <w:p w14:paraId="1146A5AE" w14:textId="77777777" w:rsidR="00093362" w:rsidRDefault="00093362" w:rsidP="008B149A"/>
          <w:p w14:paraId="5E4EB4C3" w14:textId="77777777" w:rsidR="00093362" w:rsidRDefault="00093362" w:rsidP="008B149A"/>
          <w:p w14:paraId="0AB8A165" w14:textId="77777777" w:rsidR="00093362" w:rsidRDefault="00093362" w:rsidP="008B149A"/>
          <w:p w14:paraId="70F23155" w14:textId="77777777" w:rsidR="00093362" w:rsidRDefault="00093362" w:rsidP="008B149A"/>
          <w:p w14:paraId="0C7991A8" w14:textId="77777777" w:rsidR="00093362" w:rsidRDefault="00093362" w:rsidP="008B149A"/>
          <w:p w14:paraId="2ED59454" w14:textId="77777777" w:rsidR="00093362" w:rsidRDefault="00093362" w:rsidP="008B149A">
            <w:r>
              <w:t>………………………………………………………………………….</w:t>
            </w:r>
          </w:p>
          <w:p w14:paraId="52A81A21" w14:textId="77777777" w:rsidR="00093362" w:rsidRDefault="00093362" w:rsidP="008B149A">
            <w:r>
              <w:t>Ing. Michal Dlabač, člen správní rady</w:t>
            </w:r>
          </w:p>
          <w:p w14:paraId="15FF45FF" w14:textId="77777777" w:rsidR="00093362" w:rsidRDefault="00093362" w:rsidP="008B149A"/>
          <w:p w14:paraId="7D2D1196" w14:textId="77777777" w:rsidR="00093362" w:rsidRDefault="00093362" w:rsidP="008B149A"/>
          <w:p w14:paraId="4508B269" w14:textId="15C93B42" w:rsidR="00093362" w:rsidRPr="00645C46" w:rsidRDefault="00093362" w:rsidP="008B149A">
            <w:pPr>
              <w:rPr>
                <w:b/>
                <w:bCs/>
              </w:rPr>
            </w:pPr>
            <w:r w:rsidRPr="00645C46">
              <w:rPr>
                <w:b/>
                <w:bCs/>
              </w:rPr>
              <w:t>Společník 3</w:t>
            </w:r>
            <w:r w:rsidR="00F31306">
              <w:rPr>
                <w:b/>
                <w:bCs/>
              </w:rPr>
              <w:t xml:space="preserve">                </w:t>
            </w:r>
            <w:r w:rsidR="00F31306" w:rsidRPr="00F31306">
              <w:t>23.10.2024</w:t>
            </w:r>
          </w:p>
          <w:p w14:paraId="79B136FD" w14:textId="49DCAE49" w:rsidR="00093362" w:rsidRPr="00645C46" w:rsidRDefault="00093362" w:rsidP="008B149A">
            <w:pPr>
              <w:rPr>
                <w:rStyle w:val="preformatted"/>
                <w:b/>
                <w:bCs/>
              </w:rPr>
            </w:pPr>
            <w:r w:rsidRPr="00645C46">
              <w:rPr>
                <w:b/>
                <w:bCs/>
              </w:rPr>
              <w:t>KKS, spol. s r.o.</w:t>
            </w:r>
            <w:r>
              <w:rPr>
                <w:b/>
                <w:bCs/>
              </w:rPr>
              <w:t xml:space="preserve">                                    </w:t>
            </w:r>
          </w:p>
        </w:tc>
      </w:tr>
      <w:tr w:rsidR="00F31306" w:rsidRPr="00ED48A6" w14:paraId="4BB39A06" w14:textId="77777777" w:rsidTr="008B149A">
        <w:trPr>
          <w:trHeight w:val="314"/>
        </w:trPr>
        <w:tc>
          <w:tcPr>
            <w:tcW w:w="4553" w:type="dxa"/>
          </w:tcPr>
          <w:p w14:paraId="33AE1841" w14:textId="77777777" w:rsidR="00F31306" w:rsidRPr="00ED48A6" w:rsidRDefault="00F31306" w:rsidP="008B149A">
            <w:pPr>
              <w:rPr>
                <w:lang w:eastAsia="en-US"/>
              </w:rPr>
            </w:pPr>
          </w:p>
        </w:tc>
        <w:tc>
          <w:tcPr>
            <w:tcW w:w="4553" w:type="dxa"/>
          </w:tcPr>
          <w:p w14:paraId="38E531C8" w14:textId="77777777" w:rsidR="00F31306" w:rsidRPr="00ED48A6" w:rsidRDefault="00F31306" w:rsidP="008B149A">
            <w:pPr>
              <w:rPr>
                <w:lang w:eastAsia="en-US"/>
              </w:rPr>
            </w:pPr>
          </w:p>
        </w:tc>
      </w:tr>
    </w:tbl>
    <w:p w14:paraId="6B4F0212" w14:textId="77777777" w:rsidR="00093362" w:rsidRDefault="00093362" w:rsidP="00BB5014"/>
    <w:p w14:paraId="20D078CF" w14:textId="77777777" w:rsidR="00860591" w:rsidRPr="00ED48A6" w:rsidRDefault="00860591" w:rsidP="00BB5014"/>
    <w:p w14:paraId="632B2F06" w14:textId="77777777" w:rsidR="00093362" w:rsidRDefault="00093362" w:rsidP="00093362">
      <w:pPr>
        <w:ind w:left="4678"/>
      </w:pPr>
    </w:p>
    <w:p w14:paraId="496C3562" w14:textId="77777777" w:rsidR="00093362" w:rsidRDefault="00093362" w:rsidP="00093362">
      <w:pPr>
        <w:ind w:left="4678"/>
      </w:pPr>
    </w:p>
    <w:p w14:paraId="20E6C791" w14:textId="77777777" w:rsidR="00093362" w:rsidRDefault="00093362" w:rsidP="00093362">
      <w:pPr>
        <w:ind w:left="4678"/>
      </w:pPr>
    </w:p>
    <w:p w14:paraId="120A239D" w14:textId="5748DA2D" w:rsidR="00093362" w:rsidRDefault="00093362" w:rsidP="00093362">
      <w:pPr>
        <w:ind w:left="4678"/>
      </w:pPr>
      <w:r>
        <w:t>……………………………………………………………………………</w:t>
      </w:r>
    </w:p>
    <w:p w14:paraId="2081D14F" w14:textId="07C394E1" w:rsidR="00C17F25" w:rsidRPr="00ED48A6" w:rsidRDefault="00093362" w:rsidP="001F23F6">
      <w:pPr>
        <w:ind w:left="4678" w:hanging="4678"/>
      </w:pPr>
      <w:r>
        <w:tab/>
        <w:t>Ing. Radomír Kocman, jednatel</w:t>
      </w:r>
    </w:p>
    <w:sectPr w:rsidR="00C17F25" w:rsidRPr="00ED48A6" w:rsidSect="002C18F6">
      <w:headerReference w:type="default" r:id="rId12"/>
      <w:footerReference w:type="default" r:id="rId13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C4D5D" w14:textId="77777777" w:rsidR="00715449" w:rsidRDefault="00715449" w:rsidP="00F20287">
      <w:r>
        <w:separator/>
      </w:r>
    </w:p>
  </w:endnote>
  <w:endnote w:type="continuationSeparator" w:id="0">
    <w:p w14:paraId="63073724" w14:textId="77777777" w:rsidR="00715449" w:rsidRDefault="00715449" w:rsidP="00F20287">
      <w:r>
        <w:continuationSeparator/>
      </w:r>
    </w:p>
  </w:endnote>
  <w:endnote w:type="continuationNotice" w:id="1">
    <w:p w14:paraId="467CF92F" w14:textId="77777777" w:rsidR="00715449" w:rsidRDefault="00715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5900C" w14:textId="77777777" w:rsidR="00715449" w:rsidRDefault="00715449" w:rsidP="00F20287">
      <w:r>
        <w:separator/>
      </w:r>
    </w:p>
  </w:footnote>
  <w:footnote w:type="continuationSeparator" w:id="0">
    <w:p w14:paraId="22EC665D" w14:textId="77777777" w:rsidR="00715449" w:rsidRDefault="00715449" w:rsidP="00F20287">
      <w:r>
        <w:continuationSeparator/>
      </w:r>
    </w:p>
  </w:footnote>
  <w:footnote w:type="continuationNotice" w:id="1">
    <w:p w14:paraId="77B7684A" w14:textId="77777777" w:rsidR="00715449" w:rsidRDefault="00715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5"/>
  </w:num>
  <w:num w:numId="7" w16cid:durableId="777525223">
    <w:abstractNumId w:val="0"/>
  </w:num>
  <w:num w:numId="8" w16cid:durableId="303318024">
    <w:abstractNumId w:val="7"/>
  </w:num>
  <w:num w:numId="9" w16cid:durableId="10974852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3362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2BB8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B6138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3F6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346A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5E32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D6E47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298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3338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2D20"/>
    <w:rsid w:val="003F37E5"/>
    <w:rsid w:val="003F50EC"/>
    <w:rsid w:val="003F71B2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18AC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3A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433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787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90F"/>
    <w:rsid w:val="00710B7F"/>
    <w:rsid w:val="00712097"/>
    <w:rsid w:val="007144B7"/>
    <w:rsid w:val="00715449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45A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0372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2CA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0591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386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0B2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163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488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21DD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140C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306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  <w:style w:type="paragraph" w:styleId="Textvbloku">
    <w:name w:val="Block Text"/>
    <w:basedOn w:val="Normln"/>
    <w:unhideWhenUsed/>
    <w:rsid w:val="00093362"/>
    <w:pPr>
      <w:widowControl w:val="0"/>
      <w:ind w:right="-92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dkova@rsz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s@kkssr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mo@s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via-zlin@vinci-constructi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2024-10-21T08:42:00Z</cp:lastPrinted>
  <dcterms:created xsi:type="dcterms:W3CDTF">2024-11-14T10:31:00Z</dcterms:created>
  <dcterms:modified xsi:type="dcterms:W3CDTF">2024-11-14T10:31:00Z</dcterms:modified>
</cp:coreProperties>
</file>