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9B9E" w14:textId="0BC87B1E" w:rsidR="00976F61" w:rsidRDefault="000F5378">
      <w:pPr>
        <w:pStyle w:val="Zhlav"/>
        <w:spacing w:after="60"/>
        <w:jc w:val="right"/>
      </w:pPr>
      <w:r>
        <w:t>Identifikace Smlouvy (např. číslo v CES, č. j. a PID):</w:t>
      </w:r>
      <w:r w:rsidR="00E033DE">
        <w:t xml:space="preserve"> S-032/24</w:t>
      </w:r>
    </w:p>
    <w:p w14:paraId="63D7EB37" w14:textId="77777777" w:rsidR="00976F61" w:rsidRDefault="00976F61">
      <w:pPr>
        <w:pStyle w:val="Zhlav"/>
        <w:jc w:val="right"/>
      </w:pPr>
    </w:p>
    <w:p w14:paraId="6D678F9E" w14:textId="77777777" w:rsidR="00976F61" w:rsidRDefault="00976F61">
      <w:pPr>
        <w:pStyle w:val="Zhlav"/>
        <w:jc w:val="right"/>
      </w:pPr>
    </w:p>
    <w:p w14:paraId="38FD9D28" w14:textId="77777777" w:rsidR="00976F61" w:rsidRDefault="00976F61">
      <w:pPr>
        <w:pStyle w:val="Zhlav"/>
        <w:jc w:val="right"/>
      </w:pPr>
    </w:p>
    <w:p w14:paraId="7482CBA3" w14:textId="77777777" w:rsidR="00976F61" w:rsidRDefault="00976F61">
      <w:pPr>
        <w:pStyle w:val="Zhlav"/>
        <w:spacing w:after="0"/>
        <w:jc w:val="right"/>
      </w:pPr>
    </w:p>
    <w:p w14:paraId="58CB30B0" w14:textId="77777777" w:rsidR="00976F61" w:rsidRDefault="000F5378">
      <w:pPr>
        <w:pStyle w:val="Zhlav"/>
        <w:jc w:val="center"/>
        <w:rPr>
          <w:b/>
          <w:sz w:val="48"/>
          <w:szCs w:val="48"/>
        </w:rPr>
      </w:pPr>
      <w:r>
        <w:rPr>
          <w:b/>
          <w:sz w:val="48"/>
          <w:szCs w:val="48"/>
        </w:rPr>
        <w:t>KUPNÍ SMLOUVA NA DODÁVKU KANCELÁŘSKÉHO PAPÍRU</w:t>
      </w: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3336766B" w14:textId="77777777" w:rsidR="00E033DE" w:rsidRPr="000C74FF" w:rsidRDefault="000F5378" w:rsidP="00E033DE">
      <w:pPr>
        <w:pStyle w:val="Odstavecseseznamem"/>
        <w:numPr>
          <w:ilvl w:val="0"/>
          <w:numId w:val="3"/>
        </w:numPr>
        <w:ind w:left="567" w:hanging="567"/>
        <w:rPr>
          <w:b/>
          <w:snapToGrid w:val="0"/>
        </w:rPr>
      </w:pPr>
      <w:r>
        <w:rPr>
          <w:b/>
          <w:snapToGrid w:val="0"/>
        </w:rPr>
        <w:t xml:space="preserve">Česká republika </w:t>
      </w:r>
      <w:r w:rsidR="00E033DE" w:rsidRPr="000C74FF">
        <w:rPr>
          <w:b/>
          <w:snapToGrid w:val="0"/>
        </w:rPr>
        <w:t>– Úřad průmyslového vlastnictví</w:t>
      </w:r>
    </w:p>
    <w:p w14:paraId="4B69B073" w14:textId="77777777" w:rsidR="00E033DE" w:rsidRPr="000C74FF" w:rsidRDefault="00E033DE" w:rsidP="00E033DE">
      <w:pPr>
        <w:ind w:firstLine="567"/>
        <w:rPr>
          <w:snapToGrid w:val="0"/>
        </w:rPr>
      </w:pPr>
      <w:r w:rsidRPr="000C74FF">
        <w:rPr>
          <w:snapToGrid w:val="0"/>
        </w:rPr>
        <w:t xml:space="preserve">se sídlem: Antonína Čermáka 1057/2a, 160 68 </w:t>
      </w:r>
      <w:r w:rsidRPr="000C74FF">
        <w:t>Praha 6 – Bubeneč</w:t>
      </w:r>
    </w:p>
    <w:p w14:paraId="30A313DB" w14:textId="77777777" w:rsidR="00E033DE" w:rsidRPr="000C74FF" w:rsidRDefault="00E033DE" w:rsidP="00E033DE">
      <w:pPr>
        <w:ind w:firstLine="567"/>
        <w:rPr>
          <w:snapToGrid w:val="0"/>
        </w:rPr>
      </w:pPr>
      <w:r w:rsidRPr="000C74FF">
        <w:rPr>
          <w:snapToGrid w:val="0"/>
        </w:rPr>
        <w:t>za níž jedná: Ing. Luděk Churáček, ředitel Odboru ekonomického</w:t>
      </w:r>
    </w:p>
    <w:p w14:paraId="7B3D777F" w14:textId="77777777" w:rsidR="00E033DE" w:rsidRPr="000C74FF" w:rsidRDefault="00E033DE" w:rsidP="00E033DE">
      <w:pPr>
        <w:ind w:firstLine="567"/>
        <w:rPr>
          <w:snapToGrid w:val="0"/>
        </w:rPr>
      </w:pPr>
      <w:r w:rsidRPr="000C74FF">
        <w:rPr>
          <w:snapToGrid w:val="0"/>
        </w:rPr>
        <w:t>IČO: 481 35 097</w:t>
      </w:r>
    </w:p>
    <w:p w14:paraId="001E3329" w14:textId="77777777" w:rsidR="00E033DE" w:rsidRPr="000C74FF" w:rsidRDefault="00E033DE" w:rsidP="00E033DE">
      <w:pPr>
        <w:ind w:firstLine="567"/>
        <w:rPr>
          <w:snapToGrid w:val="0"/>
        </w:rPr>
      </w:pPr>
      <w:r w:rsidRPr="000C74FF">
        <w:rPr>
          <w:snapToGrid w:val="0"/>
        </w:rPr>
        <w:t>DIČ: CZ48135097 (</w:t>
      </w:r>
      <w:r w:rsidRPr="000C74FF">
        <w:rPr>
          <w:b/>
          <w:bCs/>
          <w:snapToGrid w:val="0"/>
        </w:rPr>
        <w:t>nejsme plátci DPH</w:t>
      </w:r>
      <w:r w:rsidRPr="000C74FF">
        <w:rPr>
          <w:snapToGrid w:val="0"/>
        </w:rPr>
        <w:t>)</w:t>
      </w:r>
    </w:p>
    <w:p w14:paraId="219D4E4A" w14:textId="77777777" w:rsidR="00E033DE" w:rsidRPr="000C74FF" w:rsidRDefault="00E033DE" w:rsidP="00E033DE">
      <w:pPr>
        <w:ind w:firstLine="567"/>
        <w:rPr>
          <w:snapToGrid w:val="0"/>
        </w:rPr>
      </w:pPr>
      <w:r w:rsidRPr="000C74FF">
        <w:rPr>
          <w:snapToGrid w:val="0"/>
        </w:rPr>
        <w:t>bankovní spojení: Česká národní banka, číslo účtu: 21526001/0710</w:t>
      </w:r>
    </w:p>
    <w:p w14:paraId="2AD12EAC" w14:textId="77777777" w:rsidR="00E033DE" w:rsidRDefault="00E033DE" w:rsidP="00E033DE">
      <w:pPr>
        <w:ind w:firstLine="567"/>
        <w:rPr>
          <w:snapToGrid w:val="0"/>
        </w:rPr>
      </w:pPr>
      <w:r w:rsidRPr="000C74FF">
        <w:rPr>
          <w:snapToGrid w:val="0"/>
        </w:rPr>
        <w:t>na straně jedné (dále jen „</w:t>
      </w:r>
      <w:r w:rsidRPr="000C74FF">
        <w:rPr>
          <w:b/>
          <w:snapToGrid w:val="0"/>
        </w:rPr>
        <w:t>Kupující</w:t>
      </w:r>
      <w:r w:rsidRPr="000C74FF">
        <w:rPr>
          <w:snapToGrid w:val="0"/>
        </w:rPr>
        <w:t>“)</w:t>
      </w:r>
    </w:p>
    <w:p w14:paraId="1C9290F5" w14:textId="35F850C8" w:rsidR="00976F61" w:rsidRDefault="00976F61" w:rsidP="00E033DE">
      <w:pPr>
        <w:pStyle w:val="Odstavecseseznamem"/>
        <w:ind w:left="567"/>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0A65744B" w:rsidR="00976F61" w:rsidRPr="00960834" w:rsidRDefault="00960834">
      <w:pPr>
        <w:pStyle w:val="Odstavecseseznamem"/>
        <w:numPr>
          <w:ilvl w:val="0"/>
          <w:numId w:val="3"/>
        </w:numPr>
        <w:ind w:left="567" w:hanging="567"/>
        <w:rPr>
          <w:snapToGrid w:val="0"/>
        </w:rPr>
      </w:pPr>
      <w:r w:rsidRPr="00960834">
        <w:rPr>
          <w:b/>
          <w:snapToGrid w:val="0"/>
        </w:rPr>
        <w:t>ACTIVA spol. s r.o.</w:t>
      </w:r>
    </w:p>
    <w:p w14:paraId="2DA77CF2" w14:textId="7AEC378A" w:rsidR="00976F61" w:rsidRDefault="000F5378">
      <w:pPr>
        <w:ind w:firstLine="567"/>
        <w:rPr>
          <w:rFonts w:cs="Arial"/>
          <w:snapToGrid w:val="0"/>
        </w:rPr>
      </w:pPr>
      <w:r>
        <w:rPr>
          <w:snapToGrid w:val="0"/>
        </w:rPr>
        <w:t>se sídlem:</w:t>
      </w:r>
      <w:r w:rsidR="00687921">
        <w:rPr>
          <w:rFonts w:cs="Arial"/>
          <w:snapToGrid w:val="0"/>
        </w:rPr>
        <w:t xml:space="preserve"> </w:t>
      </w:r>
      <w:r w:rsidR="00960834" w:rsidRPr="00960834">
        <w:rPr>
          <w:rFonts w:cs="Arial"/>
          <w:snapToGrid w:val="0"/>
        </w:rPr>
        <w:t>Veselská 686, 199</w:t>
      </w:r>
      <w:r w:rsidR="00687921">
        <w:rPr>
          <w:rFonts w:cs="Arial"/>
          <w:snapToGrid w:val="0"/>
        </w:rPr>
        <w:t xml:space="preserve"> </w:t>
      </w:r>
      <w:r w:rsidR="00960834" w:rsidRPr="00960834">
        <w:rPr>
          <w:rFonts w:cs="Arial"/>
          <w:snapToGrid w:val="0"/>
        </w:rPr>
        <w:t>00</w:t>
      </w:r>
      <w:r w:rsidR="00687921">
        <w:rPr>
          <w:rFonts w:cs="Arial"/>
          <w:snapToGrid w:val="0"/>
        </w:rPr>
        <w:t xml:space="preserve"> </w:t>
      </w:r>
      <w:r w:rsidR="00687921" w:rsidRPr="00960834">
        <w:rPr>
          <w:rFonts w:cs="Arial"/>
          <w:snapToGrid w:val="0"/>
        </w:rPr>
        <w:t xml:space="preserve">Praha 9 </w:t>
      </w:r>
      <w:r w:rsidR="00687921">
        <w:rPr>
          <w:rFonts w:cs="Arial"/>
          <w:snapToGrid w:val="0"/>
        </w:rPr>
        <w:t>–</w:t>
      </w:r>
      <w:r w:rsidR="00687921" w:rsidRPr="00960834">
        <w:rPr>
          <w:rFonts w:cs="Arial"/>
          <w:snapToGrid w:val="0"/>
        </w:rPr>
        <w:t xml:space="preserve"> Letňany</w:t>
      </w:r>
    </w:p>
    <w:p w14:paraId="0D711394" w14:textId="5CDD32EE" w:rsidR="00976F61" w:rsidRDefault="000F5378">
      <w:pPr>
        <w:ind w:left="567"/>
        <w:rPr>
          <w:snapToGrid w:val="0"/>
        </w:rPr>
      </w:pPr>
      <w:r>
        <w:rPr>
          <w:snapToGrid w:val="0"/>
        </w:rPr>
        <w:t xml:space="preserve">zapsaná v Obchodním rejstříku vedeném </w:t>
      </w:r>
      <w:r w:rsidR="00960834" w:rsidRPr="00960834">
        <w:rPr>
          <w:rFonts w:cs="Arial"/>
          <w:snapToGrid w:val="0"/>
        </w:rPr>
        <w:t>u Městského soudu v Praze</w:t>
      </w:r>
      <w:r>
        <w:rPr>
          <w:snapToGrid w:val="0"/>
        </w:rPr>
        <w:t xml:space="preserve">, oddíl </w:t>
      </w:r>
      <w:r w:rsidR="00960834" w:rsidRPr="00960834">
        <w:rPr>
          <w:rFonts w:cs="Arial"/>
          <w:snapToGrid w:val="0"/>
        </w:rPr>
        <w:t>C</w:t>
      </w:r>
      <w:r>
        <w:rPr>
          <w:snapToGrid w:val="0"/>
        </w:rPr>
        <w:t xml:space="preserve">, vložka </w:t>
      </w:r>
      <w:r w:rsidR="00960834" w:rsidRPr="00960834">
        <w:rPr>
          <w:rFonts w:cs="Arial"/>
          <w:snapToGrid w:val="0"/>
        </w:rPr>
        <w:t>16077</w:t>
      </w:r>
    </w:p>
    <w:p w14:paraId="4608C911" w14:textId="1EE78BB2" w:rsidR="00976F61" w:rsidRDefault="000F5378">
      <w:pPr>
        <w:ind w:firstLine="567"/>
        <w:rPr>
          <w:snapToGrid w:val="0"/>
        </w:rPr>
      </w:pPr>
      <w:r>
        <w:rPr>
          <w:snapToGrid w:val="0"/>
        </w:rPr>
        <w:t>zastoupená:</w:t>
      </w:r>
      <w:r>
        <w:rPr>
          <w:rFonts w:cs="Arial"/>
          <w:b/>
          <w:snapToGrid w:val="0"/>
        </w:rPr>
        <w:t xml:space="preserve"> </w:t>
      </w:r>
      <w:r w:rsidR="00960834" w:rsidRPr="00960834">
        <w:rPr>
          <w:rFonts w:cs="Arial"/>
          <w:snapToGrid w:val="0"/>
        </w:rPr>
        <w:t>Ing. M</w:t>
      </w:r>
      <w:r w:rsidR="00960834">
        <w:rPr>
          <w:rFonts w:cs="Arial"/>
          <w:snapToGrid w:val="0"/>
        </w:rPr>
        <w:t>artin</w:t>
      </w:r>
      <w:r w:rsidR="00422336">
        <w:rPr>
          <w:rFonts w:cs="Arial"/>
          <w:snapToGrid w:val="0"/>
        </w:rPr>
        <w:t>em</w:t>
      </w:r>
      <w:r w:rsidR="00960834">
        <w:rPr>
          <w:rFonts w:cs="Arial"/>
          <w:snapToGrid w:val="0"/>
        </w:rPr>
        <w:t xml:space="preserve"> </w:t>
      </w:r>
      <w:r w:rsidR="00960834" w:rsidRPr="00960834">
        <w:rPr>
          <w:rFonts w:cs="Arial"/>
          <w:snapToGrid w:val="0"/>
        </w:rPr>
        <w:t>L</w:t>
      </w:r>
      <w:r w:rsidR="00960834">
        <w:rPr>
          <w:rFonts w:cs="Arial"/>
          <w:snapToGrid w:val="0"/>
        </w:rPr>
        <w:t>eitgeb</w:t>
      </w:r>
      <w:r w:rsidR="00422336">
        <w:rPr>
          <w:rFonts w:cs="Arial"/>
          <w:snapToGrid w:val="0"/>
        </w:rPr>
        <w:t>em, jednatelem</w:t>
      </w:r>
    </w:p>
    <w:p w14:paraId="5A1662C5" w14:textId="1C4971FE" w:rsidR="00976F61" w:rsidRDefault="000F5378">
      <w:pPr>
        <w:ind w:firstLine="567"/>
        <w:rPr>
          <w:snapToGrid w:val="0"/>
        </w:rPr>
      </w:pPr>
      <w:r>
        <w:rPr>
          <w:snapToGrid w:val="0"/>
        </w:rPr>
        <w:t xml:space="preserve">IČO: </w:t>
      </w:r>
      <w:r w:rsidR="00960834" w:rsidRPr="00960834">
        <w:rPr>
          <w:rFonts w:cs="Arial"/>
          <w:snapToGrid w:val="0"/>
        </w:rPr>
        <w:t>481</w:t>
      </w:r>
      <w:r w:rsidR="00E033DE">
        <w:rPr>
          <w:rFonts w:cs="Arial"/>
          <w:snapToGrid w:val="0"/>
        </w:rPr>
        <w:t xml:space="preserve"> </w:t>
      </w:r>
      <w:r w:rsidR="00960834" w:rsidRPr="00960834">
        <w:rPr>
          <w:rFonts w:cs="Arial"/>
          <w:snapToGrid w:val="0"/>
        </w:rPr>
        <w:t>11</w:t>
      </w:r>
      <w:r w:rsidR="00E033DE">
        <w:rPr>
          <w:rFonts w:cs="Arial"/>
          <w:snapToGrid w:val="0"/>
        </w:rPr>
        <w:t xml:space="preserve"> </w:t>
      </w:r>
      <w:r w:rsidR="00960834" w:rsidRPr="00960834">
        <w:rPr>
          <w:rFonts w:cs="Arial"/>
          <w:snapToGrid w:val="0"/>
        </w:rPr>
        <w:t>198</w:t>
      </w:r>
      <w:r>
        <w:rPr>
          <w:snapToGrid w:val="0"/>
        </w:rPr>
        <w:t xml:space="preserve"> </w:t>
      </w:r>
    </w:p>
    <w:p w14:paraId="27D8185A" w14:textId="0F4BE804" w:rsidR="00976F61" w:rsidRDefault="000F5378">
      <w:pPr>
        <w:ind w:firstLine="567"/>
        <w:rPr>
          <w:snapToGrid w:val="0"/>
        </w:rPr>
      </w:pPr>
      <w:r>
        <w:rPr>
          <w:snapToGrid w:val="0"/>
        </w:rPr>
        <w:t xml:space="preserve">DIČ: </w:t>
      </w:r>
      <w:r w:rsidR="00960834">
        <w:rPr>
          <w:snapToGrid w:val="0"/>
        </w:rPr>
        <w:t>CZ</w:t>
      </w:r>
      <w:r w:rsidR="00960834" w:rsidRPr="00960834">
        <w:rPr>
          <w:rFonts w:cs="Arial"/>
          <w:snapToGrid w:val="0"/>
        </w:rPr>
        <w:t>48111198</w:t>
      </w:r>
    </w:p>
    <w:p w14:paraId="282B070B" w14:textId="025311EC" w:rsidR="00976F61" w:rsidRDefault="000F5378">
      <w:pPr>
        <w:ind w:firstLine="567"/>
        <w:rPr>
          <w:rFonts w:cs="Arial"/>
          <w:snapToGrid w:val="0"/>
        </w:rPr>
      </w:pPr>
      <w:r>
        <w:rPr>
          <w:snapToGrid w:val="0"/>
        </w:rPr>
        <w:t xml:space="preserve">bankovní spojení: </w:t>
      </w:r>
      <w:r w:rsidR="00422336" w:rsidRPr="00422336">
        <w:rPr>
          <w:rFonts w:cs="Arial"/>
          <w:snapToGrid w:val="0"/>
        </w:rPr>
        <w:t>ČSOB a.s.</w:t>
      </w:r>
      <w:r>
        <w:rPr>
          <w:rFonts w:cs="Arial"/>
          <w:snapToGrid w:val="0"/>
        </w:rPr>
        <w:t xml:space="preserve">, číslo účtu: </w:t>
      </w:r>
      <w:r w:rsidR="00960834" w:rsidRPr="00960834">
        <w:rPr>
          <w:rFonts w:cs="Arial"/>
          <w:snapToGrid w:val="0"/>
        </w:rPr>
        <w:t>500032893/0300</w:t>
      </w:r>
    </w:p>
    <w:p w14:paraId="15B9FC60" w14:textId="77777777" w:rsidR="00976F61" w:rsidRDefault="000F5378">
      <w:pPr>
        <w:spacing w:after="0"/>
        <w:ind w:firstLine="567"/>
        <w:rPr>
          <w:snapToGrid w:val="0"/>
        </w:rPr>
      </w:pPr>
      <w:r>
        <w:rPr>
          <w:snapToGrid w:val="0"/>
        </w:rPr>
        <w:t>na straně druhé (dále jen „</w:t>
      </w:r>
      <w:r>
        <w:rPr>
          <w:b/>
          <w:snapToGrid w:val="0"/>
        </w:rPr>
        <w:t>Prodávající</w:t>
      </w:r>
      <w:r>
        <w:rPr>
          <w:snapToGrid w:val="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460E36CD"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w:t>
      </w:r>
      <w:r w:rsidR="00AD50BF">
        <w:rPr>
          <w:snapToGrid w:val="0"/>
        </w:rPr>
        <w:t>,</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w:t>
      </w:r>
      <w:r w:rsidR="00AD50BF">
        <w:rPr>
          <w:snapToGrid w:val="0"/>
        </w:rPr>
        <w:t>,</w:t>
      </w:r>
      <w:r>
        <w:rPr>
          <w:snapToGrid w:val="0"/>
        </w:rPr>
        <w:t xml:space="preserve"> tuto</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25B9BCCE" w14:textId="45ED6188" w:rsidR="00976F61" w:rsidRDefault="000F5378" w:rsidP="00E033DE">
      <w:pPr>
        <w:spacing w:after="0"/>
        <w:jc w:val="center"/>
        <w:rPr>
          <w:snapToGrid w:val="0"/>
        </w:rPr>
        <w:sectPr w:rsidR="00976F61">
          <w:headerReference w:type="default" r:id="rId8"/>
          <w:pgSz w:w="11906" w:h="16838"/>
          <w:pgMar w:top="1417" w:right="1417" w:bottom="1417" w:left="1417" w:header="708" w:footer="708" w:gutter="0"/>
          <w:cols w:space="708"/>
          <w:docGrid w:linePitch="360"/>
        </w:sectPr>
      </w:pPr>
      <w:r>
        <w:rPr>
          <w:snapToGrid w:val="0"/>
        </w:rPr>
        <w:t>(dále jen „</w:t>
      </w:r>
      <w:r>
        <w:rPr>
          <w:b/>
          <w:snapToGrid w:val="0"/>
        </w:rPr>
        <w:t>Smlouva</w:t>
      </w:r>
      <w:r>
        <w:rPr>
          <w:snapToGrid w:val="0"/>
        </w:rPr>
        <w:t>“)</w:t>
      </w: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30F71C00"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w:t>
      </w:r>
      <w:r w:rsidR="005C2921">
        <w:br/>
      </w:r>
      <w:r>
        <w:t>s názvem „</w:t>
      </w:r>
      <w:r w:rsidR="00BA7FF5" w:rsidRPr="00BA7FF5">
        <w:rPr>
          <w:rFonts w:cs="Arial"/>
          <w:szCs w:val="20"/>
        </w:rPr>
        <w:t>Dynamický nákupní systém na dodávky kancelářských potřeb pro resor</w:t>
      </w:r>
      <w:r w:rsidR="00035149">
        <w:rPr>
          <w:rFonts w:cs="Arial"/>
          <w:szCs w:val="20"/>
        </w:rPr>
        <w:t xml:space="preserve">t Ministerstva financí – Výzva </w:t>
      </w:r>
      <w:r w:rsidR="00F273FD">
        <w:rPr>
          <w:rFonts w:cs="Arial"/>
          <w:szCs w:val="20"/>
        </w:rPr>
        <w:t>3-2024</w:t>
      </w:r>
      <w:r>
        <w:t xml:space="preserve">“ (dále jen </w:t>
      </w:r>
      <w:r>
        <w:rPr>
          <w:b/>
        </w:rPr>
        <w:t>„Veřejná zakázka“</w:t>
      </w:r>
      <w:r>
        <w:t xml:space="preserve">) (to vše dále jen </w:t>
      </w:r>
      <w:r>
        <w:rPr>
          <w:b/>
        </w:rPr>
        <w:t xml:space="preserve">„Zadávací </w:t>
      </w:r>
      <w:r w:rsidR="00BA7FF5">
        <w:rPr>
          <w:b/>
        </w:rPr>
        <w:t>postup</w:t>
      </w:r>
      <w:r>
        <w:rPr>
          <w:b/>
        </w:rPr>
        <w:t>“</w:t>
      </w:r>
      <w:r>
        <w:t>), kdy nabídka Prodávajícího byla vybrána jako ekonomicky nejvýhodnější.</w:t>
      </w:r>
    </w:p>
    <w:p w14:paraId="3994C46D" w14:textId="04EB7BA0" w:rsidR="00976F61" w:rsidRDefault="000F5378" w:rsidP="00422336">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sidR="00422336" w:rsidRPr="00422336">
        <w:rPr>
          <w:rFonts w:cs="Arial"/>
          <w:snapToGrid w:val="0"/>
        </w:rPr>
        <w:t>360 Excellent</w:t>
      </w:r>
      <w:r>
        <w:rPr>
          <w:rFonts w:cs="Arial"/>
          <w:snapToGrid w:val="0"/>
        </w:rPr>
        <w:t xml:space="preserve"> pro dodávky kvality „A“ a papír </w:t>
      </w:r>
      <w:r w:rsidR="00422336" w:rsidRPr="00422336">
        <w:rPr>
          <w:rFonts w:cs="Arial"/>
          <w:snapToGrid w:val="0"/>
        </w:rPr>
        <w:t>MM Flow Premium</w:t>
      </w:r>
      <w:r w:rsidR="00422336">
        <w:rPr>
          <w:rFonts w:cs="Arial"/>
          <w:snapToGrid w:val="0"/>
        </w:rPr>
        <w:t xml:space="preserve"> </w:t>
      </w:r>
      <w:r>
        <w:rPr>
          <w:rFonts w:cs="Arial"/>
          <w:snapToGrid w:val="0"/>
        </w:rPr>
        <w:t>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12FA0252" w:rsidR="00976F61" w:rsidRDefault="000F5378" w:rsidP="00C1619A">
      <w:pPr>
        <w:pStyle w:val="Nadpis2"/>
        <w:keepLines/>
        <w:numPr>
          <w:ilvl w:val="1"/>
          <w:numId w:val="6"/>
        </w:numPr>
        <w:ind w:left="567" w:hanging="567"/>
      </w:pPr>
      <w:r>
        <w:t>Účelem Smlouvy je úprava a smluvní zajištění podmínek, za nichž bude pro Kupujícího zajištěna dodávka kancelářského papíru.</w:t>
      </w:r>
    </w:p>
    <w:p w14:paraId="6C1F0DF7" w14:textId="1C37C0DC" w:rsidR="00976F61" w:rsidRDefault="000F5378" w:rsidP="00C1619A">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a to za podmínek a způsobem stanoveným Smlouvou.</w:t>
      </w:r>
    </w:p>
    <w:p w14:paraId="0782155C" w14:textId="4F78F872" w:rsidR="00064EB4" w:rsidRDefault="00064EB4" w:rsidP="00C1619A">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w:t>
      </w:r>
      <w:r w:rsidR="005C2921">
        <w:rPr>
          <w:iCs/>
        </w:rPr>
        <w:br/>
      </w:r>
      <w:r>
        <w:rPr>
          <w:iCs/>
        </w:rPr>
        <w:t>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w:t>
      </w:r>
      <w:r w:rsidR="005C2921">
        <w:rPr>
          <w:iCs/>
        </w:rPr>
        <w:br/>
      </w:r>
      <w:r w:rsidRPr="00064EB4">
        <w:rPr>
          <w:iCs/>
        </w:rPr>
        <w:t xml:space="preserve">a obalového materiálu související s realizací Dodávky. Kupující nezajišťuje pro prodávajícího vykládku Dodávky při jeho dodání. Kupující nezajišťuje pro </w:t>
      </w:r>
      <w:r w:rsidR="00406DE0">
        <w:rPr>
          <w:iCs/>
        </w:rPr>
        <w:t>P</w:t>
      </w:r>
      <w:r w:rsidRPr="00064EB4">
        <w:rPr>
          <w:iCs/>
        </w:rPr>
        <w:t xml:space="preserve">rodávajícího zapůjčení jakékoliv manipulační techniky. Kupující doporučuje </w:t>
      </w:r>
      <w:r w:rsidR="00406DE0">
        <w:rPr>
          <w:iCs/>
        </w:rPr>
        <w:t>P</w:t>
      </w:r>
      <w:r w:rsidRPr="00064EB4">
        <w:rPr>
          <w:iCs/>
        </w:rPr>
        <w:t>rodávajícímu t</w:t>
      </w:r>
      <w:r>
        <w:rPr>
          <w:iCs/>
        </w:rPr>
        <w:t>am</w:t>
      </w:r>
      <w:r w:rsidR="00406DE0">
        <w:rPr>
          <w:iCs/>
        </w:rPr>
        <w:t>,</w:t>
      </w:r>
      <w:r>
        <w:rPr>
          <w:iCs/>
        </w:rPr>
        <w:t xml:space="preserve"> kde je to v Příloze č. 2</w:t>
      </w:r>
      <w:r w:rsidRPr="00064EB4">
        <w:rPr>
          <w:iCs/>
        </w:rPr>
        <w:t xml:space="preserve"> Smlouvy uvedeno, dopravit dodávku v autě s výklopným čelem.</w:t>
      </w:r>
    </w:p>
    <w:p w14:paraId="6A6689FC" w14:textId="3BC4C9E4" w:rsidR="00976F61" w:rsidRDefault="000F5378" w:rsidP="00C1619A">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rsidP="00C1619A">
      <w:pPr>
        <w:pStyle w:val="Nadpis2"/>
        <w:ind w:left="567" w:hanging="567"/>
      </w:pPr>
      <w:r>
        <w:t>Dodacím místem pro předání a převzetí Dodávky dle Smlouvy jsou odběrná místa Kupujícího stanovená v Příloze č. 2 Smlouvy (dále jen „</w:t>
      </w:r>
      <w:r>
        <w:rPr>
          <w:b/>
        </w:rPr>
        <w:t>Místo dodání</w:t>
      </w:r>
      <w:r>
        <w:t>“).</w:t>
      </w:r>
    </w:p>
    <w:p w14:paraId="01CA16D7" w14:textId="6EE002FB" w:rsidR="00976F61" w:rsidRDefault="000F5378" w:rsidP="00C1619A">
      <w:pPr>
        <w:pStyle w:val="Nadpis2"/>
        <w:ind w:left="567" w:hanging="567"/>
      </w:pPr>
      <w:r>
        <w:t>Prodávající prohlašuje, že:</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rsidP="00C1619A">
      <w:pPr>
        <w:pStyle w:val="Nadpis2"/>
        <w:ind w:left="567" w:hanging="567"/>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355F9C29" w:rsidR="00976F61" w:rsidRDefault="000F5378" w:rsidP="00C1619A">
      <w:pPr>
        <w:pStyle w:val="Nadpis2"/>
        <w:ind w:left="567" w:hanging="567"/>
      </w:pPr>
      <w:r>
        <w:t>Termín dodání Dodávky musí být v obvyklou pracovní dobu Kupujícího, nedohodnou-li</w:t>
      </w:r>
      <w:r w:rsidR="005C2921">
        <w:br/>
      </w:r>
      <w:r>
        <w:t>se Smluvní strany jinak. Obvyklou pracovní dobou Kupujícího je dle Smlouvy každý pracovní den od 8 hodin do 16 hodin</w:t>
      </w:r>
      <w:r w:rsidR="005C2921">
        <w:t>.</w:t>
      </w:r>
    </w:p>
    <w:p w14:paraId="097F9A37" w14:textId="1B319E80" w:rsidR="00976F61" w:rsidRDefault="000F5378" w:rsidP="00C1619A">
      <w:pPr>
        <w:pStyle w:val="Nadpis2"/>
        <w:ind w:left="567" w:hanging="567"/>
      </w:pPr>
      <w:bookmarkStart w:id="1" w:name="_Ref481657585"/>
      <w:r>
        <w:t xml:space="preserve">Prodávající je povinen Kupujícího </w:t>
      </w:r>
      <w:r w:rsidRPr="00C93E28">
        <w:t>písemně uvědomit prostřednictvím elektronické pošty</w:t>
      </w:r>
      <w:r w:rsidR="003C05B6" w:rsidRPr="00C93E28">
        <w:br/>
      </w:r>
      <w:r w:rsidRPr="00C93E28">
        <w:t xml:space="preserve">na e-mailovou adresu </w:t>
      </w:r>
      <w:r w:rsidR="00356DA8" w:rsidRPr="00C93E28">
        <w:t xml:space="preserve">příslušné </w:t>
      </w:r>
      <w:r w:rsidRPr="00C93E28">
        <w:t>oprávněné osoby Kupujícího uvedené v článku 13.3 písm. a) Smlouvy (dále jen „</w:t>
      </w:r>
      <w:r w:rsidRPr="00C93E28">
        <w:rPr>
          <w:b/>
        </w:rPr>
        <w:t>Oprávněná osoba Kupujícího</w:t>
      </w:r>
      <w:r w:rsidRPr="00C93E28">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sidRPr="00C93E28">
        <w:rPr>
          <w:b/>
        </w:rPr>
        <w:t>Oprávněná osoba Prodávajícího</w:t>
      </w:r>
      <w:r w:rsidRPr="00C93E28">
        <w:t>“). Nepotvrzení avizované Dodávky ze strany Kupujícího nemá pro</w:t>
      </w:r>
      <w:r>
        <w:t xml:space="preserve"> plnění Smlouvy žádný důsledek.</w:t>
      </w:r>
      <w:bookmarkEnd w:id="1"/>
    </w:p>
    <w:p w14:paraId="7F4BE075" w14:textId="6B5310D8" w:rsidR="00976F61" w:rsidRDefault="000F5378" w:rsidP="00C1619A">
      <w:pPr>
        <w:pStyle w:val="Nadpis2"/>
        <w:ind w:left="567" w:hanging="567"/>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599A5D2E" w:rsidR="00976F61" w:rsidRDefault="000F5378" w:rsidP="00C1619A">
      <w:pPr>
        <w:pStyle w:val="Nadpis2"/>
        <w:ind w:left="567" w:hanging="567"/>
      </w:pPr>
      <w:r>
        <w:t>Dodací list musí obsahovat identifikaci Smluvních stran (název, IČO, sídlo), označení Místa dodání, přesnou specifikaci Dodávky a datum dodání.</w:t>
      </w:r>
    </w:p>
    <w:p w14:paraId="11A1F943" w14:textId="0245C966" w:rsidR="00976F61" w:rsidRDefault="000F5378" w:rsidP="00C1619A">
      <w:pPr>
        <w:pStyle w:val="Nadpis2"/>
        <w:ind w:left="567" w:hanging="567"/>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rsidP="00C1619A">
      <w:pPr>
        <w:pStyle w:val="Nadpis2"/>
        <w:ind w:left="567" w:hanging="567"/>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rsidP="00C1619A">
      <w:pPr>
        <w:pStyle w:val="Nadpis2"/>
        <w:ind w:left="567" w:hanging="567"/>
      </w:pPr>
      <w:r>
        <w:t>Prodávající je povinen předat Kupujícímu na vyžádání kopii certifikátu jakosti dodávaného kancelářského papíru, a to do 5 pracovních dnů od doručení takové žádosti.</w:t>
      </w:r>
    </w:p>
    <w:p w14:paraId="76CBA077" w14:textId="1477B139" w:rsidR="00976F61" w:rsidRDefault="000F5378" w:rsidP="00C1619A">
      <w:pPr>
        <w:pStyle w:val="Nadpis2"/>
        <w:ind w:left="567" w:hanging="567"/>
      </w:pPr>
      <w:r>
        <w:t>Kupující nabývá vlastnické právo k Dodávce jejím dodáním a převzetím v Místě dodání</w:t>
      </w:r>
      <w:r w:rsidR="003C05B6">
        <w:br/>
      </w:r>
      <w:r>
        <w:t xml:space="preserve">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4ED69CDE" w:rsidR="00976F61" w:rsidRDefault="000F5378" w:rsidP="00C1619A">
      <w:pPr>
        <w:pStyle w:val="Nadpis2"/>
        <w:ind w:left="567" w:hanging="567"/>
      </w:pPr>
      <w:r>
        <w:t>Kupující uvádí v Příloze č. 2 Smlouvy požadavky na dodání Dodávky platné v Místě dodání, které je Prodávající povinen splnit.</w:t>
      </w:r>
    </w:p>
    <w:p w14:paraId="043471F9" w14:textId="77777777" w:rsidR="00976F61" w:rsidRDefault="000F5378" w:rsidP="00C1619A">
      <w:pPr>
        <w:pStyle w:val="Nadpis2"/>
        <w:ind w:left="567" w:hanging="567"/>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rsidP="00C1619A">
      <w:pPr>
        <w:pStyle w:val="Nadpis2"/>
        <w:ind w:left="567" w:hanging="567"/>
      </w:pPr>
      <w:r>
        <w:t>Prodávající se zavazuje, že bude Dodávku dodávat po kartonech 5 x 500 listů s řádnou ochranou proti povětrnostním vlivům.</w:t>
      </w:r>
    </w:p>
    <w:p w14:paraId="5D82DDD5" w14:textId="77777777" w:rsidR="00976F61" w:rsidRDefault="000F5378" w:rsidP="00C1619A">
      <w:pPr>
        <w:pStyle w:val="Nadpis2"/>
        <w:ind w:left="567" w:hanging="567"/>
      </w:pPr>
      <w:r>
        <w:t>Balík kancelářského papíru po 500 listech, jakož i kartony, musí obsahovat název a výrobce kancelářského papíru.</w:t>
      </w:r>
    </w:p>
    <w:p w14:paraId="008521DA" w14:textId="57100201" w:rsidR="00976F61" w:rsidRDefault="000F5378" w:rsidP="00C1619A">
      <w:pPr>
        <w:pStyle w:val="Nadpis2"/>
        <w:ind w:left="567" w:hanging="567"/>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rsidP="00C1619A">
      <w:pPr>
        <w:pStyle w:val="Nadpis2"/>
        <w:ind w:left="567" w:hanging="567"/>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115FA4FB" w:rsidR="00976F61" w:rsidRDefault="000F5378" w:rsidP="00C1619A">
      <w:pPr>
        <w:pStyle w:val="Nadpis2"/>
        <w:ind w:left="567" w:hanging="567"/>
      </w:pPr>
      <w:r>
        <w:t>Smluvní strany si ujednaly, že celková kupní cena za Dodávku (dále jen „</w:t>
      </w:r>
      <w:r>
        <w:rPr>
          <w:b/>
        </w:rPr>
        <w:t>Kupní cena</w:t>
      </w:r>
      <w:r>
        <w:t xml:space="preserve">“) činí částku </w:t>
      </w:r>
      <w:r w:rsidR="001D27CE" w:rsidRPr="001D27CE">
        <w:rPr>
          <w:b/>
          <w:bCs w:val="0"/>
        </w:rPr>
        <w:t xml:space="preserve">48 080 </w:t>
      </w:r>
      <w:r w:rsidRPr="001D27CE">
        <w:rPr>
          <w:rFonts w:cs="Arial"/>
          <w:b/>
          <w:bCs w:val="0"/>
        </w:rPr>
        <w:t>Kč</w:t>
      </w:r>
      <w:r>
        <w:t xml:space="preserve"> (slovy:</w:t>
      </w:r>
      <w:r w:rsidR="001D27CE">
        <w:t xml:space="preserve"> čtyřicet osm tisíc osmdesát </w:t>
      </w:r>
      <w:r>
        <w:rPr>
          <w:rFonts w:cs="Arial"/>
        </w:rPr>
        <w:t>korun českých)</w:t>
      </w:r>
      <w:r>
        <w:t xml:space="preserve"> bez DPH. </w:t>
      </w:r>
    </w:p>
    <w:p w14:paraId="0303193F" w14:textId="14C6DC14" w:rsidR="00976F61" w:rsidRDefault="000F5378" w:rsidP="00C1619A">
      <w:pPr>
        <w:pStyle w:val="Nadpis2"/>
        <w:ind w:left="567" w:hanging="567"/>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rsidTr="00D005EE">
        <w:tc>
          <w:tcPr>
            <w:tcW w:w="2680" w:type="dxa"/>
            <w:vAlign w:val="center"/>
          </w:tcPr>
          <w:p w14:paraId="28EC368E" w14:textId="77777777" w:rsidR="00976F61" w:rsidRDefault="00976F61">
            <w:pPr>
              <w:pStyle w:val="Nadpis2"/>
              <w:numPr>
                <w:ilvl w:val="0"/>
                <w:numId w:val="0"/>
              </w:numPr>
              <w:spacing w:before="120"/>
            </w:pPr>
          </w:p>
        </w:tc>
        <w:tc>
          <w:tcPr>
            <w:tcW w:w="2126" w:type="dxa"/>
            <w:vAlign w:val="center"/>
          </w:tcPr>
          <w:p w14:paraId="08F5AB50" w14:textId="77777777" w:rsidR="00976F61" w:rsidRDefault="000F5378">
            <w:pPr>
              <w:pStyle w:val="Nadpis2"/>
              <w:numPr>
                <w:ilvl w:val="0"/>
                <w:numId w:val="0"/>
              </w:numPr>
              <w:spacing w:before="120"/>
              <w:jc w:val="center"/>
              <w:rPr>
                <w:b/>
              </w:rPr>
            </w:pPr>
            <w:r>
              <w:rPr>
                <w:b/>
              </w:rPr>
              <w:t>Požadovaný počet balíků obsahujících 500 listů</w:t>
            </w:r>
          </w:p>
        </w:tc>
        <w:tc>
          <w:tcPr>
            <w:tcW w:w="1843" w:type="dxa"/>
            <w:vAlign w:val="center"/>
          </w:tcPr>
          <w:p w14:paraId="53B9D3FF" w14:textId="77777777" w:rsidR="00976F61" w:rsidRDefault="000F5378">
            <w:pPr>
              <w:pStyle w:val="Nadpis2"/>
              <w:numPr>
                <w:ilvl w:val="0"/>
                <w:numId w:val="0"/>
              </w:numPr>
              <w:spacing w:before="120"/>
              <w:jc w:val="center"/>
              <w:rPr>
                <w:b/>
              </w:rPr>
            </w:pPr>
            <w:r>
              <w:rPr>
                <w:b/>
              </w:rPr>
              <w:t>Jednotková cena bez DPH</w:t>
            </w:r>
          </w:p>
        </w:tc>
        <w:tc>
          <w:tcPr>
            <w:tcW w:w="1544" w:type="dxa"/>
            <w:vAlign w:val="center"/>
          </w:tcPr>
          <w:p w14:paraId="1B06BB1D" w14:textId="77777777" w:rsidR="00976F61" w:rsidRDefault="000F5378">
            <w:pPr>
              <w:pStyle w:val="Nadpis2"/>
              <w:numPr>
                <w:ilvl w:val="0"/>
                <w:numId w:val="0"/>
              </w:numPr>
              <w:spacing w:before="120"/>
              <w:jc w:val="center"/>
              <w:rPr>
                <w:b/>
              </w:rPr>
            </w:pPr>
            <w:r>
              <w:rPr>
                <w:b/>
              </w:rPr>
              <w:t>Celková cena bez DPH</w:t>
            </w:r>
          </w:p>
        </w:tc>
      </w:tr>
      <w:tr w:rsidR="00976F61" w14:paraId="7F77A966" w14:textId="77777777" w:rsidTr="00D005EE">
        <w:tc>
          <w:tcPr>
            <w:tcW w:w="2680" w:type="dxa"/>
          </w:tcPr>
          <w:p w14:paraId="2DEB4D6D" w14:textId="77777777" w:rsidR="00976F61" w:rsidRDefault="000F5378">
            <w:pPr>
              <w:pStyle w:val="Nadpis2"/>
              <w:numPr>
                <w:ilvl w:val="0"/>
                <w:numId w:val="0"/>
              </w:numPr>
              <w:spacing w:before="120"/>
            </w:pPr>
            <w:r>
              <w:t>papír formát A4, kvalita A</w:t>
            </w:r>
          </w:p>
        </w:tc>
        <w:tc>
          <w:tcPr>
            <w:tcW w:w="2126" w:type="dxa"/>
          </w:tcPr>
          <w:p w14:paraId="37061DF3" w14:textId="7A5173F4" w:rsidR="00976F61" w:rsidRDefault="001D27CE">
            <w:pPr>
              <w:pStyle w:val="Nadpis2"/>
              <w:numPr>
                <w:ilvl w:val="0"/>
                <w:numId w:val="0"/>
              </w:numPr>
              <w:spacing w:before="120"/>
            </w:pPr>
            <w:r>
              <w:t>800</w:t>
            </w:r>
          </w:p>
        </w:tc>
        <w:tc>
          <w:tcPr>
            <w:tcW w:w="1843" w:type="dxa"/>
          </w:tcPr>
          <w:p w14:paraId="00B7B478" w14:textId="70DDB4B7" w:rsidR="00976F61" w:rsidRDefault="00422336" w:rsidP="00D005EE">
            <w:pPr>
              <w:pStyle w:val="Nadpis2"/>
              <w:numPr>
                <w:ilvl w:val="0"/>
                <w:numId w:val="0"/>
              </w:numPr>
              <w:spacing w:before="120"/>
              <w:jc w:val="right"/>
            </w:pPr>
            <w:r>
              <w:t>60,10 Kč</w:t>
            </w:r>
          </w:p>
        </w:tc>
        <w:tc>
          <w:tcPr>
            <w:tcW w:w="1544" w:type="dxa"/>
          </w:tcPr>
          <w:p w14:paraId="2293141F" w14:textId="361D4E85" w:rsidR="00976F61" w:rsidRDefault="001D27CE" w:rsidP="001D27CE">
            <w:pPr>
              <w:pStyle w:val="Nadpis2"/>
              <w:numPr>
                <w:ilvl w:val="0"/>
                <w:numId w:val="0"/>
              </w:numPr>
              <w:spacing w:before="120"/>
              <w:jc w:val="right"/>
            </w:pPr>
            <w:r>
              <w:t>48 080 Kč</w:t>
            </w:r>
          </w:p>
        </w:tc>
      </w:tr>
      <w:tr w:rsidR="00976F61" w14:paraId="170A695A" w14:textId="77777777" w:rsidTr="00D005EE">
        <w:tc>
          <w:tcPr>
            <w:tcW w:w="6649" w:type="dxa"/>
            <w:gridSpan w:val="3"/>
          </w:tcPr>
          <w:p w14:paraId="326FA2AC" w14:textId="77777777" w:rsidR="00976F61" w:rsidRDefault="000F5378">
            <w:pPr>
              <w:pStyle w:val="Nadpis2"/>
              <w:numPr>
                <w:ilvl w:val="0"/>
                <w:numId w:val="0"/>
              </w:numPr>
              <w:spacing w:before="120"/>
              <w:rPr>
                <w:b/>
              </w:rPr>
            </w:pPr>
            <w:r>
              <w:rPr>
                <w:b/>
              </w:rPr>
              <w:t>Kupní cena v Kč bez DPH</w:t>
            </w:r>
          </w:p>
        </w:tc>
        <w:tc>
          <w:tcPr>
            <w:tcW w:w="1544" w:type="dxa"/>
          </w:tcPr>
          <w:p w14:paraId="7FC08064" w14:textId="606A13E0" w:rsidR="00976F61" w:rsidRDefault="001D27CE" w:rsidP="001D27CE">
            <w:pPr>
              <w:pStyle w:val="Nadpis2"/>
              <w:numPr>
                <w:ilvl w:val="0"/>
                <w:numId w:val="0"/>
              </w:numPr>
              <w:spacing w:before="120"/>
              <w:jc w:val="right"/>
              <w:rPr>
                <w:b/>
              </w:rPr>
            </w:pPr>
            <w:r>
              <w:rPr>
                <w:b/>
              </w:rPr>
              <w:t>48 080 Kč</w:t>
            </w:r>
          </w:p>
        </w:tc>
      </w:tr>
    </w:tbl>
    <w:p w14:paraId="05786044" w14:textId="77777777" w:rsidR="00976F61" w:rsidRDefault="000F5378">
      <w:pPr>
        <w:pStyle w:val="Nadpis2"/>
        <w:numPr>
          <w:ilvl w:val="0"/>
          <w:numId w:val="0"/>
        </w:numPr>
        <w:spacing w:after="0"/>
        <w:ind w:left="578"/>
      </w:pPr>
      <w:r>
        <w:t xml:space="preserve"> </w:t>
      </w:r>
    </w:p>
    <w:p w14:paraId="20BA203E" w14:textId="52FD501C" w:rsidR="003473F2" w:rsidRDefault="000F5378" w:rsidP="00C1619A">
      <w:pPr>
        <w:pStyle w:val="Nadpis2"/>
        <w:ind w:left="567" w:hanging="567"/>
      </w:pPr>
      <w:r>
        <w:t>Kupní cena je sjednána dohodou Smluvních stran podle zákona č. 526/1990 Sb., o cenách,</w:t>
      </w:r>
      <w:r w:rsidR="001D27CE">
        <w:br/>
      </w:r>
      <w:r>
        <w:t>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w:t>
      </w:r>
    </w:p>
    <w:p w14:paraId="1F73A38C" w14:textId="47438596" w:rsidR="00976F61" w:rsidRDefault="000F5378" w:rsidP="00C1619A">
      <w:pPr>
        <w:pStyle w:val="Nadpis2"/>
        <w:ind w:left="567" w:hanging="567"/>
      </w:pPr>
      <w:r>
        <w:t>Ke Kupní ceně bude v případě, že je Prodávající ke dni podpisu Smlouvy plátcem DPH, připočítána DPH v zákonem stanovené výši ke dni uskutečnění zdanitelného plnění.</w:t>
      </w:r>
    </w:p>
    <w:p w14:paraId="3255EE1A" w14:textId="5211B8EB" w:rsidR="00976F61" w:rsidRDefault="000F5378" w:rsidP="00C1619A">
      <w:pPr>
        <w:pStyle w:val="Nadpis2"/>
        <w:ind w:left="567" w:hanging="567"/>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1D4167">
        <w:t xml:space="preserve"> nebo její části, a to za každé Místo dodání, popř. za každou Oprávněnou osobu Kupujícího, zvlášť.</w:t>
      </w:r>
      <w:r w:rsidR="001D27CE">
        <w:t xml:space="preserve"> </w:t>
      </w:r>
      <w:r>
        <w:t>Přílohou Faktury bude kopie Dodacího listu bez výhrad podepsan</w:t>
      </w:r>
      <w:r w:rsidR="00A16723">
        <w:t>ého</w:t>
      </w:r>
      <w:r>
        <w:t xml:space="preserve"> oběma Smluvními stranami a splňující</w:t>
      </w:r>
      <w:r w:rsidR="00A16723">
        <w:t>ho</w:t>
      </w:r>
      <w:r>
        <w:t xml:space="preserve"> veškeré náležitosti dle Smlouvy.</w:t>
      </w:r>
    </w:p>
    <w:p w14:paraId="259C36C9" w14:textId="77777777" w:rsidR="00976F61" w:rsidRDefault="000F5378" w:rsidP="00C1619A">
      <w:pPr>
        <w:pStyle w:val="Nadpis2"/>
        <w:ind w:left="567" w:hanging="567"/>
        <w:rPr>
          <w:i/>
        </w:rPr>
      </w:pPr>
      <w:r>
        <w:t>Faktura bude obsahovat náležitosti obchodní listiny dle § 435 Občanského zákoníku a dále též:</w:t>
      </w:r>
    </w:p>
    <w:p w14:paraId="74EE809A" w14:textId="31369398" w:rsidR="00976F61" w:rsidRDefault="000F5378">
      <w:pPr>
        <w:pStyle w:val="Nadpis4"/>
        <w:numPr>
          <w:ilvl w:val="0"/>
          <w:numId w:val="15"/>
        </w:numPr>
        <w:ind w:left="1134" w:hanging="567"/>
      </w:pPr>
      <w:r>
        <w:t>odkaz na Smlouvu (číslo v CES uvedené v záhlaví Smlouvy)</w:t>
      </w:r>
      <w:r w:rsidR="001D27CE">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lastRenderedPageBreak/>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3CFF697A" w14:textId="15C45503" w:rsidR="00976F61" w:rsidRDefault="00C30151" w:rsidP="00C1619A">
      <w:pPr>
        <w:pStyle w:val="Nadpis2"/>
        <w:ind w:left="567" w:hanging="567"/>
      </w:pPr>
      <w:r>
        <w:t>Prodávající Fakturu doručí Kupujícímu v elektronické podobě (např. ve formátu PDF nebo</w:t>
      </w:r>
      <w:r w:rsidR="00492C7B">
        <w:br/>
      </w:r>
      <w:r>
        <w:t>ve formátu, který je v souladu s evropským standardem elektronické faktury nebo ve formátu popsaném vyhláškou č. 194/2009 Sb., o stanovení podrobností užívání a provozování informačního systému datových schránek</w:t>
      </w:r>
      <w:r w:rsidR="00492C7B">
        <w:t>,</w:t>
      </w:r>
      <w:r w:rsidR="00831BE6">
        <w:t xml:space="preserve"> </w:t>
      </w:r>
      <w:r w:rsidR="00492C7B">
        <w:t xml:space="preserve">nebo ve formátu zveřejněném na webových stránkách Kupujícího jako přijímané formáty podatelnou Kupujícího) do datové schránky Kupujícího nebo na e-mailovou adresu </w:t>
      </w:r>
      <w:r w:rsidR="00492C7B" w:rsidRPr="00ED074F">
        <w:rPr>
          <w:i/>
          <w:iCs/>
        </w:rPr>
        <w:t>posta@upv.gov.cz</w:t>
      </w:r>
      <w:r w:rsidR="00492C7B">
        <w:t xml:space="preserve"> nebo v listinné podobě na adresu sídla Kupujícího uvedené v záhlaví Smlouvy, popř. do řádně oznámené datové schránky či na adresu oznámenou postupem dle Smlouvy.</w:t>
      </w:r>
    </w:p>
    <w:p w14:paraId="2D7E498F" w14:textId="32219AD0" w:rsidR="00976F61" w:rsidRDefault="00831BE6" w:rsidP="00C1619A">
      <w:pPr>
        <w:pStyle w:val="Nadpis2"/>
        <w:ind w:left="567" w:hanging="567"/>
      </w:pPr>
      <w:r>
        <w:t>Splatnost Faktury činí</w:t>
      </w:r>
      <w:r w:rsidR="000F5378">
        <w:t xml:space="preserve"> 30 kalendářních dnů </w:t>
      </w:r>
      <w:r>
        <w:t>ode dne jejího doručení Kupujícímu</w:t>
      </w:r>
      <w:r w:rsidR="000F5378">
        <w:t>. Faktura</w:t>
      </w:r>
      <w:r w:rsidR="00492C7B">
        <w:br/>
      </w:r>
      <w:r w:rsidR="000F5378">
        <w:t>je považována za proplacenou okamžikem odepsání příslušné finanční částky z účtu Kupujícího ve prospěch účtu Prodávajícího.</w:t>
      </w:r>
    </w:p>
    <w:p w14:paraId="60D8BD6D" w14:textId="4E3CDE9A" w:rsidR="00976F61" w:rsidRDefault="000F5378" w:rsidP="00C1619A">
      <w:pPr>
        <w:pStyle w:val="Nadpis2"/>
        <w:ind w:left="567" w:hanging="567"/>
      </w:pPr>
      <w:r>
        <w:t>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w:t>
      </w:r>
    </w:p>
    <w:p w14:paraId="75E7ED90" w14:textId="4A27EDEF" w:rsidR="00976F61" w:rsidRDefault="000F5378" w:rsidP="00C1619A">
      <w:pPr>
        <w:pStyle w:val="Nadpis2"/>
        <w:ind w:left="567" w:hanging="567"/>
      </w:pPr>
      <w:r>
        <w:t>Prodávající souhlasí s tím, že Kupující neposkytuje jakékoliv zálohy na realizaci Dodávky. Veškeré platby budou probíhat výhradně v korunách českých a rovněž veškeré cenové údaje budou uvedeny v této měně</w:t>
      </w:r>
      <w:r w:rsidR="00492C7B">
        <w:t>.</w:t>
      </w:r>
    </w:p>
    <w:p w14:paraId="5D91ADE3" w14:textId="78FA9E86" w:rsidR="00976F61" w:rsidRDefault="000F5378" w:rsidP="00C1619A">
      <w:pPr>
        <w:pStyle w:val="Nadpis2"/>
        <w:ind w:left="567" w:hanging="567"/>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6774EDC4" w:rsidR="00976F61" w:rsidRDefault="000F5378" w:rsidP="00C1619A">
      <w:pPr>
        <w:pStyle w:val="Nadpis2"/>
        <w:ind w:left="567" w:hanging="567"/>
      </w:pPr>
      <w:r>
        <w:t>Prodávající prohlašuje, že správce daně před uzavřením Smlouvy nerozhodl, že Prodávající</w:t>
      </w:r>
      <w:r w:rsidR="00F14BD3">
        <w:br/>
      </w:r>
      <w:r>
        <w:t>je nespolehlivým plátcem ve smyslu § 106a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w:t>
      </w:r>
    </w:p>
    <w:p w14:paraId="0B2C4EF9" w14:textId="44462154" w:rsidR="00976F61" w:rsidRDefault="000F5378" w:rsidP="00C1619A">
      <w:pPr>
        <w:pStyle w:val="Nadpis2"/>
        <w:ind w:left="567" w:hanging="567"/>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r w:rsidR="00492C7B">
        <w:t>.</w:t>
      </w:r>
    </w:p>
    <w:p w14:paraId="3DDE5031" w14:textId="77777777" w:rsidR="00976F61" w:rsidRDefault="000F5378" w:rsidP="00C1619A">
      <w:pPr>
        <w:pStyle w:val="Nadpis2"/>
        <w:ind w:left="567" w:hanging="567"/>
      </w:pPr>
      <w:r>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rsidP="00C1619A">
      <w:pPr>
        <w:pStyle w:val="Nadpis2"/>
        <w:ind w:left="567" w:hanging="567"/>
      </w:pPr>
      <w:r>
        <w:lastRenderedPageBreak/>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t>práva a povinnosti smluvních stran</w:t>
      </w:r>
    </w:p>
    <w:p w14:paraId="6903FAE8" w14:textId="77777777" w:rsidR="00976F61" w:rsidRDefault="000F5378" w:rsidP="00C1619A">
      <w:pPr>
        <w:pStyle w:val="Nadpis2"/>
        <w:ind w:left="567" w:hanging="567"/>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263631DC" w:rsidR="00976F61" w:rsidRDefault="000F5378">
      <w:pPr>
        <w:pStyle w:val="Nadpis4"/>
        <w:numPr>
          <w:ilvl w:val="0"/>
          <w:numId w:val="9"/>
        </w:numPr>
        <w:ind w:left="1134" w:hanging="567"/>
      </w:pPr>
      <w:r>
        <w:t>Kupující se zavazuje zkontrolovat soulad Dodacího listu se skutečně dodanou Dodávkou;</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rsidP="00C1619A">
      <w:pPr>
        <w:pStyle w:val="Nadpis2"/>
        <w:ind w:left="567" w:hanging="567"/>
      </w:pPr>
      <w:r>
        <w:t>Povinnosti Prodávajícího:</w:t>
      </w:r>
    </w:p>
    <w:p w14:paraId="2BF6AC05" w14:textId="5840FF83" w:rsidR="00976F61" w:rsidRDefault="000F5378">
      <w:pPr>
        <w:pStyle w:val="Nadpis4"/>
        <w:numPr>
          <w:ilvl w:val="0"/>
          <w:numId w:val="10"/>
        </w:numPr>
        <w:ind w:left="1134" w:hanging="567"/>
      </w:pPr>
      <w:r>
        <w:t>Prodávající je povinen včas odevzdat Kupujícímu Dodávku v dohodnutém množství</w:t>
      </w:r>
      <w:r w:rsidR="000164CC">
        <w:br/>
      </w:r>
      <w:r>
        <w:t>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Prodávající se zavazuje zajistit Dodávku dle Smlouvy v souladu se zájmy Kupujícího a při veškeré své činnosti dbát jeho dobrého jména a nedopustit se jednání, které by mohlo dobré jméno Kupujícího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4A470B29"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w:t>
      </w:r>
      <w:r w:rsidR="008F69A2">
        <w:t xml:space="preserve"> </w:t>
      </w:r>
      <w:r>
        <w:t>%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w:t>
      </w:r>
      <w:r w:rsidR="00885E7F">
        <w:t>zavedení dynamického nákupního systému</w:t>
      </w:r>
      <w:r>
        <w:t>;</w:t>
      </w:r>
    </w:p>
    <w:p w14:paraId="2BBE9357" w14:textId="7E695753" w:rsidR="00976F61" w:rsidRDefault="000F5378">
      <w:pPr>
        <w:pStyle w:val="Nadpis4"/>
        <w:numPr>
          <w:ilvl w:val="0"/>
          <w:numId w:val="10"/>
        </w:numPr>
        <w:ind w:left="1134" w:hanging="567"/>
      </w:pPr>
      <w:r>
        <w:t>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w:t>
      </w:r>
      <w:r w:rsidR="00764310">
        <w:t>,</w:t>
      </w:r>
      <w:r>
        <w:t xml:space="preserve"> a Zákon </w:t>
      </w:r>
      <w:r>
        <w:br/>
      </w:r>
      <w:r>
        <w:lastRenderedPageBreak/>
        <w:t>o DPH); Prodávající se zavazuje, že s auditními a kontrolními orgány podle tohoto písm. bude na výzvu spolupracovat a poskytne jim odpovídající součinnost;</w:t>
      </w:r>
    </w:p>
    <w:p w14:paraId="051B0A63" w14:textId="520C5CE6"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t>č. 269/2014 a nařízení Rady (EU) č. 833/2014</w:t>
      </w:r>
      <w:r w:rsidR="00653246">
        <w:t>,</w:t>
      </w:r>
      <w:r>
        <w:t xml:space="preserve"> v platném znění</w:t>
      </w:r>
      <w:r w:rsidR="00653246">
        <w:t>,</w:t>
      </w:r>
      <w:r>
        <w:t xml:space="preserve"> či jiné mezinárodní</w:t>
      </w:r>
      <w:r w:rsidR="00653246">
        <w:br/>
      </w:r>
      <w:r>
        <w:t xml:space="preserve">sankce uznávané Českou republikou; pokud sám Prodávající začne podléhat takovým mezinárodním sankcím, je povinen o této skutečnosti Kupujícího bezodkladně informovat; porušení povinností, uvedených pod tímto písm. </w:t>
      </w:r>
      <w:r w:rsidR="00D65CDE">
        <w:t>h</w:t>
      </w:r>
      <w:r>
        <w:t>) se považuje za podstatné porušení Smlouvy a zakládá právo Kupujícího od Smlouvy odstoupit v souladu s článkem 12.5</w:t>
      </w:r>
      <w:r w:rsidR="00653246">
        <w:br/>
      </w:r>
      <w:r>
        <w:t>písm. i) Smlouvy;</w:t>
      </w:r>
    </w:p>
    <w:p w14:paraId="492739F6" w14:textId="3336F733"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w:t>
      </w:r>
      <w:r w:rsidR="00096F03">
        <w:br/>
      </w:r>
      <w:r>
        <w:t>ve znění pozdějších předpisů (dále „</w:t>
      </w:r>
      <w:r>
        <w:rPr>
          <w:b/>
        </w:rPr>
        <w:t>ZFK</w:t>
      </w:r>
      <w:r>
        <w:t>“),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w:t>
      </w:r>
      <w:r w:rsidR="00096F03">
        <w:br/>
      </w:r>
      <w:r>
        <w:t>se</w:t>
      </w:r>
      <w:r w:rsidR="00096F03">
        <w:t xml:space="preserve"> </w:t>
      </w:r>
      <w:r>
        <w:t>k předmětné Veřejné zakázce a poskytnout jim součinnost</w:t>
      </w:r>
      <w:r w:rsidR="00096F03">
        <w:t>;</w:t>
      </w:r>
    </w:p>
    <w:p w14:paraId="00E7658B" w14:textId="77777777" w:rsidR="00976F61" w:rsidRDefault="000F5378">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6C08744C" w:rsidR="00976F61" w:rsidRDefault="000F5378" w:rsidP="00C1619A">
      <w:pPr>
        <w:pStyle w:val="Nadpis2"/>
        <w:ind w:left="567" w:hanging="567"/>
      </w:pPr>
      <w:r>
        <w:t>Prodávající odpovídá za včasné a řádné zajištění Dodávky dle Smlouvy. Prodávající je zejména povinen dodat Dodávku v souladu s požadavky (zejména Technickými podmínkami Dodávky)</w:t>
      </w:r>
      <w:r w:rsidR="00996D9D">
        <w:br/>
      </w:r>
      <w:r>
        <w:t>a při dodržení povinností sjednaných v</w:t>
      </w:r>
      <w:r w:rsidR="004C31A8">
        <w:t>e</w:t>
      </w:r>
      <w:r>
        <w:t xml:space="preserve"> Smlouvě. Kupující je povinen řádně dodanou Dodávku převzít a zaplatit za ni dohodnutou Kupní cenu.</w:t>
      </w:r>
    </w:p>
    <w:p w14:paraId="2D62EA0E" w14:textId="0ACF1A01" w:rsidR="00976F61" w:rsidRDefault="000F5378" w:rsidP="00C1619A">
      <w:pPr>
        <w:pStyle w:val="Nadpis2"/>
        <w:ind w:left="567" w:hanging="567"/>
      </w:pPr>
      <w:r>
        <w:t>Prodávající odpovídá Kupujícímu za vady, které má Dodávka v době předání. Nemá-li Dodávka vlastnosti stanovené Smlouvou a ustanovením § 2095, 2096 a 2097 Občanského zákoníku</w:t>
      </w:r>
      <w:r w:rsidR="00996D9D">
        <w:t>,</w:t>
      </w:r>
      <w:r w:rsidR="00996D9D">
        <w:br/>
      </w:r>
      <w:r>
        <w:t>má vady. Za vady se pro účely Smlouvy považuje i dodání jiného množství nebo jiného typu Dodávky. Vadou Dodávky jsou rovněž vady v dokladech nutných k užívání Dodávky.</w:t>
      </w:r>
    </w:p>
    <w:p w14:paraId="46B9E557" w14:textId="250259C5" w:rsidR="00976F61" w:rsidRDefault="000F5378" w:rsidP="00C1619A">
      <w:pPr>
        <w:pStyle w:val="Nadpis2"/>
        <w:ind w:left="567" w:hanging="567"/>
      </w:pPr>
      <w:r>
        <w:t>Vady, které Kupující zjistí až po převzetí Dodávky, je Prodávající povinen odstranit nejpozději</w:t>
      </w:r>
      <w:r w:rsidR="00996D9D">
        <w:br/>
      </w:r>
      <w:r>
        <w:t xml:space="preserve">do 2 pracovních dnů od doručení reklamace, přičemž Kupující uplatní reklamaci formou e-mailové zprávy zaslané </w:t>
      </w:r>
      <w:r w:rsidR="004C31A8">
        <w:t xml:space="preserve">příslušné </w:t>
      </w:r>
      <w:r>
        <w:t>Oprávněné osobě Prodávajícího nebo formou datové zprávy zaslané do datové schránky Prodávajícího. Prodávající odstraní vady bezúplatně dodáním náhradního plnění v množství, druhu a jakosti dle Smlouvy. Pro vyloučení pochybností se sjednává,</w:t>
      </w:r>
      <w:r w:rsidR="00996D9D">
        <w:br/>
      </w:r>
      <w:r>
        <w:t>že převzetím Dodávky není dotčeno právo Kupujícího uplatňovat práva z vad, které byly zjistitelné, ale nebyly zjištěny při převzetí.</w:t>
      </w:r>
    </w:p>
    <w:p w14:paraId="64A014AB" w14:textId="4B53C65A" w:rsidR="00976F61" w:rsidRDefault="000F5378" w:rsidP="00C1619A">
      <w:pPr>
        <w:pStyle w:val="Nadpis2"/>
        <w:ind w:left="567" w:hanging="567"/>
      </w:pPr>
      <w:r>
        <w:t>Prodávající je povinen na Dodávku poskytnout záruku za jakost, která bude zaručovat,</w:t>
      </w:r>
      <w:r w:rsidR="00996D9D">
        <w:br/>
      </w:r>
      <w:r>
        <w:t xml:space="preserve">že Dodávka bude odpovídat Technickým podmínkám Dodávky, podmínkám stanoveným v článku 4 Smlouvy a bude prostá právních vad. Prodávajícím bude poskytnuta záruční doba v délce 6 </w:t>
      </w:r>
      <w:r>
        <w:lastRenderedPageBreak/>
        <w:t>měsíců, která začíná běžet okamžikem převzetí Dodávky nebo její části Kupujícím,</w:t>
      </w:r>
      <w:r w:rsidR="00122F44">
        <w:t xml:space="preserve"> </w:t>
      </w:r>
      <w:r>
        <w:t>tj. podpisem Dodacího listu stvrzujícím převzetí Dodávky bez ohledu na případné výhrady Kupujícího.</w:t>
      </w:r>
    </w:p>
    <w:p w14:paraId="6C45CAB2" w14:textId="77F9DF28" w:rsidR="00976F61" w:rsidRDefault="000F5378" w:rsidP="00C1619A">
      <w:pPr>
        <w:pStyle w:val="Nadpis2"/>
        <w:ind w:left="567" w:hanging="567"/>
      </w:pPr>
      <w:r>
        <w:t>Kupující si vyhrazuje právo předat dodanou Dodávku ke kontrole plnění technických parametrů akreditovanému pracovišti. Nebude-li vzorek splňovat požadované technické parametry stanovené Smlouvou, jedná se ze strany Prodávajícího o podstatné porušení Smlouvy</w:t>
      </w:r>
      <w:r w:rsidR="00122F44">
        <w:br/>
      </w:r>
      <w:r>
        <w:t>a Prodávající je povinen na základě výzvy uhradit veškeré náklady spojené s provedením akreditované zkoušky.</w:t>
      </w:r>
    </w:p>
    <w:p w14:paraId="4C7E020E" w14:textId="171A77ED" w:rsidR="00976F61" w:rsidRDefault="000F5378" w:rsidP="00C1619A">
      <w:pPr>
        <w:pStyle w:val="Nadpis2"/>
        <w:ind w:left="567" w:hanging="567"/>
      </w:pPr>
      <w:r>
        <w:t>Nestanoví-li Smlouva jinak, řídí se odpovědnost za vady ustanoveními § 2099 a násl. Občanského zákoníku o právech z vadného plnění a záruce za jakost.</w:t>
      </w:r>
    </w:p>
    <w:p w14:paraId="1921A270" w14:textId="1D4625CC" w:rsidR="00976F61" w:rsidRDefault="000F5378" w:rsidP="00C1619A">
      <w:pPr>
        <w:pStyle w:val="Nadpis2"/>
        <w:ind w:left="567" w:hanging="567"/>
      </w:pPr>
      <w:r>
        <w:t xml:space="preserve">Pokud Kupující nemůže Dodávku nebo její část pro vady užívat, prodlužuje se záruční doba </w:t>
      </w:r>
      <w:r>
        <w:br/>
        <w:t>o dobu od oznámení vad Prodávajícímu do jejich úplného odstranění.</w:t>
      </w:r>
    </w:p>
    <w:p w14:paraId="3A6163E0" w14:textId="49EFE276" w:rsidR="00976F61" w:rsidRDefault="000F5378" w:rsidP="00C1619A">
      <w:pPr>
        <w:pStyle w:val="Nadpis2"/>
        <w:ind w:left="567" w:hanging="567"/>
      </w:pPr>
      <w:r>
        <w:t>Dodáním náhradního plnění či odstraněním vad není dotčena odpovědnost Prodávajícího</w:t>
      </w:r>
      <w:r w:rsidR="00996D9D">
        <w:br/>
      </w:r>
      <w:r>
        <w:t>za způsobenou škodu.</w:t>
      </w:r>
    </w:p>
    <w:p w14:paraId="45416343" w14:textId="77777777" w:rsidR="00976F61" w:rsidRDefault="000F5378">
      <w:pPr>
        <w:pStyle w:val="Nadpis1"/>
      </w:pPr>
      <w:r>
        <w:t>odpovědnost za škodu</w:t>
      </w:r>
    </w:p>
    <w:p w14:paraId="7889E7D7" w14:textId="77777777" w:rsidR="00976F61" w:rsidRDefault="000F5378" w:rsidP="00C1619A">
      <w:pPr>
        <w:pStyle w:val="Nadpis2"/>
        <w:ind w:left="567" w:hanging="567"/>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5A3E69E9" w:rsidR="00976F61" w:rsidRDefault="000F5378" w:rsidP="00C1619A">
      <w:pPr>
        <w:pStyle w:val="Nadpis2"/>
        <w:ind w:left="567" w:hanging="567"/>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w:t>
      </w:r>
      <w:r w:rsidR="00012F3E">
        <w:br/>
      </w:r>
      <w:r>
        <w:t>na Kupujícího, pokud Kupující porušení své právní povinnosti nemohl z důvodu porušení povinnosti Prodávajícího zabránit. Škodou vzniklou porušením právní povinnosti Prodávajícího</w:t>
      </w:r>
      <w:r w:rsidR="00012F3E">
        <w:br/>
      </w:r>
      <w:r>
        <w:t>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rsidP="00C1619A">
      <w:pPr>
        <w:pStyle w:val="Nadpis2"/>
        <w:ind w:left="567" w:hanging="567"/>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rsidP="00C1619A">
      <w:pPr>
        <w:pStyle w:val="Nadpis2"/>
        <w:ind w:left="567" w:hanging="567"/>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rsidP="00C1619A">
      <w:pPr>
        <w:pStyle w:val="Nadpis2"/>
        <w:ind w:left="567" w:hanging="567"/>
      </w:pPr>
      <w:r>
        <w:t>Škodu hradí škůdce v penězích, nežádá-li poškozený uvedení do předešlého stavu.</w:t>
      </w:r>
    </w:p>
    <w:p w14:paraId="2809E1BA" w14:textId="77777777" w:rsidR="00976F61" w:rsidRDefault="000F5378" w:rsidP="00C1619A">
      <w:pPr>
        <w:pStyle w:val="Nadpis2"/>
        <w:ind w:left="567" w:hanging="567"/>
      </w:pPr>
      <w:r>
        <w:t>Náhrada škody je splatná ve lhůtě 30 kalendářních dnů od doručení písemné výzvy oprávněné Smluvní strany Smluvní straně povinné z náhrady škody, pokud se Smluvní strany nedohodnou jinak.</w:t>
      </w:r>
    </w:p>
    <w:p w14:paraId="1E2554FE" w14:textId="5DE87A81" w:rsidR="00976F61" w:rsidRDefault="000F5378" w:rsidP="00C1619A">
      <w:pPr>
        <w:pStyle w:val="Nadpis2"/>
        <w:ind w:left="567" w:hanging="567"/>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w:t>
      </w:r>
      <w:r w:rsidR="00122F44">
        <w:br/>
      </w:r>
      <w:r>
        <w:t>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w:t>
      </w:r>
      <w:r w:rsidR="00122F44">
        <w:br/>
      </w:r>
      <w:r>
        <w:t>a překonání.</w:t>
      </w:r>
    </w:p>
    <w:p w14:paraId="193A6580" w14:textId="77777777" w:rsidR="00976F61" w:rsidRDefault="000F5378">
      <w:pPr>
        <w:pStyle w:val="Nadpis1"/>
      </w:pPr>
      <w:r>
        <w:lastRenderedPageBreak/>
        <w:t>pojištění</w:t>
      </w:r>
    </w:p>
    <w:p w14:paraId="70548F14" w14:textId="3252EBF6" w:rsidR="00976F61" w:rsidRDefault="000F5378" w:rsidP="00C1619A">
      <w:pPr>
        <w:pStyle w:val="Nadpis2"/>
        <w:keepLines/>
        <w:ind w:left="567" w:hanging="567"/>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w:t>
      </w:r>
    </w:p>
    <w:p w14:paraId="7701D937" w14:textId="6DF5F4C4" w:rsidR="00976F61" w:rsidRDefault="000F5378" w:rsidP="00C1619A">
      <w:pPr>
        <w:pStyle w:val="Nadpis2"/>
        <w:keepLines/>
        <w:ind w:left="567" w:hanging="567"/>
      </w:pPr>
      <w:r>
        <w:t>Pojištění bude pokrývat odpovědnost za újmu, která vznikne při a/nebo v souvislosti s dodáním Dodávky, tj.: (i) újma na zdraví, (ii) škoda na věci včetně jejího poškození, zničení nebo ztráty, (iii) jiná majetková škoda z toho vyplývající. Pojištění bude Prodávajícím uzavřeno s limitem pojistného plnění ve výši minimálně 500</w:t>
      </w:r>
      <w:r w:rsidR="00732034">
        <w:t xml:space="preserve"> </w:t>
      </w:r>
      <w:r>
        <w:t>000 Kč.</w:t>
      </w:r>
    </w:p>
    <w:bookmarkEnd w:id="2"/>
    <w:bookmarkEnd w:id="3"/>
    <w:p w14:paraId="1CF70300" w14:textId="169EC03B" w:rsidR="00976F61" w:rsidRDefault="000F5378" w:rsidP="00C1619A">
      <w:pPr>
        <w:pStyle w:val="Nadpis2"/>
        <w:ind w:left="567" w:hanging="567"/>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rsidP="00C1619A">
      <w:pPr>
        <w:pStyle w:val="Nadpis2"/>
        <w:ind w:left="567" w:hanging="567"/>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rsidP="00C1619A">
      <w:pPr>
        <w:pStyle w:val="Nadpis2"/>
        <w:ind w:left="567" w:hanging="567"/>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rsidP="00C1619A">
      <w:pPr>
        <w:pStyle w:val="Nadpis2"/>
        <w:widowControl w:val="0"/>
        <w:ind w:left="567" w:hanging="567"/>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rsidP="00C1619A">
      <w:pPr>
        <w:pStyle w:val="Nadpis2"/>
        <w:keepNext/>
        <w:ind w:left="567" w:hanging="567"/>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t>které budou Prodávajícímu po uzavření Smlouvy sděleny bez závazku mlčenlivosti třetí stranou, jež rovněž není ve vztahu k těmto informacím nijak vázána.</w:t>
      </w:r>
    </w:p>
    <w:p w14:paraId="576BC8D8" w14:textId="37AA0305" w:rsidR="00976F61" w:rsidRDefault="000F5378" w:rsidP="00C1619A">
      <w:pPr>
        <w:pStyle w:val="Nadpis2"/>
        <w:ind w:left="567" w:hanging="567"/>
      </w:pPr>
      <w:r>
        <w:t xml:space="preserve">Jako s Neveřejnými informacemi musí být nakládáno také s informacemi, které splňují podmínky uvedené v článku 10.1 Smlouvy, i když byly získané náhodně nebo bez vědomí Kupujícího, a dále </w:t>
      </w:r>
      <w:r>
        <w:lastRenderedPageBreak/>
        <w:t>s veškerými informacemi získanými od jakékoliv třetí strany, pokud se týkají Kupujícího či plnění Smlouvy.</w:t>
      </w:r>
    </w:p>
    <w:p w14:paraId="5D04EC4B" w14:textId="5DFF3150" w:rsidR="00976F61" w:rsidRDefault="000F5378" w:rsidP="00C1619A">
      <w:pPr>
        <w:pStyle w:val="Nadpis2"/>
        <w:ind w:left="567" w:hanging="567"/>
      </w:pPr>
      <w:r>
        <w:t>Prodávající se zavazuje, že Neveřejné informace užije pouze za účelem plnění Smlouvy. K jinému použití je třeba předchozí písemný souhlas Kupujícího.</w:t>
      </w:r>
    </w:p>
    <w:p w14:paraId="20E9F3AE" w14:textId="77777777" w:rsidR="00976F61" w:rsidRDefault="000F5378" w:rsidP="00C1619A">
      <w:pPr>
        <w:pStyle w:val="Nadpis2"/>
        <w:ind w:left="567" w:hanging="567"/>
      </w:pPr>
      <w:r>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rsidP="00C1619A">
      <w:pPr>
        <w:pStyle w:val="Nadpis2"/>
        <w:ind w:left="567" w:hanging="567"/>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69B903E8" w:rsidR="00976F61" w:rsidRDefault="000F5378" w:rsidP="00C1619A">
      <w:pPr>
        <w:pStyle w:val="Nadpis2"/>
        <w:ind w:left="567" w:hanging="567"/>
      </w:pPr>
      <w:r>
        <w:t>V případě, že Prodávající bude v prodlení s dodáním Dodávky dle článku 3.1 Smlouvy,</w:t>
      </w:r>
      <w:r w:rsidR="00732034">
        <w:br/>
      </w:r>
      <w:r>
        <w:t>je Kupující oprávněn požadovat úhradu smluvní pokuty ve výši 0,25</w:t>
      </w:r>
      <w:r w:rsidR="00327396">
        <w:t xml:space="preserve"> </w:t>
      </w:r>
      <w:r>
        <w:t>%</w:t>
      </w:r>
      <w:r w:rsidR="00327396">
        <w:t xml:space="preserve"> </w:t>
      </w:r>
      <w:r>
        <w:t>ceny Dodávky</w:t>
      </w:r>
      <w:r w:rsidR="00327396">
        <w:t xml:space="preserve"> včetně DPH</w:t>
      </w:r>
      <w:r>
        <w:t>, s níž je Prodávající v prodlení, a to za každý započatý pracovní den prodlení. Kupující</w:t>
      </w:r>
      <w:r w:rsidR="00732034">
        <w:br/>
      </w:r>
      <w:r>
        <w:t>je oprávněn smluvní pokutu dle tohoto článku účtovat, pokud smluvní pokuta z prodlení v úhrnu přesáhne částku 100 Kč.</w:t>
      </w:r>
    </w:p>
    <w:p w14:paraId="5435732C" w14:textId="265CB609" w:rsidR="00976F61" w:rsidRDefault="000F5378" w:rsidP="00C1619A">
      <w:pPr>
        <w:pStyle w:val="Nadpis2"/>
        <w:ind w:left="567" w:hanging="567"/>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3DFB38A6" w:rsidR="00976F61" w:rsidRDefault="000F5378" w:rsidP="00C1619A">
      <w:pPr>
        <w:pStyle w:val="Nadpis2"/>
        <w:ind w:left="567" w:hanging="567"/>
      </w:pPr>
      <w:r>
        <w:t>V případě, že Prodávající poruší povinnost uvedenou v článku 5.12 Smlouvy týkající</w:t>
      </w:r>
      <w:r w:rsidR="00732034">
        <w:br/>
      </w:r>
      <w:r>
        <w:t>se neoznámení vydání rozhodnutí správce daně o tom, že Prodávající je Nespolehlivým plátcem, je Kupující oprávněn požadovat úhradu smluvní pokuty ve výši 1</w:t>
      </w:r>
      <w:r w:rsidR="00732034">
        <w:t xml:space="preserve"> </w:t>
      </w:r>
      <w:r>
        <w:t>000 Kč za každý započatý den prodlení.</w:t>
      </w:r>
    </w:p>
    <w:p w14:paraId="34DB0895" w14:textId="3AD2F7DF" w:rsidR="00976F61" w:rsidRDefault="000F5378" w:rsidP="00C1619A">
      <w:pPr>
        <w:pStyle w:val="Nadpis2"/>
        <w:ind w:left="567" w:hanging="567"/>
      </w:pPr>
      <w:r>
        <w:t>V případě, že Prodávající nesplní některou z Technických podmínek Dodávky uvedených v Příloze č. 1 Smlouvy nebo jiných podmínek uvedených v článku 4 Smlouvy, je Kupující oprávněn požadovat úhradu smluvní pokuty ve výši 1</w:t>
      </w:r>
      <w:r w:rsidR="00732034">
        <w:t xml:space="preserve"> </w:t>
      </w:r>
      <w:r>
        <w:t>000 Kč za každé porušení povinnosti Prodávajícího.</w:t>
      </w:r>
    </w:p>
    <w:p w14:paraId="51E51DC2" w14:textId="2E8F0684" w:rsidR="00976F61" w:rsidRDefault="000F5378" w:rsidP="00C1619A">
      <w:pPr>
        <w:pStyle w:val="Nadpis2"/>
        <w:ind w:left="567" w:hanging="567"/>
      </w:pPr>
      <w:r>
        <w:t xml:space="preserve">V případě, že Prodávající v rozporu s povinností dle článku 6.2 písm. </w:t>
      </w:r>
      <w:r w:rsidR="00732034">
        <w:t>i</w:t>
      </w:r>
      <w:r>
        <w:t>) Smlouvy</w:t>
      </w:r>
      <w:r w:rsidR="00732034">
        <w:rPr>
          <w:rFonts w:cs="Arial"/>
          <w:snapToGrid w:val="0"/>
        </w:rPr>
        <w:t xml:space="preserve"> </w:t>
      </w:r>
      <w:r>
        <w:t>neumožní osobám oprávněným k výkonu kontroly provést kontrolu dokladů souvisejících s realizací Veřejné zakázky, je Kupující oprávněn požadovat úhradu smluvní pokuty ve výši 2</w:t>
      </w:r>
      <w:r w:rsidR="00732034">
        <w:t xml:space="preserve"> </w:t>
      </w:r>
      <w:r>
        <w:t>000 Kč za každé porušení povinnosti Prodávajícího.</w:t>
      </w:r>
    </w:p>
    <w:p w14:paraId="5DB38F50" w14:textId="165EFB17" w:rsidR="00976F61" w:rsidRDefault="000F5378" w:rsidP="00C1619A">
      <w:pPr>
        <w:pStyle w:val="Nadpis2"/>
        <w:ind w:left="567" w:hanging="567"/>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rsidP="00C1619A">
      <w:pPr>
        <w:pStyle w:val="Nadpis2"/>
        <w:ind w:left="567" w:hanging="567"/>
      </w:pPr>
      <w:r>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40F26EAD" w:rsidR="00976F61" w:rsidRDefault="000F5378" w:rsidP="00C1619A">
      <w:pPr>
        <w:pStyle w:val="Nadpis2"/>
        <w:ind w:left="567" w:hanging="567"/>
      </w:pPr>
      <w:r>
        <w:t xml:space="preserve">V případě, že Prodávající poruší smluvní povinnost týkající se </w:t>
      </w:r>
      <w:r w:rsidR="00360D31">
        <w:t>P</w:t>
      </w:r>
      <w:r w:rsidR="00327396">
        <w:t xml:space="preserve">ojištění uvedenou v článcích 9.1, 9.2 a 9.3 Smlouvy nebo smluvní povinnost týkající se </w:t>
      </w:r>
      <w:r>
        <w:t>mlčenlivosti uvedenou v článku 10 Smlouvy nebo povinnost dle článku 13.9 Smlouvy, je Kupující oprávněn požadovat úhradu smluvní pokuty ve výši 10</w:t>
      </w:r>
      <w:r w:rsidR="00732034">
        <w:t xml:space="preserve"> </w:t>
      </w:r>
      <w:r>
        <w:t>000 Kč za každý jednotlivý případ porušení.</w:t>
      </w:r>
    </w:p>
    <w:p w14:paraId="5489848B" w14:textId="2F8CB81E" w:rsidR="00976F61" w:rsidRDefault="000F5378" w:rsidP="00C1619A">
      <w:pPr>
        <w:pStyle w:val="Nadpis2"/>
        <w:ind w:left="567" w:hanging="567"/>
      </w:pPr>
      <w:r>
        <w:t>V případě, že Prodávající v rozporu s povinností dle článku 12.6 Smlouvy nebude informovat Kupujícího o skutečnostech uvedených v článku 12.5 písm. f) až h) Smlouvy, je Kupující oprávněn požadovat úhradu smluvní pokuty ve výši 5</w:t>
      </w:r>
      <w:r w:rsidR="00732034">
        <w:t xml:space="preserve"> </w:t>
      </w:r>
      <w:r>
        <w:t>000 Kč</w:t>
      </w:r>
      <w:r w:rsidR="00F34608">
        <w:t xml:space="preserve"> za každý jednotlivý případ porušení</w:t>
      </w:r>
      <w:r>
        <w:t>.</w:t>
      </w:r>
    </w:p>
    <w:p w14:paraId="2ECBBCFD" w14:textId="7C406B2F" w:rsidR="00763C08" w:rsidRPr="00763C08" w:rsidRDefault="00D22F37" w:rsidP="00C1619A">
      <w:pPr>
        <w:pStyle w:val="Nadpis2"/>
        <w:ind w:left="567" w:hanging="567"/>
      </w:pPr>
      <w:r w:rsidRPr="00D22F37">
        <w:rPr>
          <w:rFonts w:cs="Arial"/>
          <w:szCs w:val="20"/>
        </w:rPr>
        <w:lastRenderedPageBreak/>
        <w:t xml:space="preserve">V případě, že Prodávající poruší některou smluvní povinnost dle článku 6.2 písm. </w:t>
      </w:r>
      <w:r w:rsidR="00D65CDE">
        <w:rPr>
          <w:rFonts w:cs="Arial"/>
          <w:szCs w:val="20"/>
        </w:rPr>
        <w:t>h</w:t>
      </w:r>
      <w:r w:rsidRPr="00D22F37">
        <w:rPr>
          <w:rFonts w:cs="Arial"/>
          <w:szCs w:val="20"/>
        </w:rPr>
        <w:t>) Smlouvy, má Kupující právo požadovat úhradu smluvní pokuty za každý jednotlivý případ porušení až do výše 1</w:t>
      </w:r>
      <w:r w:rsidR="001A7811">
        <w:rPr>
          <w:rFonts w:cs="Arial"/>
          <w:szCs w:val="20"/>
        </w:rPr>
        <w:t> </w:t>
      </w:r>
      <w:r w:rsidRPr="00D22F37">
        <w:rPr>
          <w:rFonts w:cs="Arial"/>
          <w:szCs w:val="20"/>
        </w:rPr>
        <w:t>000</w:t>
      </w:r>
      <w:r w:rsidR="001A7811">
        <w:rPr>
          <w:rFonts w:cs="Arial"/>
          <w:szCs w:val="20"/>
        </w:rPr>
        <w:t xml:space="preserve"> </w:t>
      </w:r>
      <w:r w:rsidRPr="00D22F37">
        <w:rPr>
          <w:rFonts w:cs="Arial"/>
          <w:szCs w:val="20"/>
        </w:rPr>
        <w:t>000 Kč. Výjimkou je, pokud Kupní cena dle článku 5.1 Smlouvy nedosahuje částky 1</w:t>
      </w:r>
      <w:r w:rsidR="001A7811">
        <w:rPr>
          <w:rFonts w:cs="Arial"/>
          <w:szCs w:val="20"/>
        </w:rPr>
        <w:t> </w:t>
      </w:r>
      <w:r w:rsidRPr="00D22F37">
        <w:rPr>
          <w:rFonts w:cs="Arial"/>
          <w:szCs w:val="20"/>
        </w:rPr>
        <w:t>000</w:t>
      </w:r>
      <w:r w:rsidR="001A7811">
        <w:rPr>
          <w:rFonts w:cs="Arial"/>
          <w:szCs w:val="20"/>
        </w:rPr>
        <w:t xml:space="preserve"> </w:t>
      </w:r>
      <w:r w:rsidRPr="00D22F37">
        <w:rPr>
          <w:rFonts w:cs="Arial"/>
          <w:szCs w:val="20"/>
        </w:rPr>
        <w:t>000 Kč - v tomto případě se stanovuje smluvní pokuta ve výši Kupní ceny.</w:t>
      </w:r>
    </w:p>
    <w:p w14:paraId="3AAE99F2" w14:textId="6355E00C" w:rsidR="00976F61" w:rsidRDefault="000F5378" w:rsidP="00C1619A">
      <w:pPr>
        <w:pStyle w:val="Nadpis2"/>
        <w:ind w:left="567" w:hanging="567"/>
      </w:pPr>
      <w:r>
        <w:rPr>
          <w:rFonts w:cs="Arial"/>
          <w:szCs w:val="20"/>
        </w:rPr>
        <w:t>Kupující má právo požadovat úhradu smluvní pokuty ve výši 100</w:t>
      </w:r>
      <w:r w:rsidR="001A7811">
        <w:rPr>
          <w:rFonts w:cs="Arial"/>
          <w:szCs w:val="20"/>
        </w:rPr>
        <w:t xml:space="preserve"> </w:t>
      </w:r>
      <w:r>
        <w:rPr>
          <w:rFonts w:cs="Arial"/>
          <w:szCs w:val="20"/>
        </w:rPr>
        <w:t xml:space="preserve">000 Kč za každý jednotlivý případ, kdy Prodávající poruší smluvní povinnost dle článku 6.2 písm. </w:t>
      </w:r>
      <w:r w:rsidR="001A7811">
        <w:rPr>
          <w:rFonts w:cs="Arial"/>
          <w:szCs w:val="20"/>
        </w:rPr>
        <w:t>e</w:t>
      </w:r>
      <w:r>
        <w:rPr>
          <w:rFonts w:cs="Arial"/>
          <w:szCs w:val="20"/>
        </w:rPr>
        <w:t>) Smlouvy</w:t>
      </w:r>
      <w:r w:rsidR="00181596">
        <w:rPr>
          <w:rFonts w:cs="Arial"/>
          <w:szCs w:val="20"/>
        </w:rPr>
        <w:t xml:space="preserve"> </w:t>
      </w:r>
      <w:r>
        <w:rPr>
          <w:rFonts w:cs="Arial"/>
          <w:szCs w:val="20"/>
        </w:rPr>
        <w:t>(informovat</w:t>
      </w:r>
      <w:r w:rsidR="001A7811">
        <w:rPr>
          <w:rFonts w:cs="Arial"/>
          <w:szCs w:val="20"/>
        </w:rPr>
        <w:br/>
      </w:r>
      <w:r>
        <w:rPr>
          <w:rFonts w:cs="Arial"/>
          <w:szCs w:val="20"/>
        </w:rPr>
        <w:t>o změně vlastnické struktury v dané lhůtě) a zároveň</w:t>
      </w:r>
      <w:r>
        <w:t xml:space="preserve"> alespoň 25</w:t>
      </w:r>
      <w:r w:rsidR="001A7811">
        <w:t xml:space="preserve"> </w:t>
      </w:r>
      <w:r>
        <w:t>%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w:t>
      </w:r>
      <w:r w:rsidR="001A7811">
        <w:rPr>
          <w:rFonts w:cs="Arial"/>
          <w:szCs w:val="20"/>
        </w:rPr>
        <w:t xml:space="preserve"> </w:t>
      </w:r>
      <w:r>
        <w:rPr>
          <w:rFonts w:cs="Arial"/>
          <w:szCs w:val="20"/>
        </w:rPr>
        <w:t>000 Kč</w:t>
      </w:r>
      <w:r w:rsidR="00360D31">
        <w:rPr>
          <w:rFonts w:cs="Arial"/>
          <w:szCs w:val="20"/>
        </w:rPr>
        <w:t xml:space="preserve"> -</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rsidP="00C1619A">
      <w:pPr>
        <w:pStyle w:val="Nadpis2"/>
        <w:ind w:left="567" w:hanging="567"/>
      </w:pPr>
      <w:r>
        <w:t>V případě, že Kupující bude v prodlení s úhradou Faktury, je Prodávající oprávněn požadovat úhradu úroku z prodlení ve výši stanovené příslušnými právními předpisy.</w:t>
      </w:r>
    </w:p>
    <w:p w14:paraId="64272CA4" w14:textId="2618E7AD" w:rsidR="00976F61" w:rsidRDefault="000F5378" w:rsidP="00C1619A">
      <w:pPr>
        <w:pStyle w:val="Nadpis2"/>
        <w:ind w:left="567" w:hanging="567"/>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w:t>
      </w:r>
      <w:r w:rsidR="001A7811">
        <w:br/>
      </w:r>
      <w:r>
        <w:t>se smluvní pokuta vztahuje. Zaplacením smluvní pokuty není dotčeno právo na úrok z prodlení dle platných právních předpisů.</w:t>
      </w:r>
    </w:p>
    <w:p w14:paraId="4DE88092" w14:textId="77777777" w:rsidR="00976F61" w:rsidRDefault="000F5378" w:rsidP="00C1619A">
      <w:pPr>
        <w:pStyle w:val="Nadpis2"/>
        <w:ind w:left="567" w:hanging="567"/>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rsidP="00C1619A">
      <w:pPr>
        <w:pStyle w:val="Nadpis2"/>
        <w:ind w:left="567" w:hanging="567"/>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5D1B913B" w:rsidR="00976F61" w:rsidRDefault="000F5378" w:rsidP="00C1619A">
      <w:pPr>
        <w:pStyle w:val="Nadpis2"/>
        <w:ind w:left="567" w:hanging="567"/>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Kupující se zavazuje,</w:t>
      </w:r>
      <w:r w:rsidR="001A7811">
        <w:br/>
      </w:r>
      <w:r>
        <w:t xml:space="preserve">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rsidP="00C1619A">
      <w:pPr>
        <w:pStyle w:val="Nadpis2"/>
        <w:ind w:left="567" w:hanging="567"/>
      </w:pPr>
      <w:r>
        <w:t>Nebyla-li Smlouva uveřejněna prostřednictvím registru smluv ani do 3 měsíců ode dne, kdy byla uzavřena, nastávají důsledky dle § 7 odst. 1 Zákona o registru smluv.</w:t>
      </w:r>
    </w:p>
    <w:p w14:paraId="3CA896CE" w14:textId="77777777" w:rsidR="00976F61" w:rsidRDefault="000F5378" w:rsidP="00C1619A">
      <w:pPr>
        <w:pStyle w:val="Nadpis2"/>
        <w:keepNext/>
        <w:ind w:left="567" w:hanging="567"/>
      </w:pPr>
      <w:r>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t>písemným odstoupením od Smlouvy za podmínek stanovených v článku 12 Smlouvy.</w:t>
      </w:r>
    </w:p>
    <w:p w14:paraId="20E9156E" w14:textId="2BCFC77A" w:rsidR="00976F61" w:rsidRDefault="000F5378" w:rsidP="00C1619A">
      <w:pPr>
        <w:pStyle w:val="Nadpis2"/>
        <w:ind w:left="567" w:hanging="567"/>
      </w:pPr>
      <w:r>
        <w:t>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w:t>
      </w:r>
      <w:r w:rsidR="00122F44">
        <w:br/>
      </w:r>
      <w:r>
        <w:t>o odstoupení od Smlouvy.</w:t>
      </w:r>
    </w:p>
    <w:p w14:paraId="28E7E81E" w14:textId="77777777" w:rsidR="00976F61" w:rsidRDefault="000F5378" w:rsidP="00C1619A">
      <w:pPr>
        <w:pStyle w:val="Nadpis2"/>
        <w:keepNext/>
        <w:ind w:left="567" w:hanging="567"/>
      </w:pPr>
      <w:r>
        <w:lastRenderedPageBreak/>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6D9E03EA"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rsidR="00D65CDE">
        <w:rPr>
          <w:rFonts w:eastAsia="Times New Roman"/>
        </w:rPr>
        <w:t>;</w:t>
      </w:r>
    </w:p>
    <w:p w14:paraId="357B4B5B" w14:textId="1636E8AD"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r w:rsidR="00712BD5">
        <w:t xml:space="preserve"> nebo poruší povinnost bezodkladně informovat Kupujícího, pokud sám Prodávající začne podléhat takovým mezinárodním sankcím.</w:t>
      </w:r>
    </w:p>
    <w:p w14:paraId="5606B0CF" w14:textId="6230ECE7" w:rsidR="00976F61" w:rsidRDefault="000F5378" w:rsidP="00C1619A">
      <w:pPr>
        <w:pStyle w:val="Nadpis2"/>
        <w:ind w:left="567" w:hanging="567"/>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w:t>
      </w:r>
      <w:r w:rsidR="00F95400">
        <w:br/>
      </w:r>
      <w:r>
        <w:t>by Kupující mohl v této souvislosti potřebovat pro své rozhodnutí o odstoupení od této Smlouvy. Nedodržení této povinnosti je podstatným porušením Smlouvy.</w:t>
      </w:r>
    </w:p>
    <w:p w14:paraId="59B9CB5E" w14:textId="672FC850" w:rsidR="00976F61" w:rsidRDefault="000F5378" w:rsidP="00C1619A">
      <w:pPr>
        <w:pStyle w:val="Nadpis2"/>
        <w:keepLines/>
        <w:ind w:left="567" w:hanging="567"/>
      </w:pPr>
      <w:r>
        <w:t xml:space="preserve">Kupující je oprávněn od Smlouvy odstoupit bez jakýchkoliv sankcí také v případě, že Kupující zjistí (na základě oznámení Prodávajícího v souladu s článkem 6.2 písm. </w:t>
      </w:r>
      <w:r w:rsidR="006D4DA1">
        <w:t>e</w:t>
      </w:r>
      <w:r>
        <w:t>) Smlouvy nebo vlastního zjištění), že v obchodní společnosti Prodávajícího nebo jeho Poddodavatele alespoň</w:t>
      </w:r>
      <w:r w:rsidR="00AD7FDD">
        <w:br/>
      </w:r>
      <w:r>
        <w:t>25</w:t>
      </w:r>
      <w:r w:rsidR="006D4DA1">
        <w:t xml:space="preserve"> </w:t>
      </w:r>
      <w:r>
        <w:t>% účasti společníka vlastní veřejný funkcionář uvedený v § 2 odst. 1 písm. c) zákona</w:t>
      </w:r>
      <w:r w:rsidR="006D4DA1">
        <w:br/>
      </w:r>
      <w:r>
        <w:t>č. 159/2006 Sb.,</w:t>
      </w:r>
      <w:r w:rsidR="006D4DA1">
        <w:t xml:space="preserve"> </w:t>
      </w:r>
      <w:r>
        <w:t>o střetu zájmů, ve znění pozdějších předpisů</w:t>
      </w:r>
      <w:r w:rsidR="00181596">
        <w:t>,</w:t>
      </w:r>
      <w:r>
        <w:t xml:space="preserve"> nebo jím ovládaná osoba.</w:t>
      </w:r>
    </w:p>
    <w:p w14:paraId="47BBAAA4" w14:textId="77777777" w:rsidR="00976F61" w:rsidRDefault="000F5378" w:rsidP="00C1619A">
      <w:pPr>
        <w:pStyle w:val="Nadpis2"/>
        <w:ind w:left="567" w:hanging="567"/>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rsidP="00C1619A">
      <w:pPr>
        <w:pStyle w:val="Nadpis2"/>
        <w:keepLines/>
        <w:ind w:left="567" w:hanging="567"/>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854954A" w:rsidR="00976F61" w:rsidRDefault="000F5378" w:rsidP="00C1619A">
      <w:pPr>
        <w:pStyle w:val="Nadpis2"/>
        <w:ind w:left="567" w:hanging="567"/>
      </w:pPr>
      <w:r>
        <w:t>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w:t>
      </w:r>
    </w:p>
    <w:p w14:paraId="44D8A565" w14:textId="77777777" w:rsidR="001570C4" w:rsidRDefault="001570C4">
      <w:pPr>
        <w:spacing w:after="200"/>
        <w:jc w:val="left"/>
        <w:rPr>
          <w:rFonts w:eastAsiaTheme="majorEastAsia" w:cstheme="majorBidi"/>
          <w:b/>
          <w:bCs/>
          <w:caps/>
          <w:szCs w:val="28"/>
        </w:rPr>
      </w:pPr>
      <w:r>
        <w:br w:type="page"/>
      </w:r>
    </w:p>
    <w:p w14:paraId="34CA22C8" w14:textId="6EAB834A" w:rsidR="00976F61" w:rsidRDefault="000F5378">
      <w:pPr>
        <w:pStyle w:val="Nadpis1"/>
      </w:pPr>
      <w:r>
        <w:lastRenderedPageBreak/>
        <w:t>závěrečná ustanovení</w:t>
      </w:r>
    </w:p>
    <w:p w14:paraId="49A52AD9" w14:textId="6669A448" w:rsidR="00976F61" w:rsidRDefault="000F5378" w:rsidP="00C1619A">
      <w:pPr>
        <w:pStyle w:val="Nadpis2"/>
        <w:ind w:left="567" w:hanging="567"/>
      </w:pPr>
      <w:r>
        <w:t>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w:t>
      </w:r>
      <w:r w:rsidR="001570C4">
        <w:br/>
      </w:r>
      <w:r>
        <w:t>se budou považovat za řádně učiněná, pokud budou doručena osobně, poštou,</w:t>
      </w:r>
      <w:r w:rsidR="001570C4">
        <w:t xml:space="preserve"> </w:t>
      </w:r>
      <w:r>
        <w:t>e-mailem, kurýrem či prostřednictvím datové schránky (není-li v</w:t>
      </w:r>
      <w:r w:rsidR="009E043A">
        <w:t>e</w:t>
      </w:r>
      <w:r>
        <w:t xml:space="preserve"> Smlouvě dohodnuto jinak) na adresy uvedené v tomto článku nebo na jinou adresu, kterou příslušná Smluvní strana v předstihu písemně oznámí druhé Smluvní straně.</w:t>
      </w:r>
    </w:p>
    <w:p w14:paraId="6FCD72A4" w14:textId="77777777" w:rsidR="001570C4" w:rsidRPr="007E30C9" w:rsidRDefault="000F5378" w:rsidP="001570C4">
      <w:pPr>
        <w:pStyle w:val="Nadpis4"/>
        <w:numPr>
          <w:ilvl w:val="0"/>
          <w:numId w:val="0"/>
        </w:numPr>
        <w:spacing w:after="60"/>
        <w:ind w:left="1134" w:hanging="567"/>
      </w:pPr>
      <w:r>
        <w:t>Kupující:</w:t>
      </w:r>
      <w:r>
        <w:tab/>
      </w:r>
      <w:r>
        <w:tab/>
      </w:r>
      <w:r w:rsidR="001570C4" w:rsidRPr="007E30C9">
        <w:t>Název: Česká republika – Úřad průmyslového vlastnictví</w:t>
      </w:r>
    </w:p>
    <w:p w14:paraId="37B3FCBB" w14:textId="77777777" w:rsidR="001570C4" w:rsidRDefault="001570C4" w:rsidP="001570C4">
      <w:pPr>
        <w:spacing w:after="60"/>
        <w:ind w:left="1842" w:firstLine="282"/>
      </w:pPr>
      <w:r w:rsidRPr="007E30C9">
        <w:t>Adresa</w:t>
      </w:r>
      <w:r>
        <w:t xml:space="preserve">: </w:t>
      </w:r>
      <w:r w:rsidRPr="00390AB5">
        <w:t>Antonína Čermáka 1057/2a, Praha 6, PSČ 160 68</w:t>
      </w:r>
    </w:p>
    <w:p w14:paraId="0EF37538" w14:textId="77777777" w:rsidR="001570C4" w:rsidRDefault="001570C4" w:rsidP="001570C4">
      <w:pPr>
        <w:spacing w:after="60"/>
        <w:ind w:left="1842" w:firstLine="282"/>
      </w:pPr>
      <w:r>
        <w:t xml:space="preserve">K rukám: </w:t>
      </w:r>
      <w:r w:rsidRPr="00390AB5">
        <w:t>Ing Luďka Churáčka, ředitele Odboru ekonomického</w:t>
      </w:r>
    </w:p>
    <w:p w14:paraId="2CE48C4F" w14:textId="77777777" w:rsidR="001570C4" w:rsidRDefault="001570C4" w:rsidP="001570C4">
      <w:pPr>
        <w:spacing w:after="60"/>
        <w:ind w:left="1560" w:firstLine="564"/>
      </w:pPr>
      <w:r>
        <w:t>E-mail: posta@upv.gov.cz</w:t>
      </w:r>
    </w:p>
    <w:p w14:paraId="56E7778F" w14:textId="77777777" w:rsidR="001570C4" w:rsidRDefault="001570C4" w:rsidP="001570C4">
      <w:pPr>
        <w:spacing w:after="240"/>
        <w:ind w:left="1843" w:firstLine="284"/>
      </w:pPr>
      <w:r>
        <w:t xml:space="preserve">Datová schránka: </w:t>
      </w:r>
      <w:r w:rsidRPr="00390AB5">
        <w:t>ix6aa38</w:t>
      </w:r>
    </w:p>
    <w:p w14:paraId="005F2885" w14:textId="08AF37EF" w:rsidR="00976F61" w:rsidRDefault="000F5378" w:rsidP="001570C4">
      <w:pPr>
        <w:pStyle w:val="Nadpis4"/>
        <w:numPr>
          <w:ilvl w:val="0"/>
          <w:numId w:val="0"/>
        </w:numPr>
        <w:spacing w:after="60"/>
        <w:ind w:left="1134" w:hanging="567"/>
      </w:pPr>
      <w:r>
        <w:t>Prodávající:</w:t>
      </w:r>
      <w:r>
        <w:tab/>
        <w:t xml:space="preserve">Název: </w:t>
      </w:r>
      <w:r w:rsidR="00EE53BE" w:rsidRPr="00EE53BE">
        <w:rPr>
          <w:rFonts w:cs="Arial"/>
          <w:snapToGrid w:val="0"/>
        </w:rPr>
        <w:t>ACTIVA spol. s r.o.</w:t>
      </w:r>
    </w:p>
    <w:p w14:paraId="5DA228BE" w14:textId="45018931" w:rsidR="00976F61" w:rsidRDefault="000F5378">
      <w:pPr>
        <w:spacing w:after="60"/>
        <w:ind w:left="1842" w:firstLine="282"/>
      </w:pPr>
      <w:r>
        <w:t xml:space="preserve">Adresa: </w:t>
      </w:r>
      <w:r w:rsidR="00EE53BE" w:rsidRPr="00EE53BE">
        <w:rPr>
          <w:rFonts w:cs="Arial"/>
          <w:snapToGrid w:val="0"/>
        </w:rPr>
        <w:t>Praha 9 – Letňany, Veselská 686, PSČ 199</w:t>
      </w:r>
      <w:r w:rsidR="001570C4">
        <w:rPr>
          <w:rFonts w:cs="Arial"/>
          <w:snapToGrid w:val="0"/>
        </w:rPr>
        <w:t xml:space="preserve"> </w:t>
      </w:r>
      <w:r w:rsidR="00EE53BE" w:rsidRPr="00EE53BE">
        <w:rPr>
          <w:rFonts w:cs="Arial"/>
          <w:snapToGrid w:val="0"/>
        </w:rPr>
        <w:t>00</w:t>
      </w:r>
    </w:p>
    <w:p w14:paraId="3101E43B" w14:textId="0AD3B712" w:rsidR="00976F61" w:rsidRDefault="000F5378">
      <w:pPr>
        <w:spacing w:after="60"/>
        <w:ind w:left="1560" w:firstLine="564"/>
      </w:pPr>
      <w:r>
        <w:t xml:space="preserve">E-mail: </w:t>
      </w:r>
      <w:bookmarkStart w:id="4" w:name="_Hlk182465485"/>
      <w:r w:rsidR="008D196E">
        <w:rPr>
          <w:rFonts w:cs="Arial"/>
          <w:snapToGrid w:val="0"/>
        </w:rPr>
        <w:t>XXXXXXXXX</w:t>
      </w:r>
      <w:bookmarkEnd w:id="4"/>
      <w:r w:rsidR="00EE53BE" w:rsidRPr="00EE53BE">
        <w:rPr>
          <w:rFonts w:cs="Arial"/>
          <w:snapToGrid w:val="0"/>
        </w:rPr>
        <w:t>@activa.cz</w:t>
      </w:r>
    </w:p>
    <w:p w14:paraId="309D802E" w14:textId="7F8174D4" w:rsidR="00976F61" w:rsidRDefault="000F5378">
      <w:pPr>
        <w:ind w:left="1560" w:firstLine="564"/>
      </w:pPr>
      <w:r>
        <w:t xml:space="preserve">Datová schránka: </w:t>
      </w:r>
      <w:r w:rsidR="00EE53BE" w:rsidRPr="00EE53BE">
        <w:rPr>
          <w:rFonts w:cs="Arial"/>
          <w:snapToGrid w:val="0"/>
        </w:rPr>
        <w:t>dhxi5k5</w:t>
      </w:r>
    </w:p>
    <w:p w14:paraId="254B28E6" w14:textId="77777777" w:rsidR="00976F61" w:rsidRDefault="000F5378" w:rsidP="00C1619A">
      <w:pPr>
        <w:pStyle w:val="Nadpis2"/>
        <w:ind w:left="567" w:hanging="567"/>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rsidP="00C1619A">
      <w:pPr>
        <w:pStyle w:val="Nadpis2"/>
        <w:ind w:left="567" w:hanging="567"/>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7D893F61" w14:textId="25EA6BD5" w:rsidR="00EC6C72" w:rsidRDefault="008D196E" w:rsidP="00EC6C72">
      <w:pPr>
        <w:pStyle w:val="Nadpis4"/>
        <w:numPr>
          <w:ilvl w:val="0"/>
          <w:numId w:val="0"/>
        </w:numPr>
        <w:spacing w:after="60"/>
        <w:ind w:left="1134"/>
      </w:pPr>
      <w:r>
        <w:rPr>
          <w:rFonts w:cs="Arial"/>
          <w:snapToGrid w:val="0"/>
        </w:rPr>
        <w:t>XXXXXXXXX</w:t>
      </w:r>
      <w:r w:rsidR="00EC6C72">
        <w:t xml:space="preserve">, tel.: </w:t>
      </w:r>
      <w:r>
        <w:rPr>
          <w:rFonts w:cs="Arial"/>
          <w:snapToGrid w:val="0"/>
        </w:rPr>
        <w:t>XXXXXXXXX</w:t>
      </w:r>
      <w:r w:rsidR="00EC6C72">
        <w:t xml:space="preserve">, e-mail: </w:t>
      </w:r>
      <w:r>
        <w:rPr>
          <w:rFonts w:cs="Arial"/>
          <w:snapToGrid w:val="0"/>
        </w:rPr>
        <w:t>XXXXXXXXX</w:t>
      </w:r>
      <w:r>
        <w:t xml:space="preserve"> </w:t>
      </w:r>
      <w:r w:rsidR="00EC6C72">
        <w:t>@upv.gov.cz či</w:t>
      </w:r>
    </w:p>
    <w:p w14:paraId="155163D4" w14:textId="267AD59C" w:rsidR="00EC6C72" w:rsidRDefault="008D196E" w:rsidP="00EC6C72">
      <w:pPr>
        <w:pStyle w:val="Nadpis4"/>
        <w:numPr>
          <w:ilvl w:val="0"/>
          <w:numId w:val="0"/>
        </w:numPr>
        <w:spacing w:after="60"/>
        <w:ind w:left="1134"/>
      </w:pPr>
      <w:r>
        <w:rPr>
          <w:rFonts w:cs="Arial"/>
          <w:snapToGrid w:val="0"/>
        </w:rPr>
        <w:t>XXXXXXXXX</w:t>
      </w:r>
      <w:r w:rsidR="00EC6C72">
        <w:t xml:space="preserve">, tel.: </w:t>
      </w:r>
      <w:r>
        <w:rPr>
          <w:rFonts w:cs="Arial"/>
          <w:snapToGrid w:val="0"/>
        </w:rPr>
        <w:t>XXXXXXXXX</w:t>
      </w:r>
      <w:r w:rsidR="00EC6C72">
        <w:t xml:space="preserve">, e-mail: </w:t>
      </w:r>
      <w:r>
        <w:rPr>
          <w:rFonts w:cs="Arial"/>
          <w:snapToGrid w:val="0"/>
        </w:rPr>
        <w:t>XXXXXXXXX</w:t>
      </w:r>
      <w:r>
        <w:t xml:space="preserve"> </w:t>
      </w:r>
      <w:r w:rsidR="00EC6C72">
        <w:t>@upv.gov.cz nebo</w:t>
      </w:r>
    </w:p>
    <w:p w14:paraId="6E6F6B98" w14:textId="5501CB6A" w:rsidR="00EC6C72" w:rsidRPr="00AF7C7E" w:rsidRDefault="00EC6C72" w:rsidP="00EC6C72">
      <w:pPr>
        <w:pStyle w:val="Nadpis4"/>
        <w:numPr>
          <w:ilvl w:val="0"/>
          <w:numId w:val="0"/>
        </w:numPr>
        <w:spacing w:after="240"/>
        <w:ind w:left="1134"/>
        <w:rPr>
          <w:rFonts w:cs="Arial"/>
        </w:rPr>
      </w:pPr>
      <w:r>
        <w:t xml:space="preserve">Ing. Luděk Churáček, tel.: </w:t>
      </w:r>
      <w:r w:rsidR="008D196E">
        <w:rPr>
          <w:rFonts w:cs="Arial"/>
          <w:snapToGrid w:val="0"/>
        </w:rPr>
        <w:t>XXXXXXXXX</w:t>
      </w:r>
      <w:r>
        <w:t xml:space="preserve">, e-mail: </w:t>
      </w:r>
      <w:r w:rsidR="008D196E">
        <w:rPr>
          <w:rFonts w:cs="Arial"/>
          <w:snapToGrid w:val="0"/>
        </w:rPr>
        <w:t>XXXXXXXXX</w:t>
      </w:r>
      <w:r w:rsidR="008D196E">
        <w:t xml:space="preserve"> </w:t>
      </w:r>
      <w:r>
        <w:t>@upv.gov.cz;</w:t>
      </w:r>
    </w:p>
    <w:p w14:paraId="2D79F92C" w14:textId="77777777" w:rsidR="00976F61" w:rsidRDefault="000F5378">
      <w:pPr>
        <w:pStyle w:val="Nadpis4"/>
        <w:numPr>
          <w:ilvl w:val="0"/>
          <w:numId w:val="7"/>
        </w:numPr>
        <w:ind w:left="1134" w:hanging="567"/>
      </w:pPr>
      <w:r>
        <w:t>Oprávněnou osobou Prodávajícího je:</w:t>
      </w:r>
    </w:p>
    <w:p w14:paraId="3B58E194" w14:textId="257E0007" w:rsidR="00976F61" w:rsidRDefault="008D196E" w:rsidP="00EE53BE">
      <w:pPr>
        <w:pStyle w:val="Odstavecseseznamem"/>
        <w:ind w:left="1134"/>
      </w:pPr>
      <w:r>
        <w:rPr>
          <w:rFonts w:cs="Arial"/>
          <w:snapToGrid w:val="0"/>
        </w:rPr>
        <w:t>XXXXXXXXX</w:t>
      </w:r>
      <w:r w:rsidR="00EE53BE" w:rsidRPr="00EE53BE">
        <w:rPr>
          <w:rFonts w:eastAsiaTheme="minorEastAsia" w:cs="Arial"/>
          <w:snapToGrid w:val="0"/>
          <w:szCs w:val="22"/>
        </w:rPr>
        <w:t xml:space="preserve">, </w:t>
      </w:r>
      <w:r w:rsidR="00EC6C72">
        <w:rPr>
          <w:rFonts w:eastAsiaTheme="minorEastAsia" w:cs="Arial"/>
          <w:snapToGrid w:val="0"/>
          <w:szCs w:val="22"/>
        </w:rPr>
        <w:t>tel.</w:t>
      </w:r>
      <w:r w:rsidR="00EE53BE" w:rsidRPr="00EE53BE">
        <w:rPr>
          <w:rFonts w:eastAsiaTheme="minorEastAsia" w:cs="Arial"/>
          <w:snapToGrid w:val="0"/>
          <w:szCs w:val="22"/>
        </w:rPr>
        <w:t xml:space="preserve">: </w:t>
      </w:r>
      <w:r>
        <w:rPr>
          <w:rFonts w:cs="Arial"/>
          <w:snapToGrid w:val="0"/>
        </w:rPr>
        <w:t>XXXXXXXXX</w:t>
      </w:r>
      <w:r w:rsidR="00EE53BE" w:rsidRPr="00EE53BE">
        <w:rPr>
          <w:rFonts w:eastAsiaTheme="minorEastAsia" w:cs="Arial"/>
          <w:snapToGrid w:val="0"/>
          <w:szCs w:val="22"/>
        </w:rPr>
        <w:t>, e</w:t>
      </w:r>
      <w:r w:rsidR="00EC6C72">
        <w:rPr>
          <w:rFonts w:eastAsiaTheme="minorEastAsia" w:cs="Arial"/>
          <w:snapToGrid w:val="0"/>
          <w:szCs w:val="22"/>
        </w:rPr>
        <w:t>-</w:t>
      </w:r>
      <w:r w:rsidR="00EE53BE" w:rsidRPr="00EE53BE">
        <w:rPr>
          <w:rFonts w:eastAsiaTheme="minorEastAsia" w:cs="Arial"/>
          <w:snapToGrid w:val="0"/>
          <w:szCs w:val="22"/>
        </w:rPr>
        <w:t xml:space="preserve">mail: </w:t>
      </w:r>
      <w:r>
        <w:rPr>
          <w:rFonts w:cs="Arial"/>
          <w:snapToGrid w:val="0"/>
        </w:rPr>
        <w:t>XXXXXXXXX</w:t>
      </w:r>
      <w:r w:rsidRPr="00EE53BE">
        <w:rPr>
          <w:rFonts w:eastAsiaTheme="minorEastAsia" w:cs="Arial"/>
          <w:snapToGrid w:val="0"/>
          <w:szCs w:val="22"/>
        </w:rPr>
        <w:t xml:space="preserve"> </w:t>
      </w:r>
      <w:r w:rsidR="00EE53BE" w:rsidRPr="00EE53BE">
        <w:rPr>
          <w:rFonts w:eastAsiaTheme="minorEastAsia" w:cs="Arial"/>
          <w:snapToGrid w:val="0"/>
          <w:szCs w:val="22"/>
        </w:rPr>
        <w:t>@activa.cz</w:t>
      </w:r>
      <w:r w:rsidR="00EC6C72">
        <w:rPr>
          <w:rFonts w:eastAsiaTheme="minorEastAsia" w:cs="Arial"/>
          <w:snapToGrid w:val="0"/>
          <w:szCs w:val="22"/>
        </w:rPr>
        <w:t>.</w:t>
      </w:r>
    </w:p>
    <w:p w14:paraId="5BD2C760" w14:textId="6980261B" w:rsidR="00976F61" w:rsidRDefault="000F5378" w:rsidP="00C1619A">
      <w:pPr>
        <w:pStyle w:val="Nadpis2"/>
        <w:ind w:left="567" w:hanging="567"/>
      </w:pPr>
      <w:r>
        <w:rPr>
          <w:rFonts w:cs="Arial"/>
          <w:szCs w:val="20"/>
        </w:rPr>
        <w:t xml:space="preserve">Ke </w:t>
      </w:r>
      <w:r>
        <w:t xml:space="preserve">změně nebo ukončení Smlouvy je za Kupujícího </w:t>
      </w:r>
      <w:r w:rsidR="00EC6C72" w:rsidRPr="00B66F98">
        <w:t>Ing. Luděk Churáček, ředitel ekonomického</w:t>
      </w:r>
      <w:r w:rsidR="00EC6C72">
        <w:t xml:space="preserve"> odboru</w:t>
      </w:r>
      <w:r w:rsidR="00EC6C72">
        <w:rPr>
          <w:rFonts w:cs="Arial"/>
        </w:rPr>
        <w:t xml:space="preserve">. </w:t>
      </w:r>
      <w:r>
        <w:t>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442B8D1" w:rsidR="00976F61" w:rsidRDefault="000F5378" w:rsidP="00C1619A">
      <w:pPr>
        <w:pStyle w:val="Nadpis2"/>
        <w:keepLines/>
        <w:ind w:left="567" w:hanging="567"/>
      </w:pPr>
      <w:r>
        <w:t>Jakékoliv změny kontaktních údajů, bankovních údajů nebo Oprávněných osob jsou Smluvní strany oprávněny provádět jednostranně a jsou povinny tyto změny neprodleně písemně oznámit druhé Smluvní straně.</w:t>
      </w:r>
    </w:p>
    <w:p w14:paraId="3049A787" w14:textId="2FA47AE7" w:rsidR="00976F61" w:rsidRDefault="000F5378" w:rsidP="00C1619A">
      <w:pPr>
        <w:pStyle w:val="Nadpis2"/>
        <w:ind w:left="567" w:hanging="567"/>
      </w:pPr>
      <w:r>
        <w:t>Prodávající prohlašuje, že tato Smlouva, jakož i její text a přílohy, neobsahuje obchodní tajemství a souhlasí, aby ji Kupující v plném rozsahu (s vyloučením jinak chráněných informací)</w:t>
      </w:r>
      <w:r w:rsidR="00784DC2">
        <w:br/>
      </w:r>
      <w:r>
        <w:t xml:space="preserve">v elektronické podobě uveřejnil na profilu zadavatele ve smyslu Zákona o zadávání veřejných </w:t>
      </w:r>
      <w:r>
        <w:lastRenderedPageBreak/>
        <w:t>zakázek a v registru smluv ve smyslu Zákona o registru smluv, případně na jiném místě, bude-li k tomu Kupující povinován, a to bez časového omezení.</w:t>
      </w:r>
    </w:p>
    <w:p w14:paraId="14ACC222" w14:textId="02C924B4" w:rsidR="00976F61" w:rsidRDefault="000F5378" w:rsidP="00C1619A">
      <w:pPr>
        <w:pStyle w:val="Nadpis2"/>
        <w:ind w:left="567" w:hanging="567"/>
      </w:pPr>
      <w:r>
        <w:t>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2A04EE5" w14:textId="3AEA2701" w:rsidR="00976F61" w:rsidRDefault="000F5378" w:rsidP="00C1619A">
      <w:pPr>
        <w:pStyle w:val="Nadpis2"/>
        <w:ind w:left="567" w:hanging="567"/>
      </w:pPr>
      <w: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1AFF780B" w14:textId="2D16605D" w:rsidR="00976F61" w:rsidRDefault="000F5378" w:rsidP="00C1619A">
      <w:pPr>
        <w:pStyle w:val="Nadpis2"/>
        <w:ind w:left="567" w:hanging="567"/>
      </w:pPr>
      <w:r>
        <w:t>Žádná ze Smluvních stran není oprávněna bez souhlasu druhé Smluvní strany postoupit Smlouvu, jednotlivý závazek ze Smlouvy ani pohledávky vzniklé v souvislosti s</w:t>
      </w:r>
      <w:r w:rsidR="00406DE0">
        <w:t>e</w:t>
      </w:r>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rsidP="00C1619A">
      <w:pPr>
        <w:pStyle w:val="Nadpis2"/>
        <w:ind w:left="567" w:hanging="567"/>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115CB37C" w:rsidR="00976F61" w:rsidRDefault="000F5378" w:rsidP="00C1619A">
      <w:pPr>
        <w:pStyle w:val="Nadpis2"/>
        <w:ind w:left="567" w:hanging="567"/>
      </w:pPr>
      <w:r>
        <w:t>Smluvní strany se dohodly, že všechny spory vyplývající z</w:t>
      </w:r>
      <w:r w:rsidR="009E043A">
        <w:t>e</w:t>
      </w:r>
      <w:r>
        <w:t> Smlouvy nebo spory o existenci Smlouvy (včetně otázky jejího vzniku a platnosti) budou mezi sebou řešit nejdříve pokusem</w:t>
      </w:r>
      <w:r w:rsidR="00784DC2">
        <w:br/>
      </w:r>
      <w:r>
        <w:t>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rsidP="00C1619A">
      <w:pPr>
        <w:pStyle w:val="Nadpis2"/>
        <w:ind w:left="567" w:hanging="567"/>
      </w:pPr>
      <w:r>
        <w:t>Smluvní strany se dohodly, že v rámci Smlouvy vylučují aplikaci ustanovení § 557 Občanského zákoníku.</w:t>
      </w:r>
    </w:p>
    <w:p w14:paraId="6F2D90B2" w14:textId="26B4D66D" w:rsidR="009E043A" w:rsidRPr="009E043A" w:rsidRDefault="000F5378" w:rsidP="00C1619A">
      <w:pPr>
        <w:pStyle w:val="Nadpis2"/>
        <w:ind w:left="567" w:hanging="567"/>
        <w:rPr>
          <w:rFonts w:cs="Arial"/>
          <w:szCs w:val="20"/>
        </w:rPr>
      </w:pPr>
      <w:r>
        <w:t>Nedílnou součástí Smlouvy j</w:t>
      </w:r>
      <w:r w:rsidR="009E043A">
        <w:t>sou následující přílohy:</w:t>
      </w:r>
    </w:p>
    <w:p w14:paraId="7F3117C1" w14:textId="77777777" w:rsidR="009E043A" w:rsidRDefault="000F5378" w:rsidP="00784DC2">
      <w:pPr>
        <w:pStyle w:val="Nadpis2"/>
        <w:numPr>
          <w:ilvl w:val="0"/>
          <w:numId w:val="0"/>
        </w:numPr>
        <w:spacing w:after="60"/>
        <w:ind w:left="567"/>
        <w:rPr>
          <w:szCs w:val="24"/>
        </w:rPr>
      </w:pPr>
      <w:r>
        <w:rPr>
          <w:szCs w:val="24"/>
        </w:rPr>
        <w:t>Příloha č. 1 – Technické podmínky Dodávky</w:t>
      </w:r>
      <w:r w:rsidR="009E043A">
        <w:rPr>
          <w:szCs w:val="24"/>
        </w:rPr>
        <w:t>;</w:t>
      </w:r>
    </w:p>
    <w:p w14:paraId="4171E9F3" w14:textId="73733B3F"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Odběrná místa a distribuční podmínky.</w:t>
      </w:r>
    </w:p>
    <w:p w14:paraId="4A28ECA3" w14:textId="50A32C13" w:rsidR="00976F61" w:rsidRDefault="000F5378" w:rsidP="00C1619A">
      <w:pPr>
        <w:pStyle w:val="Nadpis2"/>
        <w:ind w:left="567" w:hanging="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Pr="00784DC2" w:rsidRDefault="000F5378" w:rsidP="00C1619A">
      <w:pPr>
        <w:pStyle w:val="Nadpis2"/>
        <w:ind w:left="567" w:hanging="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rsidRPr="00784DC2">
        <w:t>postupu</w:t>
      </w:r>
      <w:r w:rsidRPr="00784DC2">
        <w:t xml:space="preserve"> mají přednost ustanovení příloh</w:t>
      </w:r>
      <w:r w:rsidR="006956D9" w:rsidRPr="00784DC2">
        <w:t xml:space="preserve"> Smlouvy</w:t>
      </w:r>
      <w:r w:rsidRPr="00784DC2">
        <w:t>.</w:t>
      </w:r>
    </w:p>
    <w:p w14:paraId="065E2C4B" w14:textId="34B28C61" w:rsidR="00976F61" w:rsidRPr="00784DC2" w:rsidRDefault="000F5378" w:rsidP="00C1619A">
      <w:pPr>
        <w:pStyle w:val="Nadpis2"/>
        <w:ind w:hanging="567"/>
      </w:pPr>
      <w:r w:rsidRPr="00784DC2">
        <w:t>Tato Smlouva je vyhotovena v</w:t>
      </w:r>
      <w:r w:rsidR="00784DC2" w:rsidRPr="00784DC2">
        <w:t> jednom (</w:t>
      </w:r>
      <w:r w:rsidRPr="00784DC2">
        <w:t>1</w:t>
      </w:r>
      <w:r w:rsidR="00784DC2" w:rsidRPr="00784DC2">
        <w:t>)</w:t>
      </w:r>
      <w:r w:rsidRPr="00784DC2">
        <w:t> vyhotovení v českém jazyce s platností originálu s elektronickými podpisy obou Smluvních stran.</w:t>
      </w:r>
    </w:p>
    <w:p w14:paraId="17A37013" w14:textId="77777777" w:rsidR="002D24CD" w:rsidRDefault="002D24CD">
      <w:pPr>
        <w:spacing w:after="200"/>
        <w:jc w:val="left"/>
        <w:rPr>
          <w:rFonts w:eastAsiaTheme="majorEastAsia" w:cstheme="majorBidi"/>
          <w:b/>
          <w:bCs/>
          <w:szCs w:val="26"/>
        </w:rPr>
      </w:pPr>
      <w:r>
        <w:rPr>
          <w:b/>
        </w:rPr>
        <w:br w:type="page"/>
      </w:r>
    </w:p>
    <w:p w14:paraId="65D5F2B7" w14:textId="5C8D3B08" w:rsidR="00976F61" w:rsidRDefault="000F5378">
      <w:pPr>
        <w:pStyle w:val="Nadpis2"/>
        <w:numPr>
          <w:ilvl w:val="0"/>
          <w:numId w:val="0"/>
        </w:numPr>
        <w:spacing w:after="360"/>
        <w:rPr>
          <w:b/>
          <w:i/>
        </w:rPr>
      </w:pPr>
      <w:r>
        <w:rPr>
          <w:b/>
        </w:rPr>
        <w:lastRenderedPageBreak/>
        <w:t>Smluvní strany prohlašují, že před podepsáním této Smlouvy si ji přečetly, že tato Smlouva</w:t>
      </w:r>
      <w:r w:rsidR="002D24CD">
        <w:rPr>
          <w:b/>
        </w:rPr>
        <w:br/>
      </w:r>
      <w:r>
        <w:rPr>
          <w:b/>
        </w:rPr>
        <w:t>je projevem jejich pravé a svobodné vůle a nebyla sjednána v tísni ani za jinak jednostranně nevýhodných podmínek. Na důkaz této skutečnosti připojují své podpisy.</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449F736F" w14:textId="77777777" w:rsidR="00976F61" w:rsidRDefault="000F5378">
            <w:pPr>
              <w:spacing w:after="60"/>
              <w:ind w:left="-108"/>
              <w:rPr>
                <w:rFonts w:cs="Arial"/>
              </w:rPr>
            </w:pPr>
            <w:r>
              <w:rPr>
                <w:rFonts w:cs="Arial"/>
              </w:rPr>
              <w:t>Za Prodávajícího:</w:t>
            </w:r>
          </w:p>
          <w:p w14:paraId="341C4E41" w14:textId="77777777" w:rsidR="00976F61" w:rsidRDefault="00976F61">
            <w:pPr>
              <w:spacing w:after="60"/>
              <w:ind w:left="-108"/>
              <w:rPr>
                <w:rFonts w:cs="Arial"/>
              </w:rPr>
            </w:pPr>
          </w:p>
        </w:tc>
      </w:tr>
      <w:tr w:rsidR="00976F61" w14:paraId="0883A90B" w14:textId="77777777">
        <w:tc>
          <w:tcPr>
            <w:tcW w:w="3969" w:type="dxa"/>
            <w:shd w:val="clear" w:color="auto" w:fill="auto"/>
          </w:tcPr>
          <w:p w14:paraId="4CA682AB" w14:textId="0848B6B7" w:rsidR="00976F61" w:rsidRDefault="007959C2">
            <w:pPr>
              <w:ind w:left="-108"/>
              <w:rPr>
                <w:rFonts w:cs="Arial"/>
                <w:iCs/>
              </w:rPr>
            </w:pPr>
            <w:r>
              <w:rPr>
                <w:rFonts w:cs="Arial"/>
                <w:iCs/>
              </w:rPr>
              <w:t xml:space="preserve">V </w:t>
            </w:r>
            <w:r w:rsidR="002D24CD" w:rsidRPr="00122B58">
              <w:rPr>
                <w:rFonts w:cs="Arial"/>
                <w:iCs/>
              </w:rPr>
              <w:t>Praze dne dle elektronického podpisu</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66F35040" w:rsidR="00976F61" w:rsidRDefault="007959C2">
            <w:pPr>
              <w:ind w:left="-108"/>
              <w:rPr>
                <w:rFonts w:cs="Arial"/>
                <w:iCs/>
              </w:rPr>
            </w:pPr>
            <w:r>
              <w:rPr>
                <w:rFonts w:cs="Arial"/>
                <w:iCs/>
              </w:rPr>
              <w:t xml:space="preserve">V </w:t>
            </w:r>
            <w:r w:rsidR="002D24CD" w:rsidRPr="00122B58">
              <w:rPr>
                <w:rFonts w:cs="Arial"/>
                <w:iCs/>
              </w:rPr>
              <w:t>Praze dne dle elektronického podpisu</w:t>
            </w:r>
          </w:p>
        </w:tc>
      </w:tr>
      <w:tr w:rsidR="00976F61" w14:paraId="2BC29280" w14:textId="77777777">
        <w:tc>
          <w:tcPr>
            <w:tcW w:w="3969" w:type="dxa"/>
            <w:tcBorders>
              <w:bottom w:val="single" w:sz="4" w:space="0" w:color="auto"/>
            </w:tcBorders>
            <w:shd w:val="clear" w:color="auto" w:fill="auto"/>
          </w:tcPr>
          <w:p w14:paraId="0D0B9E79" w14:textId="77777777" w:rsidR="00976F61" w:rsidRDefault="00976F61">
            <w:pPr>
              <w:ind w:left="-108"/>
              <w:rPr>
                <w:rFonts w:cs="Arial"/>
                <w:iCs/>
              </w:rPr>
            </w:pPr>
          </w:p>
          <w:p w14:paraId="11CB4BEC" w14:textId="77777777" w:rsidR="00976F61" w:rsidRDefault="00976F61">
            <w:pPr>
              <w:ind w:left="-108"/>
              <w:rPr>
                <w:rFonts w:cs="Arial"/>
                <w:iCs/>
              </w:rPr>
            </w:pPr>
          </w:p>
          <w:p w14:paraId="3F2C468B" w14:textId="77777777" w:rsidR="00976F61" w:rsidRDefault="00976F61">
            <w:pPr>
              <w:ind w:left="-108"/>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627AFE42" w14:textId="14DD16F7" w:rsidR="00976F61" w:rsidRDefault="002D24CD">
            <w:pPr>
              <w:spacing w:before="120" w:after="0"/>
              <w:ind w:left="-108"/>
              <w:rPr>
                <w:rFonts w:cs="Arial"/>
              </w:rPr>
            </w:pPr>
            <w:r>
              <w:rPr>
                <w:rFonts w:cs="Arial"/>
              </w:rPr>
              <w:t>Ing. Luděk Churáček</w:t>
            </w:r>
          </w:p>
          <w:p w14:paraId="26B998F6" w14:textId="13129BB8" w:rsidR="00976F61" w:rsidRPr="002D24CD" w:rsidRDefault="000F5378" w:rsidP="002D24CD">
            <w:pPr>
              <w:spacing w:after="0"/>
              <w:ind w:left="-108"/>
              <w:rPr>
                <w:rFonts w:cs="Arial"/>
              </w:rPr>
            </w:pPr>
            <w:r>
              <w:rPr>
                <w:rFonts w:cs="Arial"/>
              </w:rPr>
              <w:t xml:space="preserve">ředitel </w:t>
            </w:r>
            <w:r w:rsidR="002D24CD">
              <w:rPr>
                <w:rFonts w:cs="Arial"/>
              </w:rPr>
              <w:t xml:space="preserve">ekonomického </w:t>
            </w:r>
            <w:r>
              <w:rPr>
                <w:rFonts w:cs="Arial"/>
              </w:rPr>
              <w:t>odboru</w:t>
            </w: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2DD7C89F" w14:textId="73372C18" w:rsidR="00976F61" w:rsidRDefault="00155EA7">
            <w:pPr>
              <w:spacing w:before="120" w:after="0"/>
              <w:ind w:left="-108"/>
              <w:rPr>
                <w:rFonts w:cs="Arial"/>
              </w:rPr>
            </w:pPr>
            <w:r w:rsidRPr="00155EA7">
              <w:rPr>
                <w:rFonts w:cs="Arial"/>
              </w:rPr>
              <w:t>Ing. Martin Leitgeb</w:t>
            </w:r>
          </w:p>
          <w:p w14:paraId="26A37AFF" w14:textId="2CAC675A" w:rsidR="00155EA7" w:rsidRDefault="00155EA7" w:rsidP="00155EA7">
            <w:pPr>
              <w:spacing w:after="0"/>
              <w:ind w:left="-108"/>
              <w:rPr>
                <w:rFonts w:cs="Arial"/>
                <w:iCs/>
              </w:rPr>
            </w:pPr>
            <w:r>
              <w:rPr>
                <w:rFonts w:cs="Arial"/>
              </w:rPr>
              <w:t>jednatel společnosti</w:t>
            </w:r>
          </w:p>
          <w:p w14:paraId="4A385959" w14:textId="77777777" w:rsidR="00976F61" w:rsidRDefault="00976F61" w:rsidP="00155EA7">
            <w:pPr>
              <w:spacing w:after="0"/>
              <w:ind w:left="-108"/>
              <w:rPr>
                <w:rFonts w:cs="Arial"/>
                <w:iCs/>
              </w:rPr>
            </w:pPr>
          </w:p>
        </w:tc>
      </w:tr>
    </w:tbl>
    <w:p w14:paraId="1CE92353" w14:textId="77777777" w:rsidR="00976F61" w:rsidRDefault="00976F61"/>
    <w:p w14:paraId="36FCE1D2" w14:textId="77777777" w:rsidR="00976F61" w:rsidRDefault="00976F61">
      <w:pPr>
        <w:sectPr w:rsidR="00976F61">
          <w:footerReference w:type="default" r:id="rId9"/>
          <w:pgSz w:w="11906" w:h="16838"/>
          <w:pgMar w:top="1417" w:right="1417" w:bottom="1417" w:left="1417" w:header="708" w:footer="708" w:gutter="0"/>
          <w:cols w:space="708"/>
          <w:docGrid w:linePitch="360"/>
        </w:sectPr>
      </w:pPr>
    </w:p>
    <w:p w14:paraId="1E7017BF" w14:textId="77777777" w:rsidR="00976F61" w:rsidRPr="009C51A9" w:rsidRDefault="000F5378">
      <w:pPr>
        <w:spacing w:after="60"/>
        <w:jc w:val="center"/>
        <w:rPr>
          <w:b/>
          <w:sz w:val="24"/>
          <w:szCs w:val="24"/>
        </w:rPr>
      </w:pPr>
      <w:r w:rsidRPr="009C51A9">
        <w:rPr>
          <w:b/>
          <w:sz w:val="24"/>
          <w:szCs w:val="24"/>
        </w:rPr>
        <w:lastRenderedPageBreak/>
        <w:t>Příloha č. 1</w:t>
      </w:r>
    </w:p>
    <w:p w14:paraId="4D4BC7CA" w14:textId="77777777" w:rsidR="00976F61" w:rsidRPr="009C51A9" w:rsidRDefault="000F5378">
      <w:pPr>
        <w:jc w:val="center"/>
        <w:rPr>
          <w:b/>
          <w:sz w:val="24"/>
          <w:szCs w:val="24"/>
        </w:rPr>
      </w:pPr>
      <w:r w:rsidRPr="009C51A9">
        <w:rPr>
          <w:b/>
          <w:sz w:val="24"/>
          <w:szCs w:val="24"/>
        </w:rPr>
        <w:t>Technické podmínky Dodávky</w:t>
      </w:r>
    </w:p>
    <w:p w14:paraId="6F4853B0" w14:textId="77777777" w:rsidR="009C51A9" w:rsidRPr="009C51A9" w:rsidRDefault="009C51A9" w:rsidP="00F5156F">
      <w:pPr>
        <w:rPr>
          <w:bC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265"/>
        <w:gridCol w:w="2265"/>
        <w:gridCol w:w="2266"/>
        <w:gridCol w:w="2266"/>
      </w:tblGrid>
      <w:tr w:rsidR="009C51A9" w:rsidRPr="00950929" w14:paraId="5F85CBF5" w14:textId="77777777" w:rsidTr="009C51A9">
        <w:trPr>
          <w:trHeight w:val="397"/>
        </w:trPr>
        <w:tc>
          <w:tcPr>
            <w:tcW w:w="1250" w:type="pct"/>
            <w:shd w:val="clear" w:color="auto" w:fill="D9D9D9" w:themeFill="background1" w:themeFillShade="D9"/>
            <w:vAlign w:val="center"/>
            <w:hideMark/>
          </w:tcPr>
          <w:p w14:paraId="7A0BF526" w14:textId="77777777" w:rsidR="009C51A9" w:rsidRPr="009C51A9" w:rsidRDefault="009C51A9" w:rsidP="00950929">
            <w:pPr>
              <w:spacing w:before="40" w:after="40" w:line="240" w:lineRule="auto"/>
              <w:jc w:val="left"/>
              <w:rPr>
                <w:rFonts w:asciiTheme="minorHAnsi" w:eastAsia="Times New Roman" w:hAnsiTheme="minorHAnsi" w:cs="Times New Roman"/>
                <w:b/>
                <w:bCs/>
                <w:sz w:val="22"/>
              </w:rPr>
            </w:pPr>
            <w:r w:rsidRPr="009C51A9">
              <w:rPr>
                <w:rFonts w:asciiTheme="minorHAnsi" w:eastAsia="Times New Roman" w:hAnsiTheme="minorHAnsi" w:cs="Times New Roman"/>
                <w:b/>
                <w:bCs/>
                <w:sz w:val="22"/>
              </w:rPr>
              <w:t>Parametr</w:t>
            </w:r>
          </w:p>
        </w:tc>
        <w:tc>
          <w:tcPr>
            <w:tcW w:w="1250" w:type="pct"/>
            <w:shd w:val="clear" w:color="auto" w:fill="D9D9D9" w:themeFill="background1" w:themeFillShade="D9"/>
            <w:noWrap/>
            <w:vAlign w:val="center"/>
            <w:hideMark/>
          </w:tcPr>
          <w:p w14:paraId="37C8B482" w14:textId="77777777" w:rsidR="009C51A9" w:rsidRPr="009C51A9" w:rsidRDefault="009C51A9" w:rsidP="00950929">
            <w:pPr>
              <w:spacing w:before="40" w:after="40" w:line="240" w:lineRule="auto"/>
              <w:jc w:val="center"/>
              <w:rPr>
                <w:rFonts w:asciiTheme="minorHAnsi" w:eastAsia="Times New Roman" w:hAnsiTheme="minorHAnsi" w:cs="Times New Roman"/>
                <w:b/>
                <w:bCs/>
                <w:sz w:val="22"/>
              </w:rPr>
            </w:pPr>
            <w:r w:rsidRPr="009C51A9">
              <w:rPr>
                <w:rFonts w:asciiTheme="minorHAnsi" w:eastAsia="Times New Roman" w:hAnsiTheme="minorHAnsi" w:cs="Times New Roman"/>
                <w:b/>
                <w:bCs/>
                <w:sz w:val="22"/>
              </w:rPr>
              <w:t>Kvalita "A"</w:t>
            </w:r>
          </w:p>
          <w:p w14:paraId="29C1A2E3" w14:textId="77777777" w:rsidR="009C51A9" w:rsidRPr="009C51A9" w:rsidRDefault="009C51A9" w:rsidP="00950929">
            <w:pPr>
              <w:spacing w:before="40" w:after="40" w:line="240" w:lineRule="auto"/>
              <w:jc w:val="center"/>
              <w:rPr>
                <w:rFonts w:asciiTheme="minorHAnsi" w:eastAsia="Times New Roman" w:hAnsiTheme="minorHAnsi" w:cs="Times New Roman"/>
                <w:b/>
                <w:bCs/>
                <w:sz w:val="22"/>
              </w:rPr>
            </w:pPr>
            <w:r w:rsidRPr="009C51A9">
              <w:rPr>
                <w:rFonts w:asciiTheme="minorHAnsi" w:eastAsia="Times New Roman" w:hAnsiTheme="minorHAnsi" w:cs="Times New Roman"/>
                <w:b/>
                <w:bCs/>
                <w:sz w:val="22"/>
              </w:rPr>
              <w:t>požadované parametry</w:t>
            </w:r>
          </w:p>
        </w:tc>
        <w:tc>
          <w:tcPr>
            <w:tcW w:w="1250" w:type="pct"/>
            <w:shd w:val="clear" w:color="auto" w:fill="D9D9D9" w:themeFill="background1" w:themeFillShade="D9"/>
          </w:tcPr>
          <w:p w14:paraId="0492B922" w14:textId="77777777" w:rsidR="009C51A9" w:rsidRPr="009C51A9" w:rsidRDefault="009C51A9" w:rsidP="00950929">
            <w:pPr>
              <w:spacing w:before="40" w:after="40" w:line="240" w:lineRule="auto"/>
              <w:jc w:val="center"/>
              <w:rPr>
                <w:rFonts w:asciiTheme="minorHAnsi" w:eastAsia="Times New Roman" w:hAnsiTheme="minorHAnsi" w:cs="Times New Roman"/>
                <w:b/>
                <w:bCs/>
                <w:sz w:val="22"/>
              </w:rPr>
            </w:pPr>
            <w:r w:rsidRPr="009C51A9">
              <w:rPr>
                <w:rFonts w:asciiTheme="minorHAnsi" w:eastAsia="Times New Roman" w:hAnsiTheme="minorHAnsi" w:cs="Times New Roman"/>
                <w:b/>
                <w:bCs/>
                <w:sz w:val="22"/>
              </w:rPr>
              <w:t>Kvalita "A"</w:t>
            </w:r>
          </w:p>
          <w:p w14:paraId="0BD4F897" w14:textId="77777777" w:rsidR="009C51A9" w:rsidRPr="009C51A9" w:rsidRDefault="009C51A9" w:rsidP="00950929">
            <w:pPr>
              <w:spacing w:before="40" w:after="40" w:line="240" w:lineRule="auto"/>
              <w:jc w:val="center"/>
              <w:rPr>
                <w:rFonts w:asciiTheme="minorHAnsi" w:eastAsia="Times New Roman" w:hAnsiTheme="minorHAnsi" w:cs="Times New Roman"/>
                <w:b/>
                <w:bCs/>
                <w:sz w:val="22"/>
              </w:rPr>
            </w:pPr>
            <w:r w:rsidRPr="009C51A9">
              <w:rPr>
                <w:rFonts w:asciiTheme="minorHAnsi" w:eastAsia="Times New Roman" w:hAnsiTheme="minorHAnsi" w:cs="Times New Roman"/>
                <w:b/>
                <w:bCs/>
                <w:sz w:val="22"/>
              </w:rPr>
              <w:t>nabízené parametry</w:t>
            </w:r>
          </w:p>
        </w:tc>
        <w:tc>
          <w:tcPr>
            <w:tcW w:w="1250" w:type="pct"/>
            <w:shd w:val="clear" w:color="auto" w:fill="D9D9D9" w:themeFill="background1" w:themeFillShade="D9"/>
            <w:vAlign w:val="center"/>
            <w:hideMark/>
          </w:tcPr>
          <w:p w14:paraId="0650A991" w14:textId="77777777" w:rsidR="009C51A9" w:rsidRPr="009C51A9" w:rsidRDefault="009C51A9" w:rsidP="00950929">
            <w:pPr>
              <w:spacing w:before="40" w:after="40" w:line="240" w:lineRule="auto"/>
              <w:jc w:val="center"/>
              <w:rPr>
                <w:rFonts w:asciiTheme="minorHAnsi" w:eastAsia="Times New Roman" w:hAnsiTheme="minorHAnsi" w:cs="Times New Roman"/>
                <w:b/>
                <w:bCs/>
                <w:sz w:val="22"/>
              </w:rPr>
            </w:pPr>
            <w:r w:rsidRPr="009C51A9">
              <w:rPr>
                <w:rFonts w:asciiTheme="minorHAnsi" w:eastAsia="Times New Roman" w:hAnsiTheme="minorHAnsi" w:cs="Times New Roman"/>
                <w:b/>
                <w:bCs/>
                <w:sz w:val="22"/>
              </w:rPr>
              <w:t>Poznámka</w:t>
            </w:r>
          </w:p>
        </w:tc>
      </w:tr>
      <w:tr w:rsidR="009C51A9" w:rsidRPr="00493012" w14:paraId="28B2AFFD" w14:textId="77777777" w:rsidTr="009C51A9">
        <w:trPr>
          <w:trHeight w:val="397"/>
        </w:trPr>
        <w:tc>
          <w:tcPr>
            <w:tcW w:w="1250" w:type="pct"/>
            <w:shd w:val="clear" w:color="auto" w:fill="auto"/>
            <w:vAlign w:val="center"/>
          </w:tcPr>
          <w:p w14:paraId="2AEE5D42"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Obchodní označení </w:t>
            </w:r>
          </w:p>
        </w:tc>
        <w:tc>
          <w:tcPr>
            <w:tcW w:w="1250" w:type="pct"/>
            <w:shd w:val="clear" w:color="auto" w:fill="auto"/>
            <w:vAlign w:val="center"/>
          </w:tcPr>
          <w:p w14:paraId="157C6BFF" w14:textId="46E08598"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80</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g</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m</w:t>
            </w:r>
            <w:r w:rsidRPr="00493012">
              <w:rPr>
                <w:rFonts w:asciiTheme="minorHAnsi" w:eastAsia="Times New Roman" w:hAnsiTheme="minorHAnsi" w:cs="Times New Roman"/>
                <w:sz w:val="22"/>
                <w:vertAlign w:val="superscript"/>
              </w:rPr>
              <w:t>2</w:t>
            </w:r>
          </w:p>
        </w:tc>
        <w:tc>
          <w:tcPr>
            <w:tcW w:w="1250" w:type="pct"/>
            <w:shd w:val="clear" w:color="auto" w:fill="auto"/>
            <w:vAlign w:val="center"/>
          </w:tcPr>
          <w:p w14:paraId="6147BFE5" w14:textId="77777777" w:rsidR="009C51A9" w:rsidRPr="009C51A9" w:rsidRDefault="009C51A9" w:rsidP="009C51A9">
            <w:pPr>
              <w:spacing w:before="40" w:after="100" w:afterAutospacing="1" w:line="20" w:lineRule="atLeast"/>
              <w:ind w:left="57"/>
              <w:jc w:val="left"/>
              <w:rPr>
                <w:rFonts w:asciiTheme="minorHAnsi" w:eastAsia="Times New Roman" w:hAnsiTheme="minorHAnsi" w:cs="Times New Roman"/>
                <w:sz w:val="22"/>
              </w:rPr>
            </w:pPr>
            <w:r w:rsidRPr="009C51A9">
              <w:rPr>
                <w:rFonts w:asciiTheme="minorHAnsi" w:eastAsia="Times New Roman" w:hAnsiTheme="minorHAnsi" w:cs="Times New Roman"/>
                <w:sz w:val="22"/>
              </w:rPr>
              <w:t>360 Excellent</w:t>
            </w:r>
          </w:p>
        </w:tc>
        <w:tc>
          <w:tcPr>
            <w:tcW w:w="1250" w:type="pct"/>
            <w:shd w:val="clear" w:color="auto" w:fill="auto"/>
            <w:vAlign w:val="center"/>
          </w:tcPr>
          <w:p w14:paraId="5AEF483A"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p>
        </w:tc>
      </w:tr>
      <w:tr w:rsidR="009C51A9" w:rsidRPr="00493012" w14:paraId="2F37B9B9" w14:textId="77777777" w:rsidTr="009C51A9">
        <w:trPr>
          <w:trHeight w:val="397"/>
        </w:trPr>
        <w:tc>
          <w:tcPr>
            <w:tcW w:w="1250" w:type="pct"/>
            <w:shd w:val="clear" w:color="auto" w:fill="auto"/>
            <w:vAlign w:val="center"/>
          </w:tcPr>
          <w:p w14:paraId="6A164B5C"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Plošná hmotnost</w:t>
            </w:r>
          </w:p>
        </w:tc>
        <w:tc>
          <w:tcPr>
            <w:tcW w:w="1250" w:type="pct"/>
            <w:shd w:val="clear" w:color="auto" w:fill="auto"/>
            <w:vAlign w:val="center"/>
          </w:tcPr>
          <w:p w14:paraId="7455E914" w14:textId="18755D69"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vertAlign w:val="superscript"/>
              </w:rPr>
            </w:pPr>
            <w:r w:rsidRPr="00493012">
              <w:rPr>
                <w:rFonts w:asciiTheme="minorHAnsi" w:eastAsia="Times New Roman" w:hAnsiTheme="minorHAnsi" w:cs="Times New Roman"/>
                <w:sz w:val="22"/>
              </w:rPr>
              <w:t>80</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 3,2 g</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m</w:t>
            </w:r>
            <w:r w:rsidRPr="00493012">
              <w:rPr>
                <w:rFonts w:asciiTheme="minorHAnsi" w:eastAsia="Times New Roman" w:hAnsiTheme="minorHAnsi" w:cs="Times New Roman"/>
                <w:sz w:val="22"/>
                <w:vertAlign w:val="superscript"/>
              </w:rPr>
              <w:t>2</w:t>
            </w:r>
          </w:p>
        </w:tc>
        <w:tc>
          <w:tcPr>
            <w:tcW w:w="1250" w:type="pct"/>
            <w:shd w:val="clear" w:color="auto" w:fill="auto"/>
            <w:vAlign w:val="center"/>
          </w:tcPr>
          <w:p w14:paraId="1EDB8A3F" w14:textId="6C61495C" w:rsidR="009C51A9" w:rsidRPr="009C51A9" w:rsidRDefault="009C51A9" w:rsidP="009C51A9">
            <w:pPr>
              <w:spacing w:after="100" w:afterAutospacing="1" w:line="20" w:lineRule="atLeast"/>
              <w:ind w:left="57"/>
              <w:jc w:val="left"/>
              <w:rPr>
                <w:rFonts w:asciiTheme="minorHAnsi" w:eastAsia="Times New Roman" w:hAnsiTheme="minorHAnsi" w:cs="Times New Roman"/>
                <w:sz w:val="22"/>
              </w:rPr>
            </w:pPr>
            <w:r w:rsidRPr="009C51A9">
              <w:rPr>
                <w:rFonts w:asciiTheme="minorHAnsi" w:eastAsia="Times New Roman" w:hAnsiTheme="minorHAnsi" w:cs="Times New Roman"/>
                <w:sz w:val="22"/>
              </w:rPr>
              <w:t>80 g / m</w:t>
            </w:r>
            <w:r w:rsidRPr="009C51A9">
              <w:rPr>
                <w:rFonts w:asciiTheme="minorHAnsi" w:eastAsia="Times New Roman" w:hAnsiTheme="minorHAnsi" w:cs="Times New Roman"/>
                <w:sz w:val="22"/>
                <w:vertAlign w:val="superscript"/>
              </w:rPr>
              <w:t>2</w:t>
            </w:r>
          </w:p>
        </w:tc>
        <w:tc>
          <w:tcPr>
            <w:tcW w:w="1250" w:type="pct"/>
            <w:shd w:val="clear" w:color="auto" w:fill="auto"/>
            <w:vAlign w:val="center"/>
          </w:tcPr>
          <w:p w14:paraId="23CDF4DE"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ČSN EN ISO 536</w:t>
            </w:r>
          </w:p>
        </w:tc>
      </w:tr>
      <w:tr w:rsidR="009C51A9" w:rsidRPr="00493012" w14:paraId="7DC01C12" w14:textId="77777777" w:rsidTr="009C51A9">
        <w:trPr>
          <w:trHeight w:val="397"/>
        </w:trPr>
        <w:tc>
          <w:tcPr>
            <w:tcW w:w="1250" w:type="pct"/>
            <w:shd w:val="clear" w:color="auto" w:fill="auto"/>
            <w:vAlign w:val="center"/>
            <w:hideMark/>
          </w:tcPr>
          <w:p w14:paraId="07DCCD38"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Opacita</w:t>
            </w:r>
          </w:p>
        </w:tc>
        <w:tc>
          <w:tcPr>
            <w:tcW w:w="1250" w:type="pct"/>
            <w:shd w:val="clear" w:color="auto" w:fill="auto"/>
            <w:vAlign w:val="center"/>
            <w:hideMark/>
          </w:tcPr>
          <w:p w14:paraId="3CB99D1C"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min. 92 %</w:t>
            </w:r>
          </w:p>
        </w:tc>
        <w:tc>
          <w:tcPr>
            <w:tcW w:w="1250" w:type="pct"/>
            <w:shd w:val="clear" w:color="auto" w:fill="auto"/>
            <w:vAlign w:val="center"/>
          </w:tcPr>
          <w:p w14:paraId="37CD04C1" w14:textId="2444F119"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95 + 2 / -1</w:t>
            </w:r>
          </w:p>
        </w:tc>
        <w:tc>
          <w:tcPr>
            <w:tcW w:w="1250" w:type="pct"/>
            <w:shd w:val="clear" w:color="auto" w:fill="auto"/>
            <w:vAlign w:val="center"/>
            <w:hideMark/>
          </w:tcPr>
          <w:p w14:paraId="4F6200A8"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ISO 2471</w:t>
            </w:r>
          </w:p>
        </w:tc>
      </w:tr>
      <w:tr w:rsidR="009C51A9" w:rsidRPr="00493012" w14:paraId="560A11D8" w14:textId="77777777" w:rsidTr="009C51A9">
        <w:trPr>
          <w:trHeight w:val="397"/>
        </w:trPr>
        <w:tc>
          <w:tcPr>
            <w:tcW w:w="1250" w:type="pct"/>
            <w:shd w:val="clear" w:color="auto" w:fill="auto"/>
            <w:vAlign w:val="center"/>
            <w:hideMark/>
          </w:tcPr>
          <w:p w14:paraId="4E01E615"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Bělost CIE </w:t>
            </w:r>
          </w:p>
        </w:tc>
        <w:tc>
          <w:tcPr>
            <w:tcW w:w="1250" w:type="pct"/>
            <w:shd w:val="clear" w:color="auto" w:fill="auto"/>
            <w:vAlign w:val="center"/>
            <w:hideMark/>
          </w:tcPr>
          <w:p w14:paraId="39E4A419"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168 ± 3</w:t>
            </w:r>
          </w:p>
        </w:tc>
        <w:tc>
          <w:tcPr>
            <w:tcW w:w="1250" w:type="pct"/>
            <w:shd w:val="clear" w:color="auto" w:fill="auto"/>
            <w:vAlign w:val="center"/>
          </w:tcPr>
          <w:p w14:paraId="13781F36"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170 ± 3</w:t>
            </w:r>
          </w:p>
        </w:tc>
        <w:tc>
          <w:tcPr>
            <w:tcW w:w="1250" w:type="pct"/>
            <w:shd w:val="clear" w:color="auto" w:fill="auto"/>
            <w:vAlign w:val="center"/>
            <w:hideMark/>
          </w:tcPr>
          <w:p w14:paraId="5595271B"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ISO 11475</w:t>
            </w:r>
          </w:p>
        </w:tc>
      </w:tr>
      <w:tr w:rsidR="009C51A9" w:rsidRPr="00493012" w14:paraId="1DE193CC" w14:textId="77777777" w:rsidTr="009C51A9">
        <w:trPr>
          <w:trHeight w:val="397"/>
        </w:trPr>
        <w:tc>
          <w:tcPr>
            <w:tcW w:w="1250" w:type="pct"/>
            <w:shd w:val="clear" w:color="auto" w:fill="auto"/>
            <w:vAlign w:val="center"/>
            <w:hideMark/>
          </w:tcPr>
          <w:p w14:paraId="5B5B7FE8"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Hladkost, měřena jako hrubost metodou Bendtsen</w:t>
            </w:r>
          </w:p>
        </w:tc>
        <w:tc>
          <w:tcPr>
            <w:tcW w:w="1250" w:type="pct"/>
            <w:shd w:val="clear" w:color="auto" w:fill="auto"/>
            <w:vAlign w:val="center"/>
            <w:hideMark/>
          </w:tcPr>
          <w:p w14:paraId="6046CB75" w14:textId="6E178B83"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180 cm</w:t>
            </w:r>
            <w:r w:rsidRPr="00493012">
              <w:rPr>
                <w:rFonts w:asciiTheme="minorHAnsi" w:eastAsia="Times New Roman" w:hAnsiTheme="minorHAnsi" w:cs="Times New Roman"/>
                <w:sz w:val="22"/>
                <w:vertAlign w:val="superscript"/>
              </w:rPr>
              <w:t>3</w:t>
            </w:r>
            <w:r>
              <w:rPr>
                <w:rFonts w:asciiTheme="minorHAnsi" w:eastAsia="Times New Roman" w:hAnsiTheme="minorHAnsi" w:cs="Times New Roman"/>
                <w:sz w:val="22"/>
                <w:vertAlign w:val="superscript"/>
              </w:rPr>
              <w:t xml:space="preserve"> </w:t>
            </w:r>
            <w:r w:rsidRPr="00493012">
              <w:rPr>
                <w:rFonts w:asciiTheme="minorHAnsi" w:eastAsia="Times New Roman" w:hAnsiTheme="minorHAnsi" w:cs="Times New Roman"/>
                <w:sz w:val="22"/>
              </w:rPr>
              <w:t>/</w:t>
            </w:r>
            <w:r>
              <w:rPr>
                <w:rFonts w:asciiTheme="minorHAnsi" w:eastAsia="Times New Roman" w:hAnsiTheme="minorHAnsi" w:cs="Times New Roman"/>
                <w:sz w:val="22"/>
              </w:rPr>
              <w:t xml:space="preserve"> </w:t>
            </w:r>
            <w:r w:rsidRPr="00493012">
              <w:rPr>
                <w:rFonts w:asciiTheme="minorHAnsi" w:eastAsia="Times New Roman" w:hAnsiTheme="minorHAnsi" w:cs="Times New Roman"/>
                <w:sz w:val="22"/>
              </w:rPr>
              <w:t>min ± 50</w:t>
            </w:r>
          </w:p>
        </w:tc>
        <w:tc>
          <w:tcPr>
            <w:tcW w:w="1250" w:type="pct"/>
            <w:shd w:val="clear" w:color="auto" w:fill="auto"/>
            <w:vAlign w:val="center"/>
          </w:tcPr>
          <w:p w14:paraId="16F84217"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180 ± 50</w:t>
            </w:r>
          </w:p>
        </w:tc>
        <w:tc>
          <w:tcPr>
            <w:tcW w:w="1250" w:type="pct"/>
            <w:shd w:val="clear" w:color="auto" w:fill="auto"/>
            <w:vAlign w:val="center"/>
            <w:hideMark/>
          </w:tcPr>
          <w:p w14:paraId="5FDF8AED"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Průměrná hodnota horní a spodní strany, </w:t>
            </w:r>
            <w:r w:rsidRPr="00493012">
              <w:rPr>
                <w:rFonts w:asciiTheme="minorHAnsi" w:eastAsiaTheme="minorHAnsi" w:hAnsiTheme="minorHAnsi"/>
                <w:sz w:val="22"/>
              </w:rPr>
              <w:t>ČSN ISO 8791-2</w:t>
            </w:r>
          </w:p>
        </w:tc>
      </w:tr>
      <w:tr w:rsidR="009C51A9" w:rsidRPr="00493012" w14:paraId="0C666B75" w14:textId="77777777" w:rsidTr="009C51A9">
        <w:trPr>
          <w:trHeight w:val="397"/>
        </w:trPr>
        <w:tc>
          <w:tcPr>
            <w:tcW w:w="1250" w:type="pct"/>
            <w:shd w:val="clear" w:color="auto" w:fill="auto"/>
            <w:vAlign w:val="center"/>
            <w:hideMark/>
          </w:tcPr>
          <w:p w14:paraId="71EFA996"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Formát</w:t>
            </w:r>
          </w:p>
        </w:tc>
        <w:tc>
          <w:tcPr>
            <w:tcW w:w="1250" w:type="pct"/>
            <w:shd w:val="clear" w:color="auto" w:fill="auto"/>
            <w:vAlign w:val="center"/>
            <w:hideMark/>
          </w:tcPr>
          <w:p w14:paraId="1249CD57"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1250" w:type="pct"/>
            <w:shd w:val="clear" w:color="auto" w:fill="auto"/>
            <w:vAlign w:val="center"/>
          </w:tcPr>
          <w:p w14:paraId="3457412C"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A3, A4</w:t>
            </w:r>
          </w:p>
        </w:tc>
        <w:tc>
          <w:tcPr>
            <w:tcW w:w="1250" w:type="pct"/>
            <w:shd w:val="clear" w:color="auto" w:fill="auto"/>
            <w:vAlign w:val="center"/>
            <w:hideMark/>
          </w:tcPr>
          <w:p w14:paraId="758F1004"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ČSN EN ISO 216</w:t>
            </w:r>
          </w:p>
        </w:tc>
      </w:tr>
      <w:tr w:rsidR="009C51A9" w:rsidRPr="00493012" w14:paraId="397EA67F" w14:textId="77777777" w:rsidTr="009C51A9">
        <w:trPr>
          <w:trHeight w:val="397"/>
        </w:trPr>
        <w:tc>
          <w:tcPr>
            <w:tcW w:w="1250" w:type="pct"/>
            <w:shd w:val="clear" w:color="auto" w:fill="auto"/>
            <w:vAlign w:val="center"/>
          </w:tcPr>
          <w:p w14:paraId="503520AC"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Oboustranný tisk</w:t>
            </w:r>
          </w:p>
        </w:tc>
        <w:tc>
          <w:tcPr>
            <w:tcW w:w="1250" w:type="pct"/>
            <w:shd w:val="clear" w:color="auto" w:fill="auto"/>
            <w:vAlign w:val="center"/>
          </w:tcPr>
          <w:p w14:paraId="21335707"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1250" w:type="pct"/>
            <w:shd w:val="clear" w:color="auto" w:fill="auto"/>
            <w:vAlign w:val="center"/>
          </w:tcPr>
          <w:p w14:paraId="499E7AA3"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ANO</w:t>
            </w:r>
          </w:p>
        </w:tc>
        <w:tc>
          <w:tcPr>
            <w:tcW w:w="1250" w:type="pct"/>
            <w:shd w:val="clear" w:color="auto" w:fill="auto"/>
            <w:vAlign w:val="center"/>
          </w:tcPr>
          <w:p w14:paraId="2E4C2044"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p>
        </w:tc>
      </w:tr>
      <w:tr w:rsidR="009C51A9" w:rsidRPr="00493012" w14:paraId="5B2695F6" w14:textId="77777777" w:rsidTr="009C51A9">
        <w:trPr>
          <w:trHeight w:val="397"/>
        </w:trPr>
        <w:tc>
          <w:tcPr>
            <w:tcW w:w="1250" w:type="pct"/>
            <w:shd w:val="clear" w:color="auto" w:fill="auto"/>
            <w:vAlign w:val="center"/>
            <w:hideMark/>
          </w:tcPr>
          <w:p w14:paraId="4AC62F27"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Laserový tisk</w:t>
            </w:r>
          </w:p>
        </w:tc>
        <w:tc>
          <w:tcPr>
            <w:tcW w:w="1250" w:type="pct"/>
            <w:shd w:val="clear" w:color="auto" w:fill="auto"/>
            <w:vAlign w:val="center"/>
            <w:hideMark/>
          </w:tcPr>
          <w:p w14:paraId="300BBCEB"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1250" w:type="pct"/>
            <w:shd w:val="clear" w:color="auto" w:fill="auto"/>
            <w:vAlign w:val="center"/>
          </w:tcPr>
          <w:p w14:paraId="4D5B3D5D"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ANO</w:t>
            </w:r>
          </w:p>
        </w:tc>
        <w:tc>
          <w:tcPr>
            <w:tcW w:w="1250" w:type="pct"/>
            <w:shd w:val="clear" w:color="auto" w:fill="auto"/>
            <w:vAlign w:val="center"/>
            <w:hideMark/>
          </w:tcPr>
          <w:p w14:paraId="1B99177B"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p>
        </w:tc>
      </w:tr>
      <w:tr w:rsidR="009C51A9" w:rsidRPr="00493012" w14:paraId="677CAE50" w14:textId="77777777" w:rsidTr="009C51A9">
        <w:trPr>
          <w:trHeight w:val="397"/>
        </w:trPr>
        <w:tc>
          <w:tcPr>
            <w:tcW w:w="1250" w:type="pct"/>
            <w:shd w:val="clear" w:color="auto" w:fill="auto"/>
            <w:vAlign w:val="center"/>
            <w:hideMark/>
          </w:tcPr>
          <w:p w14:paraId="7253D4C2"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Inkoustový tisk </w:t>
            </w:r>
          </w:p>
        </w:tc>
        <w:tc>
          <w:tcPr>
            <w:tcW w:w="1250" w:type="pct"/>
            <w:shd w:val="clear" w:color="auto" w:fill="auto"/>
            <w:vAlign w:val="center"/>
            <w:hideMark/>
          </w:tcPr>
          <w:p w14:paraId="151600E1"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1250" w:type="pct"/>
            <w:shd w:val="clear" w:color="auto" w:fill="auto"/>
            <w:vAlign w:val="center"/>
          </w:tcPr>
          <w:p w14:paraId="082C6885"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ANO</w:t>
            </w:r>
          </w:p>
        </w:tc>
        <w:tc>
          <w:tcPr>
            <w:tcW w:w="1250" w:type="pct"/>
            <w:shd w:val="clear" w:color="auto" w:fill="auto"/>
            <w:vAlign w:val="center"/>
            <w:hideMark/>
          </w:tcPr>
          <w:p w14:paraId="2E680460"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p>
        </w:tc>
      </w:tr>
      <w:tr w:rsidR="009C51A9" w:rsidRPr="00493012" w14:paraId="1A3D87E2" w14:textId="77777777" w:rsidTr="009C51A9">
        <w:trPr>
          <w:trHeight w:val="397"/>
        </w:trPr>
        <w:tc>
          <w:tcPr>
            <w:tcW w:w="1250" w:type="pct"/>
            <w:shd w:val="clear" w:color="auto" w:fill="auto"/>
            <w:vAlign w:val="center"/>
            <w:hideMark/>
          </w:tcPr>
          <w:p w14:paraId="3538324B"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Ekologická značka</w:t>
            </w:r>
          </w:p>
        </w:tc>
        <w:tc>
          <w:tcPr>
            <w:tcW w:w="1250" w:type="pct"/>
            <w:shd w:val="clear" w:color="auto" w:fill="auto"/>
            <w:vAlign w:val="center"/>
            <w:hideMark/>
          </w:tcPr>
          <w:p w14:paraId="47EE2B0E"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1250" w:type="pct"/>
            <w:shd w:val="clear" w:color="auto" w:fill="auto"/>
            <w:vAlign w:val="center"/>
          </w:tcPr>
          <w:p w14:paraId="16F6A0B0"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ANO</w:t>
            </w:r>
          </w:p>
        </w:tc>
        <w:tc>
          <w:tcPr>
            <w:tcW w:w="1250" w:type="pct"/>
            <w:shd w:val="clear" w:color="auto" w:fill="auto"/>
            <w:vAlign w:val="center"/>
            <w:hideMark/>
          </w:tcPr>
          <w:p w14:paraId="570FF52C"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Ekoznačka EU (Ecolabel)</w:t>
            </w:r>
          </w:p>
        </w:tc>
      </w:tr>
      <w:tr w:rsidR="009C51A9" w:rsidRPr="00493012" w14:paraId="1390FD68" w14:textId="77777777" w:rsidTr="009C51A9">
        <w:trPr>
          <w:trHeight w:val="397"/>
        </w:trPr>
        <w:tc>
          <w:tcPr>
            <w:tcW w:w="1250" w:type="pct"/>
            <w:shd w:val="clear" w:color="auto" w:fill="auto"/>
            <w:vAlign w:val="center"/>
            <w:hideMark/>
          </w:tcPr>
          <w:p w14:paraId="459295FC"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Tloušťka</w:t>
            </w:r>
          </w:p>
        </w:tc>
        <w:tc>
          <w:tcPr>
            <w:tcW w:w="1250" w:type="pct"/>
            <w:shd w:val="clear" w:color="auto" w:fill="auto"/>
            <w:noWrap/>
            <w:vAlign w:val="center"/>
            <w:hideMark/>
          </w:tcPr>
          <w:p w14:paraId="2390B6D2"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107 ± 3 µm</w:t>
            </w:r>
          </w:p>
        </w:tc>
        <w:tc>
          <w:tcPr>
            <w:tcW w:w="1250" w:type="pct"/>
            <w:shd w:val="clear" w:color="auto" w:fill="auto"/>
            <w:vAlign w:val="center"/>
          </w:tcPr>
          <w:p w14:paraId="01C25AB4" w14:textId="77777777" w:rsidR="009C51A9" w:rsidRPr="009C51A9" w:rsidRDefault="009C51A9" w:rsidP="009C51A9">
            <w:pPr>
              <w:spacing w:after="100" w:afterAutospacing="1" w:line="20" w:lineRule="atLeast"/>
              <w:ind w:left="57"/>
              <w:jc w:val="left"/>
              <w:rPr>
                <w:rFonts w:asciiTheme="minorHAnsi" w:eastAsiaTheme="minorHAnsi" w:hAnsiTheme="minorHAnsi"/>
                <w:sz w:val="22"/>
                <w:lang w:eastAsia="en-US"/>
              </w:rPr>
            </w:pPr>
            <w:r w:rsidRPr="009C51A9">
              <w:rPr>
                <w:rFonts w:asciiTheme="minorHAnsi" w:eastAsia="Times New Roman" w:hAnsiTheme="minorHAnsi" w:cs="Times New Roman"/>
                <w:sz w:val="22"/>
              </w:rPr>
              <w:t>112 ± 3 μm</w:t>
            </w:r>
          </w:p>
        </w:tc>
        <w:tc>
          <w:tcPr>
            <w:tcW w:w="1250" w:type="pct"/>
            <w:shd w:val="clear" w:color="auto" w:fill="auto"/>
            <w:vAlign w:val="center"/>
            <w:hideMark/>
          </w:tcPr>
          <w:p w14:paraId="0E84B143"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ISO 534</w:t>
            </w:r>
          </w:p>
        </w:tc>
      </w:tr>
      <w:tr w:rsidR="009C51A9" w:rsidRPr="00493012" w14:paraId="1CB6A651" w14:textId="77777777" w:rsidTr="009C51A9">
        <w:trPr>
          <w:trHeight w:val="397"/>
        </w:trPr>
        <w:tc>
          <w:tcPr>
            <w:tcW w:w="1250" w:type="pct"/>
            <w:shd w:val="clear" w:color="auto" w:fill="auto"/>
            <w:vAlign w:val="center"/>
          </w:tcPr>
          <w:p w14:paraId="3C563CBF"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Archivace</w:t>
            </w:r>
          </w:p>
        </w:tc>
        <w:tc>
          <w:tcPr>
            <w:tcW w:w="1250" w:type="pct"/>
            <w:shd w:val="clear" w:color="auto" w:fill="auto"/>
            <w:noWrap/>
            <w:vAlign w:val="center"/>
          </w:tcPr>
          <w:p w14:paraId="53654D8B"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1250" w:type="pct"/>
            <w:shd w:val="clear" w:color="auto" w:fill="auto"/>
            <w:vAlign w:val="center"/>
          </w:tcPr>
          <w:p w14:paraId="705CA562" w14:textId="77777777" w:rsidR="009C51A9" w:rsidRPr="009C51A9" w:rsidRDefault="009C51A9" w:rsidP="009C51A9">
            <w:pPr>
              <w:spacing w:before="40" w:after="100" w:afterAutospacing="1" w:line="20" w:lineRule="atLeast"/>
              <w:ind w:left="57"/>
              <w:jc w:val="left"/>
              <w:rPr>
                <w:rFonts w:asciiTheme="minorHAnsi" w:eastAsia="Times New Roman" w:hAnsiTheme="minorHAnsi" w:cs="Times New Roman"/>
                <w:sz w:val="22"/>
              </w:rPr>
            </w:pPr>
            <w:r w:rsidRPr="009C51A9">
              <w:rPr>
                <w:rFonts w:asciiTheme="minorHAnsi" w:eastAsia="Times New Roman" w:hAnsiTheme="minorHAnsi" w:cs="Times New Roman"/>
                <w:sz w:val="22"/>
              </w:rPr>
              <w:t>ANO</w:t>
            </w:r>
          </w:p>
        </w:tc>
        <w:tc>
          <w:tcPr>
            <w:tcW w:w="1250" w:type="pct"/>
            <w:shd w:val="clear" w:color="auto" w:fill="auto"/>
            <w:vAlign w:val="center"/>
          </w:tcPr>
          <w:p w14:paraId="08D98B03" w14:textId="77777777" w:rsidR="009C51A9" w:rsidRPr="00493012" w:rsidRDefault="009C51A9" w:rsidP="009C51A9">
            <w:pPr>
              <w:spacing w:before="40" w:after="100" w:afterAutospacing="1" w:line="20" w:lineRule="atLeast"/>
              <w:ind w:left="57"/>
              <w:jc w:val="left"/>
              <w:rPr>
                <w:rFonts w:asciiTheme="minorHAnsi" w:eastAsia="Times New Roman" w:hAnsiTheme="minorHAnsi" w:cs="Times New Roman"/>
                <w:sz w:val="22"/>
              </w:rPr>
            </w:pPr>
            <w:r w:rsidRPr="00493012">
              <w:rPr>
                <w:rFonts w:asciiTheme="minorHAnsi" w:eastAsia="Times New Roman" w:hAnsiTheme="minorHAnsi" w:cs="Times New Roman"/>
                <w:sz w:val="22"/>
              </w:rPr>
              <w:t>ISO 9706</w:t>
            </w:r>
          </w:p>
        </w:tc>
      </w:tr>
    </w:tbl>
    <w:p w14:paraId="79AA568F" w14:textId="77777777" w:rsidR="00976F61" w:rsidRDefault="00976F61">
      <w:pPr>
        <w:jc w:val="center"/>
        <w:rPr>
          <w:b/>
        </w:rPr>
      </w:pPr>
    </w:p>
    <w:p w14:paraId="2D787818" w14:textId="77777777" w:rsidR="00507F2C" w:rsidRDefault="00507F2C" w:rsidP="00507F2C"/>
    <w:p w14:paraId="01A3F7AE" w14:textId="77777777" w:rsidR="00507F2C" w:rsidRDefault="00507F2C" w:rsidP="00507F2C">
      <w:pPr>
        <w:sectPr w:rsidR="00507F2C" w:rsidSect="009C51A9">
          <w:footerReference w:type="default" r:id="rId10"/>
          <w:pgSz w:w="11906" w:h="16838"/>
          <w:pgMar w:top="1417" w:right="1417" w:bottom="1417" w:left="1417" w:header="708" w:footer="708" w:gutter="0"/>
          <w:cols w:space="708"/>
          <w:docGrid w:linePitch="360"/>
        </w:sectPr>
      </w:pPr>
    </w:p>
    <w:p w14:paraId="059720BF" w14:textId="6EBE3480" w:rsidR="00976F61" w:rsidRPr="00F5156F" w:rsidRDefault="000F5378">
      <w:pPr>
        <w:spacing w:after="60"/>
        <w:jc w:val="center"/>
        <w:rPr>
          <w:b/>
          <w:sz w:val="24"/>
          <w:szCs w:val="24"/>
        </w:rPr>
      </w:pPr>
      <w:r w:rsidRPr="00F5156F">
        <w:rPr>
          <w:b/>
          <w:sz w:val="24"/>
          <w:szCs w:val="24"/>
        </w:rPr>
        <w:lastRenderedPageBreak/>
        <w:t>Příloha č. 2</w:t>
      </w:r>
    </w:p>
    <w:p w14:paraId="11CFEDFF" w14:textId="77777777" w:rsidR="00976F61" w:rsidRPr="00F5156F" w:rsidRDefault="000F5378">
      <w:pPr>
        <w:pStyle w:val="Zhlav"/>
        <w:jc w:val="center"/>
        <w:rPr>
          <w:b/>
          <w:sz w:val="24"/>
          <w:szCs w:val="24"/>
        </w:rPr>
      </w:pPr>
      <w:r w:rsidRPr="00F5156F">
        <w:rPr>
          <w:b/>
          <w:sz w:val="24"/>
          <w:szCs w:val="24"/>
        </w:rPr>
        <w:t>Odběrná místa a distribuční podmínky</w:t>
      </w:r>
    </w:p>
    <w:p w14:paraId="5C698280" w14:textId="77777777" w:rsidR="00976F61" w:rsidRDefault="00976F61" w:rsidP="00F5156F">
      <w:pPr>
        <w:pStyle w:val="Zhlav"/>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69"/>
        <w:gridCol w:w="2693"/>
        <w:gridCol w:w="3394"/>
      </w:tblGrid>
      <w:tr w:rsidR="00F5156F" w:rsidRPr="00757F5A" w14:paraId="28C52025" w14:textId="77777777" w:rsidTr="00270936">
        <w:trPr>
          <w:trHeight w:hRule="exact" w:val="397"/>
        </w:trPr>
        <w:tc>
          <w:tcPr>
            <w:tcW w:w="1639" w:type="pct"/>
            <w:shd w:val="clear" w:color="auto" w:fill="D9D9D9" w:themeFill="background1" w:themeFillShade="D9"/>
            <w:noWrap/>
            <w:vAlign w:val="center"/>
            <w:hideMark/>
          </w:tcPr>
          <w:p w14:paraId="13F4EFF6" w14:textId="77777777" w:rsidR="00F5156F" w:rsidRPr="0005599D" w:rsidRDefault="00F5156F" w:rsidP="00270936">
            <w:pPr>
              <w:spacing w:after="0" w:line="240" w:lineRule="auto"/>
              <w:jc w:val="left"/>
              <w:rPr>
                <w:rFonts w:eastAsia="Times New Roman" w:cs="Arial"/>
                <w:b/>
                <w:bCs/>
                <w:color w:val="000000"/>
                <w:szCs w:val="20"/>
              </w:rPr>
            </w:pPr>
            <w:r w:rsidRPr="0005599D">
              <w:rPr>
                <w:rFonts w:eastAsia="Times New Roman" w:cs="Arial"/>
                <w:b/>
                <w:bCs/>
                <w:color w:val="000000"/>
                <w:szCs w:val="20"/>
              </w:rPr>
              <w:t>Subjekt</w:t>
            </w:r>
          </w:p>
        </w:tc>
        <w:tc>
          <w:tcPr>
            <w:tcW w:w="1487" w:type="pct"/>
            <w:shd w:val="clear" w:color="auto" w:fill="D9D9D9" w:themeFill="background1" w:themeFillShade="D9"/>
            <w:vAlign w:val="center"/>
            <w:hideMark/>
          </w:tcPr>
          <w:p w14:paraId="36A668DD" w14:textId="77777777" w:rsidR="00F5156F" w:rsidRPr="0005599D" w:rsidRDefault="00F5156F" w:rsidP="00270936">
            <w:pPr>
              <w:spacing w:after="0" w:line="240" w:lineRule="auto"/>
              <w:jc w:val="left"/>
              <w:rPr>
                <w:rFonts w:eastAsia="Times New Roman" w:cs="Arial"/>
                <w:b/>
                <w:bCs/>
                <w:color w:val="000000"/>
                <w:szCs w:val="20"/>
              </w:rPr>
            </w:pPr>
            <w:r w:rsidRPr="0005599D">
              <w:rPr>
                <w:rFonts w:eastAsia="Times New Roman" w:cs="Arial"/>
                <w:b/>
                <w:bCs/>
                <w:color w:val="000000"/>
                <w:szCs w:val="20"/>
              </w:rPr>
              <w:t>Adresa</w:t>
            </w:r>
          </w:p>
        </w:tc>
        <w:tc>
          <w:tcPr>
            <w:tcW w:w="1874" w:type="pct"/>
            <w:shd w:val="clear" w:color="auto" w:fill="D9D9D9" w:themeFill="background1" w:themeFillShade="D9"/>
            <w:vAlign w:val="center"/>
            <w:hideMark/>
          </w:tcPr>
          <w:p w14:paraId="2911BE7A" w14:textId="77777777" w:rsidR="00F5156F" w:rsidRPr="0005599D" w:rsidRDefault="00F5156F" w:rsidP="00270936">
            <w:pPr>
              <w:spacing w:after="0" w:line="240" w:lineRule="auto"/>
              <w:jc w:val="left"/>
              <w:rPr>
                <w:rFonts w:eastAsia="Times New Roman" w:cs="Arial"/>
                <w:b/>
                <w:bCs/>
                <w:color w:val="000000"/>
                <w:szCs w:val="20"/>
              </w:rPr>
            </w:pPr>
            <w:r w:rsidRPr="0005599D">
              <w:rPr>
                <w:rFonts w:eastAsia="Times New Roman" w:cs="Arial"/>
                <w:b/>
                <w:bCs/>
                <w:color w:val="000000"/>
                <w:szCs w:val="20"/>
              </w:rPr>
              <w:t>Specifické požadavky na dodání</w:t>
            </w:r>
          </w:p>
        </w:tc>
      </w:tr>
      <w:tr w:rsidR="00F5156F" w:rsidRPr="00757F5A" w14:paraId="68D892B0" w14:textId="77777777" w:rsidTr="00270936">
        <w:trPr>
          <w:trHeight w:hRule="exact" w:val="1588"/>
        </w:trPr>
        <w:tc>
          <w:tcPr>
            <w:tcW w:w="1639" w:type="pct"/>
            <w:shd w:val="clear" w:color="auto" w:fill="auto"/>
            <w:noWrap/>
            <w:vAlign w:val="center"/>
            <w:hideMark/>
          </w:tcPr>
          <w:p w14:paraId="2D6EEC68" w14:textId="77777777" w:rsidR="00F5156F" w:rsidRPr="0005599D" w:rsidRDefault="00F5156F" w:rsidP="00270936">
            <w:pPr>
              <w:spacing w:after="0" w:line="240" w:lineRule="auto"/>
              <w:jc w:val="left"/>
              <w:rPr>
                <w:rFonts w:eastAsia="Times New Roman" w:cs="Arial"/>
                <w:color w:val="000000"/>
                <w:szCs w:val="20"/>
              </w:rPr>
            </w:pPr>
            <w:r w:rsidRPr="0005599D">
              <w:rPr>
                <w:rFonts w:eastAsia="Times New Roman" w:cs="Arial"/>
                <w:color w:val="000000"/>
                <w:szCs w:val="20"/>
              </w:rPr>
              <w:t>Úřad průmyslového vlastnictví</w:t>
            </w:r>
          </w:p>
        </w:tc>
        <w:tc>
          <w:tcPr>
            <w:tcW w:w="1487" w:type="pct"/>
            <w:shd w:val="clear" w:color="auto" w:fill="auto"/>
            <w:vAlign w:val="center"/>
            <w:hideMark/>
          </w:tcPr>
          <w:p w14:paraId="137017C4" w14:textId="77777777" w:rsidR="00F5156F" w:rsidRPr="0005599D" w:rsidRDefault="00F5156F" w:rsidP="00270936">
            <w:pPr>
              <w:spacing w:after="0" w:line="240" w:lineRule="auto"/>
              <w:jc w:val="left"/>
              <w:rPr>
                <w:rFonts w:eastAsia="Times New Roman" w:cs="Arial"/>
                <w:color w:val="000000"/>
                <w:szCs w:val="20"/>
              </w:rPr>
            </w:pPr>
            <w:r w:rsidRPr="0005599D">
              <w:rPr>
                <w:rFonts w:eastAsia="Times New Roman" w:cs="Arial"/>
                <w:color w:val="000000"/>
                <w:szCs w:val="20"/>
              </w:rPr>
              <w:t>Antonína Čermáka</w:t>
            </w:r>
            <w:r>
              <w:rPr>
                <w:rFonts w:eastAsia="Times New Roman" w:cs="Arial"/>
                <w:color w:val="000000"/>
                <w:szCs w:val="20"/>
              </w:rPr>
              <w:t xml:space="preserve"> </w:t>
            </w:r>
            <w:r w:rsidRPr="0005599D">
              <w:rPr>
                <w:rFonts w:eastAsia="Times New Roman" w:cs="Arial"/>
                <w:color w:val="000000"/>
                <w:szCs w:val="20"/>
              </w:rPr>
              <w:t>1057/2a,</w:t>
            </w:r>
            <w:r>
              <w:rPr>
                <w:rFonts w:eastAsia="Times New Roman" w:cs="Arial"/>
                <w:color w:val="000000"/>
                <w:szCs w:val="20"/>
              </w:rPr>
              <w:t xml:space="preserve"> </w:t>
            </w:r>
            <w:r w:rsidRPr="0005599D">
              <w:rPr>
                <w:rFonts w:eastAsia="Times New Roman" w:cs="Arial"/>
                <w:color w:val="000000"/>
                <w:szCs w:val="20"/>
              </w:rPr>
              <w:t>160 68 Praha 6</w:t>
            </w:r>
            <w:r>
              <w:rPr>
                <w:rFonts w:eastAsia="Times New Roman" w:cs="Arial"/>
                <w:color w:val="000000"/>
                <w:szCs w:val="20"/>
              </w:rPr>
              <w:t xml:space="preserve"> </w:t>
            </w:r>
            <w:r w:rsidRPr="0005599D">
              <w:rPr>
                <w:rFonts w:eastAsia="Times New Roman" w:cs="Arial"/>
                <w:color w:val="000000"/>
                <w:szCs w:val="20"/>
              </w:rPr>
              <w:t>– Bubeneč</w:t>
            </w:r>
          </w:p>
        </w:tc>
        <w:tc>
          <w:tcPr>
            <w:tcW w:w="1874" w:type="pct"/>
            <w:shd w:val="clear" w:color="auto" w:fill="auto"/>
            <w:vAlign w:val="center"/>
            <w:hideMark/>
          </w:tcPr>
          <w:p w14:paraId="4E4C86B4" w14:textId="77777777" w:rsidR="00F5156F" w:rsidRPr="0005599D" w:rsidRDefault="00F5156F" w:rsidP="00270936">
            <w:pPr>
              <w:spacing w:after="0" w:line="240" w:lineRule="auto"/>
              <w:jc w:val="left"/>
              <w:rPr>
                <w:rFonts w:eastAsia="Times New Roman" w:cs="Arial"/>
                <w:color w:val="000000"/>
                <w:szCs w:val="20"/>
              </w:rPr>
            </w:pPr>
            <w:r w:rsidRPr="0005599D">
              <w:rPr>
                <w:rFonts w:eastAsia="Times New Roman" w:cs="Arial"/>
                <w:color w:val="000000"/>
                <w:szCs w:val="20"/>
              </w:rPr>
              <w:t>Dodání do budovy – skladu. Před příjezdem volat kontaktní osobě. Palety větší než</w:t>
            </w:r>
            <w:r>
              <w:rPr>
                <w:rFonts w:eastAsia="Times New Roman" w:cs="Arial"/>
                <w:color w:val="000000"/>
                <w:szCs w:val="20"/>
              </w:rPr>
              <w:t xml:space="preserve"> </w:t>
            </w:r>
            <w:r w:rsidRPr="0005599D">
              <w:rPr>
                <w:rFonts w:eastAsia="Times New Roman" w:cs="Arial"/>
                <w:color w:val="000000"/>
                <w:szCs w:val="20"/>
              </w:rPr>
              <w:t>90 x 70 cm neprojdou dveřmi skladu.</w:t>
            </w:r>
            <w:r>
              <w:rPr>
                <w:rFonts w:eastAsia="Times New Roman" w:cs="Arial"/>
                <w:color w:val="000000"/>
                <w:szCs w:val="20"/>
              </w:rPr>
              <w:t xml:space="preserve"> </w:t>
            </w:r>
            <w:r w:rsidRPr="0005599D">
              <w:rPr>
                <w:rFonts w:eastAsia="Times New Roman" w:cs="Arial"/>
                <w:color w:val="000000"/>
                <w:szCs w:val="20"/>
              </w:rPr>
              <w:t>Ke skladu není možné zajet velkým nákladním automobilem.</w:t>
            </w:r>
          </w:p>
        </w:tc>
      </w:tr>
    </w:tbl>
    <w:p w14:paraId="58997F47" w14:textId="77777777" w:rsidR="00F5156F" w:rsidRDefault="00F5156F" w:rsidP="00F5156F">
      <w:pPr>
        <w:pStyle w:val="Zhlav"/>
      </w:pPr>
    </w:p>
    <w:tbl>
      <w:tblPr>
        <w:tblStyle w:val="Mkatabulky"/>
        <w:tblW w:w="5000" w:type="pct"/>
        <w:tblLook w:val="04A0" w:firstRow="1" w:lastRow="0" w:firstColumn="1" w:lastColumn="0" w:noHBand="0" w:noVBand="1"/>
      </w:tblPr>
      <w:tblGrid>
        <w:gridCol w:w="5666"/>
        <w:gridCol w:w="3396"/>
      </w:tblGrid>
      <w:tr w:rsidR="00F5156F" w14:paraId="7814AF26" w14:textId="77777777" w:rsidTr="00270936">
        <w:tc>
          <w:tcPr>
            <w:tcW w:w="3126" w:type="pct"/>
          </w:tcPr>
          <w:p w14:paraId="7BF64D2C" w14:textId="77777777" w:rsidR="00F5156F" w:rsidRPr="0005599D" w:rsidRDefault="00F5156F" w:rsidP="00270936">
            <w:pPr>
              <w:pStyle w:val="Nadpis2"/>
              <w:numPr>
                <w:ilvl w:val="0"/>
                <w:numId w:val="0"/>
              </w:numPr>
              <w:spacing w:before="120"/>
              <w:rPr>
                <w:szCs w:val="20"/>
              </w:rPr>
            </w:pPr>
            <w:r w:rsidRPr="0005599D">
              <w:rPr>
                <w:szCs w:val="20"/>
              </w:rPr>
              <w:t>papír formát A4, kvalita A</w:t>
            </w:r>
          </w:p>
        </w:tc>
        <w:tc>
          <w:tcPr>
            <w:tcW w:w="1874" w:type="pct"/>
          </w:tcPr>
          <w:p w14:paraId="32FB91CA" w14:textId="77777777" w:rsidR="00F5156F" w:rsidRPr="0005599D" w:rsidRDefault="00F5156F" w:rsidP="00270936">
            <w:pPr>
              <w:pStyle w:val="Nadpis2"/>
              <w:numPr>
                <w:ilvl w:val="0"/>
                <w:numId w:val="0"/>
              </w:numPr>
              <w:spacing w:before="120"/>
              <w:jc w:val="right"/>
              <w:rPr>
                <w:szCs w:val="20"/>
              </w:rPr>
            </w:pPr>
            <w:r w:rsidRPr="00210433">
              <w:rPr>
                <w:szCs w:val="20"/>
              </w:rPr>
              <w:t>800 balíků</w:t>
            </w:r>
          </w:p>
        </w:tc>
      </w:tr>
    </w:tbl>
    <w:p w14:paraId="7E2B9CDC" w14:textId="77777777" w:rsidR="00F5156F" w:rsidRDefault="00F5156F" w:rsidP="00F5156F">
      <w:pPr>
        <w:pStyle w:val="Zhlav"/>
      </w:pPr>
    </w:p>
    <w:sectPr w:rsidR="00F5156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964C" w14:textId="77777777" w:rsidR="00074988" w:rsidRDefault="00074988">
      <w:pPr>
        <w:spacing w:after="0" w:line="240" w:lineRule="auto"/>
      </w:pPr>
      <w:r>
        <w:separator/>
      </w:r>
    </w:p>
  </w:endnote>
  <w:endnote w:type="continuationSeparator" w:id="0">
    <w:p w14:paraId="5A6D3349" w14:textId="77777777" w:rsidR="00074988" w:rsidRDefault="0007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303B9914" w14:textId="1E21A08C" w:rsidR="00831BE6" w:rsidRDefault="00831BE6">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493012">
              <w:rPr>
                <w:bCs/>
                <w:noProof/>
                <w:szCs w:val="20"/>
              </w:rPr>
              <w:t>15</w:t>
            </w:r>
            <w:r>
              <w:rPr>
                <w:bCs/>
                <w:szCs w:val="20"/>
              </w:rPr>
              <w:fldChar w:fldCharType="end"/>
            </w:r>
            <w:r>
              <w:rPr>
                <w:szCs w:val="20"/>
              </w:rPr>
              <w:t xml:space="preserve"> z 15</w:t>
            </w:r>
          </w:p>
        </w:sdtContent>
      </w:sdt>
    </w:sdtContent>
  </w:sdt>
  <w:p w14:paraId="796C67CF" w14:textId="77777777" w:rsidR="00831BE6" w:rsidRDefault="00831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9EF7" w14:textId="5E1B800E" w:rsidR="00507F2C" w:rsidRDefault="00507F2C">
    <w:pPr>
      <w:pStyle w:val="Zpat"/>
      <w:jc w:val="center"/>
      <w:rPr>
        <w:szCs w:val="20"/>
      </w:rPr>
    </w:pPr>
  </w:p>
  <w:p w14:paraId="01564A78" w14:textId="77777777" w:rsidR="00507F2C" w:rsidRDefault="00507F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6444" w14:textId="77777777" w:rsidR="00831BE6" w:rsidRDefault="00831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8F3A" w14:textId="77777777" w:rsidR="00074988" w:rsidRDefault="00074988">
      <w:pPr>
        <w:spacing w:after="0" w:line="240" w:lineRule="auto"/>
      </w:pPr>
      <w:r>
        <w:separator/>
      </w:r>
    </w:p>
  </w:footnote>
  <w:footnote w:type="continuationSeparator" w:id="0">
    <w:p w14:paraId="33DAD158" w14:textId="77777777" w:rsidR="00074988" w:rsidRDefault="0007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F7C" w14:textId="719E8713" w:rsidR="00F5156F" w:rsidRDefault="00F5156F" w:rsidP="00F5156F">
    <w:pPr>
      <w:pStyle w:val="Zhlav"/>
      <w:spacing w:after="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068" w14:textId="24B34B56" w:rsidR="00831BE6" w:rsidRDefault="00831BE6">
    <w:pPr>
      <w:pStyle w:val="Zhlav"/>
      <w:spacing w:after="60"/>
      <w:jc w:val="right"/>
    </w:pPr>
    <w:r>
      <w:t>Identifikace Smlouvy (např. číslo v CES):</w:t>
    </w:r>
    <w:r w:rsidR="00F5156F">
      <w:t xml:space="preserve"> S-032/24</w:t>
    </w:r>
  </w:p>
  <w:p w14:paraId="5A8CE8D6" w14:textId="77777777" w:rsidR="00831BE6" w:rsidRDefault="00831B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768356485">
    <w:abstractNumId w:val="3"/>
  </w:num>
  <w:num w:numId="2" w16cid:durableId="526798774">
    <w:abstractNumId w:val="4"/>
  </w:num>
  <w:num w:numId="3" w16cid:durableId="1792741100">
    <w:abstractNumId w:val="10"/>
  </w:num>
  <w:num w:numId="4" w16cid:durableId="653222247">
    <w:abstractNumId w:val="9"/>
  </w:num>
  <w:num w:numId="5" w16cid:durableId="1489244987">
    <w:abstractNumId w:val="9"/>
    <w:lvlOverride w:ilvl="0">
      <w:startOverride w:val="1"/>
    </w:lvlOverride>
  </w:num>
  <w:num w:numId="6" w16cid:durableId="1142583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1188195">
    <w:abstractNumId w:val="4"/>
    <w:lvlOverride w:ilvl="0">
      <w:startOverride w:val="1"/>
    </w:lvlOverride>
  </w:num>
  <w:num w:numId="8" w16cid:durableId="1992977188">
    <w:abstractNumId w:val="0"/>
  </w:num>
  <w:num w:numId="9" w16cid:durableId="1543862842">
    <w:abstractNumId w:val="4"/>
    <w:lvlOverride w:ilvl="0">
      <w:startOverride w:val="1"/>
    </w:lvlOverride>
  </w:num>
  <w:num w:numId="10" w16cid:durableId="67851298">
    <w:abstractNumId w:val="4"/>
    <w:lvlOverride w:ilvl="0">
      <w:startOverride w:val="1"/>
    </w:lvlOverride>
  </w:num>
  <w:num w:numId="11" w16cid:durableId="2017337823">
    <w:abstractNumId w:val="4"/>
    <w:lvlOverride w:ilvl="0">
      <w:startOverride w:val="1"/>
    </w:lvlOverride>
  </w:num>
  <w:num w:numId="12" w16cid:durableId="1907260681">
    <w:abstractNumId w:val="4"/>
    <w:lvlOverride w:ilvl="0">
      <w:startOverride w:val="1"/>
    </w:lvlOverride>
  </w:num>
  <w:num w:numId="13" w16cid:durableId="1522622363">
    <w:abstractNumId w:val="4"/>
    <w:lvlOverride w:ilvl="0">
      <w:startOverride w:val="1"/>
    </w:lvlOverride>
  </w:num>
  <w:num w:numId="14" w16cid:durableId="1855915843">
    <w:abstractNumId w:val="4"/>
    <w:lvlOverride w:ilvl="0">
      <w:startOverride w:val="1"/>
    </w:lvlOverride>
  </w:num>
  <w:num w:numId="15" w16cid:durableId="1180047159">
    <w:abstractNumId w:val="4"/>
    <w:lvlOverride w:ilvl="0">
      <w:startOverride w:val="1"/>
    </w:lvlOverride>
  </w:num>
  <w:num w:numId="16" w16cid:durableId="650720616">
    <w:abstractNumId w:val="4"/>
    <w:lvlOverride w:ilvl="0">
      <w:startOverride w:val="1"/>
    </w:lvlOverride>
  </w:num>
  <w:num w:numId="17" w16cid:durableId="221603702">
    <w:abstractNumId w:val="4"/>
    <w:lvlOverride w:ilvl="0">
      <w:startOverride w:val="1"/>
    </w:lvlOverride>
  </w:num>
  <w:num w:numId="18" w16cid:durableId="190926057">
    <w:abstractNumId w:val="4"/>
    <w:lvlOverride w:ilvl="0">
      <w:startOverride w:val="1"/>
    </w:lvlOverride>
  </w:num>
  <w:num w:numId="19" w16cid:durableId="718939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313016">
    <w:abstractNumId w:val="5"/>
  </w:num>
  <w:num w:numId="21" w16cid:durableId="597257330">
    <w:abstractNumId w:val="3"/>
  </w:num>
  <w:num w:numId="22" w16cid:durableId="1916864894">
    <w:abstractNumId w:val="3"/>
  </w:num>
  <w:num w:numId="23" w16cid:durableId="2079091172">
    <w:abstractNumId w:val="3"/>
  </w:num>
  <w:num w:numId="24" w16cid:durableId="2063745366">
    <w:abstractNumId w:val="11"/>
  </w:num>
  <w:num w:numId="25" w16cid:durableId="1772554677">
    <w:abstractNumId w:val="11"/>
  </w:num>
  <w:num w:numId="26" w16cid:durableId="379130813">
    <w:abstractNumId w:val="11"/>
  </w:num>
  <w:num w:numId="27" w16cid:durableId="402408335">
    <w:abstractNumId w:val="11"/>
    <w:lvlOverride w:ilvl="0">
      <w:startOverride w:val="13"/>
    </w:lvlOverride>
    <w:lvlOverride w:ilvl="1">
      <w:startOverride w:val="15"/>
    </w:lvlOverride>
  </w:num>
  <w:num w:numId="28" w16cid:durableId="1387679124">
    <w:abstractNumId w:val="11"/>
  </w:num>
  <w:num w:numId="29" w16cid:durableId="794716090">
    <w:abstractNumId w:val="2"/>
  </w:num>
  <w:num w:numId="30" w16cid:durableId="11610235">
    <w:abstractNumId w:val="11"/>
  </w:num>
  <w:num w:numId="31" w16cid:durableId="818961745">
    <w:abstractNumId w:val="7"/>
  </w:num>
  <w:num w:numId="32" w16cid:durableId="269092817">
    <w:abstractNumId w:val="11"/>
  </w:num>
  <w:num w:numId="33" w16cid:durableId="959805535">
    <w:abstractNumId w:val="6"/>
  </w:num>
  <w:num w:numId="34" w16cid:durableId="377777581">
    <w:abstractNumId w:val="11"/>
  </w:num>
  <w:num w:numId="35" w16cid:durableId="1186485164">
    <w:abstractNumId w:val="8"/>
  </w:num>
  <w:num w:numId="36" w16cid:durableId="1728643441">
    <w:abstractNumId w:val="11"/>
  </w:num>
  <w:num w:numId="37" w16cid:durableId="40595989">
    <w:abstractNumId w:val="11"/>
  </w:num>
  <w:num w:numId="38" w16cid:durableId="597979439">
    <w:abstractNumId w:val="11"/>
  </w:num>
  <w:num w:numId="39" w16cid:durableId="148447157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1"/>
    <w:rsid w:val="00012F3E"/>
    <w:rsid w:val="000164CC"/>
    <w:rsid w:val="00035149"/>
    <w:rsid w:val="00064EB4"/>
    <w:rsid w:val="00074794"/>
    <w:rsid w:val="00074988"/>
    <w:rsid w:val="0009039B"/>
    <w:rsid w:val="00096F03"/>
    <w:rsid w:val="000E2364"/>
    <w:rsid w:val="000F5378"/>
    <w:rsid w:val="00122F44"/>
    <w:rsid w:val="00155EA7"/>
    <w:rsid w:val="001570C4"/>
    <w:rsid w:val="00181596"/>
    <w:rsid w:val="001A7811"/>
    <w:rsid w:val="001D27CE"/>
    <w:rsid w:val="001D4167"/>
    <w:rsid w:val="001E491A"/>
    <w:rsid w:val="00225F65"/>
    <w:rsid w:val="002A1745"/>
    <w:rsid w:val="002D24CD"/>
    <w:rsid w:val="00327396"/>
    <w:rsid w:val="003473F2"/>
    <w:rsid w:val="00356DA8"/>
    <w:rsid w:val="00360D31"/>
    <w:rsid w:val="00382097"/>
    <w:rsid w:val="003C05B6"/>
    <w:rsid w:val="003C45AF"/>
    <w:rsid w:val="00406DE0"/>
    <w:rsid w:val="00422336"/>
    <w:rsid w:val="00445113"/>
    <w:rsid w:val="004645F3"/>
    <w:rsid w:val="00492C7B"/>
    <w:rsid w:val="00493012"/>
    <w:rsid w:val="004C31A8"/>
    <w:rsid w:val="004D07B4"/>
    <w:rsid w:val="00507F2C"/>
    <w:rsid w:val="00565A7E"/>
    <w:rsid w:val="005A2061"/>
    <w:rsid w:val="005C2921"/>
    <w:rsid w:val="00653246"/>
    <w:rsid w:val="00687921"/>
    <w:rsid w:val="006956D9"/>
    <w:rsid w:val="006B3432"/>
    <w:rsid w:val="006D4DA1"/>
    <w:rsid w:val="00712BD5"/>
    <w:rsid w:val="00732034"/>
    <w:rsid w:val="00763C08"/>
    <w:rsid w:val="00764310"/>
    <w:rsid w:val="00784DC2"/>
    <w:rsid w:val="007959C2"/>
    <w:rsid w:val="00831BE6"/>
    <w:rsid w:val="00885E7F"/>
    <w:rsid w:val="008C2DB3"/>
    <w:rsid w:val="008D196E"/>
    <w:rsid w:val="008E4B9C"/>
    <w:rsid w:val="008E5F85"/>
    <w:rsid w:val="008F69A2"/>
    <w:rsid w:val="00950929"/>
    <w:rsid w:val="00960834"/>
    <w:rsid w:val="00976F61"/>
    <w:rsid w:val="00996D9D"/>
    <w:rsid w:val="009C51A9"/>
    <w:rsid w:val="009E043A"/>
    <w:rsid w:val="00A16723"/>
    <w:rsid w:val="00A409EC"/>
    <w:rsid w:val="00A43D56"/>
    <w:rsid w:val="00AD50BF"/>
    <w:rsid w:val="00AD7FDD"/>
    <w:rsid w:val="00AF3B56"/>
    <w:rsid w:val="00B85BBE"/>
    <w:rsid w:val="00BA7FF5"/>
    <w:rsid w:val="00C1619A"/>
    <w:rsid w:val="00C30151"/>
    <w:rsid w:val="00C876CE"/>
    <w:rsid w:val="00C93E28"/>
    <w:rsid w:val="00CC167C"/>
    <w:rsid w:val="00D005EE"/>
    <w:rsid w:val="00D22F37"/>
    <w:rsid w:val="00D32895"/>
    <w:rsid w:val="00D65CDE"/>
    <w:rsid w:val="00E033DE"/>
    <w:rsid w:val="00EC6C72"/>
    <w:rsid w:val="00EE53BE"/>
    <w:rsid w:val="00F14BD3"/>
    <w:rsid w:val="00F250D4"/>
    <w:rsid w:val="00F273FD"/>
    <w:rsid w:val="00F34608"/>
    <w:rsid w:val="00F5156F"/>
    <w:rsid w:val="00F95400"/>
    <w:rsid w:val="00FB56C2"/>
    <w:rsid w:val="00FC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9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6DA9-7246-4D87-BC93-ADC4B304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6536</Words>
  <Characters>38566</Characters>
  <Application>Microsoft Office Word</Application>
  <DocSecurity>0</DocSecurity>
  <Lines>321</Lines>
  <Paragraphs>90</Paragraphs>
  <ScaleCrop>false</ScaleCrop>
  <Company/>
  <LinksUpToDate>false</LinksUpToDate>
  <CharactersWithSpaces>45012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2024-11-13T08:20:00Z</dcterms:created>
  <dcterms:modified xsi:type="dcterms:W3CDTF">2024-11-14T07:32:00Z</dcterms:modified>
</cp:coreProperties>
</file>