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D" w:rsidRDefault="0095051D" w:rsidP="0095051D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3 -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1.1.2012</w:t>
      </w:r>
      <w:proofErr w:type="gramEnd"/>
      <w:r>
        <w:rPr>
          <w:rFonts w:ascii="Arial" w:hAnsi="Arial" w:cs="Arial"/>
          <w:b/>
          <w:sz w:val="36"/>
        </w:rPr>
        <w:t xml:space="preserve"> do 31.12.2012</w:t>
      </w:r>
    </w:p>
    <w:p w:rsidR="0095051D" w:rsidRPr="0095051D" w:rsidRDefault="0095051D" w:rsidP="0095051D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ruky, Balík Na poštu a Obchodní balík Číslo </w:t>
      </w:r>
      <w:r w:rsidR="004B184D">
        <w:t>XXXX</w:t>
      </w:r>
      <w:r>
        <w:t xml:space="preserve"> zásilek (celkový počet podaných zásilek dle dohody za tříměsíční období / tři)</w:t>
      </w:r>
    </w:p>
    <w:p w:rsidR="0095051D" w:rsidRPr="0095051D" w:rsidRDefault="0095051D" w:rsidP="0095051D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4B184D">
        <w:t>XXXX</w:t>
      </w:r>
      <w:r>
        <w:t xml:space="preserve"> podané Odesílatelem dle Dohody specifikované v bodu 1.1 této Přílohy (dále jen "Dohoda") je sjednána cena pro období od </w:t>
      </w:r>
      <w:proofErr w:type="gramStart"/>
      <w:r>
        <w:t>1.1.2012</w:t>
      </w:r>
      <w:proofErr w:type="gramEnd"/>
      <w:r>
        <w:t xml:space="preserve"> do 31.12.2012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="004B184D">
        <w:t>XXXX</w:t>
      </w:r>
      <w:r>
        <w:t xml:space="preserve"> za jeden kus zásilky NP.</w:t>
      </w:r>
    </w:p>
    <w:p w:rsidR="0095051D" w:rsidRPr="0095051D" w:rsidRDefault="0095051D" w:rsidP="0095051D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95051D" w:rsidRPr="0095051D" w:rsidRDefault="0095051D" w:rsidP="0095051D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95051D" w:rsidRPr="0095051D" w:rsidRDefault="0095051D" w:rsidP="0095051D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95051D" w:rsidRPr="0095051D" w:rsidRDefault="0095051D" w:rsidP="0095051D">
      <w:pPr>
        <w:numPr>
          <w:ilvl w:val="3"/>
          <w:numId w:val="21"/>
        </w:numPr>
      </w:pPr>
      <w:r>
        <w:t xml:space="preserve">průměrná hmotnost zásilky NP za tříměsíční období je </w:t>
      </w:r>
      <w:r w:rsidR="004B184D">
        <w:t>XXX</w:t>
      </w:r>
      <w:r>
        <w:t xml:space="preserve"> (součet hmotností všech podaných zásilek NP za tříměsíční období / počet všech podaných zásilek NP za tříměsíční období);</w:t>
      </w:r>
    </w:p>
    <w:p w:rsidR="0095051D" w:rsidRPr="0095051D" w:rsidRDefault="0095051D" w:rsidP="0095051D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4B184D">
        <w:t>XXXX</w:t>
      </w:r>
      <w:r>
        <w:t xml:space="preserve"> zásilek (celkový počet zásilek podaných dle dohody za tříměsíční období / tři);</w:t>
      </w:r>
    </w:p>
    <w:p w:rsidR="0095051D" w:rsidRPr="0095051D" w:rsidRDefault="0095051D" w:rsidP="0095051D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4B184D">
        <w:t>XX</w:t>
      </w:r>
      <w:r>
        <w:t xml:space="preserve"> zásilek NP z celkového podání zásilek NP za tříměsíční období (počet podaných zásilek NP s využitím dodatkové slevy za tříměsíční období / počet všech podaných zásilek NP za tříměsíční období);</w:t>
      </w:r>
    </w:p>
    <w:p w:rsidR="0095051D" w:rsidRPr="0095051D" w:rsidRDefault="0095051D" w:rsidP="0095051D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4B184D">
        <w:t>XXX</w:t>
      </w:r>
      <w:r>
        <w:t xml:space="preserve"> zásilek NP z celkového podání zásilek NP za tříměsíční období (počet podaných zásilek NP s využitím slev "Dodání zásilek na adresu provozovny" za tříměsíční období / počet všech podaných zásilek NP za tříměsíční období);</w:t>
      </w:r>
    </w:p>
    <w:p w:rsidR="0095051D" w:rsidRPr="0095051D" w:rsidRDefault="0095051D" w:rsidP="0095051D">
      <w:pPr>
        <w:numPr>
          <w:ilvl w:val="3"/>
          <w:numId w:val="21"/>
        </w:numPr>
      </w:pPr>
      <w:r>
        <w:t xml:space="preserve">sleva za zásilky NP nad </w:t>
      </w:r>
      <w:r w:rsidR="004B184D">
        <w:t>XX</w:t>
      </w:r>
      <w:r>
        <w:t xml:space="preserve"> za tříměsíční období je oprávněně využita maximálně </w:t>
      </w:r>
      <w:r w:rsidR="004B184D">
        <w:t>XX</w:t>
      </w:r>
      <w:r>
        <w:t xml:space="preserve"> z celkového podání zásilek NP za tříměsíční období (počet podaných zásilek NP s vyšší hmotností než </w:t>
      </w:r>
      <w:proofErr w:type="gramStart"/>
      <w:r w:rsidR="004B184D">
        <w:t xml:space="preserve">XX </w:t>
      </w:r>
      <w:r>
        <w:t xml:space="preserve"> za</w:t>
      </w:r>
      <w:proofErr w:type="gramEnd"/>
      <w:r>
        <w:t xml:space="preserve"> tříměsíční období / počet všech podaných zásilek NP za tříměsíční období).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95051D" w:rsidTr="0095051D">
        <w:tc>
          <w:tcPr>
            <w:tcW w:w="4641" w:type="dxa"/>
            <w:shd w:val="clear" w:color="auto" w:fill="auto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95051D" w:rsidTr="009505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95051D" w:rsidTr="00262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95051D" w:rsidRDefault="0095051D" w:rsidP="004B184D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žádné zásilky nepřevýší </w:t>
            </w:r>
            <w:r w:rsidR="004B184D">
              <w:t>XXXXX</w:t>
            </w:r>
          </w:p>
        </w:tc>
      </w:tr>
    </w:tbl>
    <w:p w:rsidR="0095051D" w:rsidRPr="0095051D" w:rsidRDefault="0095051D" w:rsidP="0095051D">
      <w:pPr>
        <w:numPr>
          <w:ilvl w:val="2"/>
          <w:numId w:val="21"/>
        </w:numPr>
        <w:spacing w:after="0"/>
      </w:pPr>
    </w:p>
    <w:p w:rsidR="0095051D" w:rsidRPr="0095051D" w:rsidRDefault="0095051D" w:rsidP="0095051D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13"/>
        <w:gridCol w:w="37"/>
      </w:tblGrid>
      <w:tr w:rsidR="0095051D" w:rsidTr="0095051D">
        <w:tc>
          <w:tcPr>
            <w:tcW w:w="4752" w:type="dxa"/>
            <w:shd w:val="clear" w:color="auto" w:fill="auto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95051D" w:rsidTr="00C565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Ostatní doplňkové služby</w:t>
            </w:r>
          </w:p>
        </w:tc>
      </w:tr>
      <w:tr w:rsidR="0095051D" w:rsidTr="009505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  <w:proofErr w:type="spellStart"/>
            <w:r>
              <w:t>Bezdokladová</w:t>
            </w:r>
            <w:proofErr w:type="spellEnd"/>
            <w:r>
              <w:t xml:space="preserve"> dobírka u NP</w:t>
            </w:r>
          </w:p>
          <w:p w:rsidR="0095051D" w:rsidRDefault="0095051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zásilek nepřevýší</w:t>
            </w:r>
          </w:p>
        </w:tc>
        <w:tc>
          <w:tcPr>
            <w:tcW w:w="4960" w:type="dxa"/>
          </w:tcPr>
          <w:p w:rsidR="0095051D" w:rsidRDefault="004B184D" w:rsidP="0095051D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</w:t>
            </w:r>
            <w:r w:rsidR="0095051D">
              <w:t xml:space="preserve"> z množství podaných zásilek za </w:t>
            </w:r>
            <w:r w:rsidR="0095051D">
              <w:tab/>
              <w:t>tříměsíční období</w:t>
            </w:r>
          </w:p>
        </w:tc>
      </w:tr>
    </w:tbl>
    <w:p w:rsidR="0095051D" w:rsidRPr="0095051D" w:rsidRDefault="0095051D" w:rsidP="0095051D">
      <w:pPr>
        <w:numPr>
          <w:ilvl w:val="2"/>
          <w:numId w:val="21"/>
        </w:numPr>
        <w:spacing w:after="0"/>
      </w:pPr>
    </w:p>
    <w:p w:rsidR="0095051D" w:rsidRPr="0095051D" w:rsidRDefault="0095051D" w:rsidP="0095051D">
      <w:pPr>
        <w:numPr>
          <w:ilvl w:val="2"/>
          <w:numId w:val="21"/>
        </w:numPr>
        <w:spacing w:after="0"/>
      </w:pPr>
    </w:p>
    <w:p w:rsidR="0095051D" w:rsidRPr="0095051D" w:rsidRDefault="0095051D" w:rsidP="0095051D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 xml:space="preserve">Cena uvedená v bodě 1.2 je sjednána jako úplná jednotná cena, která zahrnuje základní cenu,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4B184D">
        <w:t>XXX</w:t>
      </w:r>
      <w:r>
        <w:t xml:space="preserve"> za jednu zásilku NP.</w:t>
      </w:r>
    </w:p>
    <w:p w:rsidR="0095051D" w:rsidRPr="0095051D" w:rsidRDefault="0095051D" w:rsidP="0095051D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95051D" w:rsidRPr="0095051D" w:rsidRDefault="0095051D" w:rsidP="0095051D">
      <w:pPr>
        <w:numPr>
          <w:ilvl w:val="1"/>
          <w:numId w:val="21"/>
        </w:numPr>
        <w:spacing w:before="120" w:after="0" w:line="240" w:lineRule="auto"/>
        <w:jc w:val="both"/>
      </w:pPr>
      <w:r>
        <w:t>Následující kalendářní měsíc po uplynutí každého</w:t>
      </w:r>
      <w:r w:rsidR="004B184D">
        <w:t xml:space="preserve"> XXXXX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4B184D">
        <w:t xml:space="preserve">XXXXX </w:t>
      </w:r>
      <w:r>
        <w:t xml:space="preserve">období. Pokud podmínky bodu 1.3 nebudou dodrženy, bude navržena nová cena při zohlednění Odesílatelem skutečně podaných zásilek v tomto </w:t>
      </w:r>
      <w:r w:rsidR="004B184D">
        <w:t>XXXXX</w:t>
      </w:r>
      <w:r>
        <w:t xml:space="preserve"> období.</w:t>
      </w:r>
    </w:p>
    <w:p w:rsidR="0095051D" w:rsidRPr="0095051D" w:rsidRDefault="0095051D" w:rsidP="0095051D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95051D" w:rsidRPr="0095051D" w:rsidRDefault="0095051D" w:rsidP="0095051D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5051D" w:rsidRDefault="0095051D" w:rsidP="0095051D">
      <w:pPr>
        <w:numPr>
          <w:ilvl w:val="0"/>
          <w:numId w:val="0"/>
        </w:numPr>
        <w:spacing w:before="120" w:after="0" w:line="240" w:lineRule="auto"/>
        <w:jc w:val="both"/>
      </w:pPr>
    </w:p>
    <w:p w:rsidR="0095051D" w:rsidRDefault="0095051D" w:rsidP="0095051D">
      <w:pPr>
        <w:numPr>
          <w:ilvl w:val="0"/>
          <w:numId w:val="0"/>
        </w:numPr>
        <w:spacing w:before="120" w:after="0" w:line="240" w:lineRule="auto"/>
        <w:jc w:val="both"/>
      </w:pPr>
    </w:p>
    <w:p w:rsidR="0095051D" w:rsidRDefault="0095051D" w:rsidP="0095051D">
      <w:pPr>
        <w:numPr>
          <w:ilvl w:val="0"/>
          <w:numId w:val="0"/>
        </w:numPr>
        <w:spacing w:before="120" w:after="0" w:line="240" w:lineRule="auto"/>
        <w:jc w:val="both"/>
      </w:pPr>
    </w:p>
    <w:p w:rsidR="0095051D" w:rsidRDefault="0095051D" w:rsidP="0095051D">
      <w:pPr>
        <w:numPr>
          <w:ilvl w:val="0"/>
          <w:numId w:val="0"/>
        </w:numPr>
        <w:spacing w:after="0" w:line="240" w:lineRule="auto"/>
        <w:jc w:val="both"/>
        <w:sectPr w:rsidR="0095051D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20.12.2011</w:t>
      </w:r>
      <w:proofErr w:type="gramEnd"/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both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both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both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center"/>
      </w:pPr>
    </w:p>
    <w:p w:rsidR="004B184D" w:rsidRDefault="004B184D" w:rsidP="004B184D">
      <w:pPr>
        <w:numPr>
          <w:ilvl w:val="0"/>
          <w:numId w:val="0"/>
        </w:numPr>
        <w:spacing w:after="0" w:line="240" w:lineRule="auto"/>
        <w:jc w:val="center"/>
      </w:pPr>
      <w:r>
        <w:t>XXXXXX</w:t>
      </w:r>
    </w:p>
    <w:p w:rsidR="00A04AC9" w:rsidRDefault="004B184D" w:rsidP="004B184D">
      <w:pPr>
        <w:numPr>
          <w:ilvl w:val="0"/>
          <w:numId w:val="0"/>
        </w:numPr>
        <w:spacing w:after="0" w:line="240" w:lineRule="auto"/>
        <w:jc w:val="center"/>
      </w:pPr>
      <w:r>
        <w:br w:type="column"/>
      </w:r>
      <w:r>
        <w:lastRenderedPageBreak/>
        <w:t>V</w:t>
      </w:r>
      <w:bookmarkStart w:id="0" w:name="_GoBack"/>
      <w:bookmarkEnd w:id="0"/>
      <w:r w:rsidR="00A04AC9">
        <w:t xml:space="preserve">e Zlíně dne </w:t>
      </w:r>
    </w:p>
    <w:p w:rsidR="00A04AC9" w:rsidRDefault="00A04AC9" w:rsidP="00A04AC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A04AC9" w:rsidRDefault="00A04AC9" w:rsidP="00A04AC9">
      <w:pPr>
        <w:numPr>
          <w:ilvl w:val="0"/>
          <w:numId w:val="0"/>
        </w:numPr>
        <w:spacing w:after="0" w:line="240" w:lineRule="auto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</w:pP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04AC9" w:rsidRDefault="00A04AC9" w:rsidP="00A04AC9">
      <w:pPr>
        <w:numPr>
          <w:ilvl w:val="0"/>
          <w:numId w:val="0"/>
        </w:numPr>
        <w:spacing w:after="0" w:line="240" w:lineRule="auto"/>
        <w:jc w:val="center"/>
      </w:pPr>
    </w:p>
    <w:p w:rsidR="00A04AC9" w:rsidRPr="009474EE" w:rsidRDefault="004B184D" w:rsidP="00A04AC9">
      <w:pPr>
        <w:numPr>
          <w:ilvl w:val="0"/>
          <w:numId w:val="0"/>
        </w:numPr>
        <w:spacing w:after="0" w:line="240" w:lineRule="auto"/>
        <w:jc w:val="center"/>
      </w:pPr>
      <w:r>
        <w:t>XXXXX</w:t>
      </w:r>
    </w:p>
    <w:p w:rsidR="00AA4A4D" w:rsidRPr="0095051D" w:rsidRDefault="00AA4A4D" w:rsidP="00A04AC9">
      <w:pPr>
        <w:numPr>
          <w:ilvl w:val="0"/>
          <w:numId w:val="0"/>
        </w:numPr>
        <w:spacing w:after="0" w:line="240" w:lineRule="auto"/>
        <w:jc w:val="both"/>
      </w:pPr>
    </w:p>
    <w:sectPr w:rsidR="00AA4A4D" w:rsidRPr="0095051D" w:rsidSect="009474EE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A5" w:rsidRDefault="00293CA5">
      <w:r>
        <w:separator/>
      </w:r>
    </w:p>
  </w:endnote>
  <w:endnote w:type="continuationSeparator" w:id="0">
    <w:p w:rsidR="00293CA5" w:rsidRDefault="0029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56186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56186F" w:rsidRPr="00160A6D">
      <w:rPr>
        <w:sz w:val="18"/>
        <w:szCs w:val="18"/>
      </w:rPr>
      <w:fldChar w:fldCharType="separate"/>
    </w:r>
    <w:r w:rsidR="004B184D">
      <w:rPr>
        <w:noProof/>
        <w:sz w:val="18"/>
        <w:szCs w:val="18"/>
      </w:rPr>
      <w:t>1</w:t>
    </w:r>
    <w:r w:rsidR="0056186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56186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56186F" w:rsidRPr="00160A6D">
      <w:rPr>
        <w:sz w:val="18"/>
        <w:szCs w:val="18"/>
      </w:rPr>
      <w:fldChar w:fldCharType="separate"/>
    </w:r>
    <w:r w:rsidR="004B184D">
      <w:rPr>
        <w:noProof/>
        <w:sz w:val="18"/>
        <w:szCs w:val="18"/>
      </w:rPr>
      <w:t>2</w:t>
    </w:r>
    <w:r w:rsidR="0056186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A5" w:rsidRDefault="00293CA5">
      <w:r>
        <w:separator/>
      </w:r>
    </w:p>
  </w:footnote>
  <w:footnote w:type="continuationSeparator" w:id="0">
    <w:p w:rsidR="00293CA5" w:rsidRDefault="0029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C2E8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5051D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5051D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Balík Na poštu a Obchodní balík</w:t>
    </w:r>
  </w:p>
  <w:p w:rsidR="00EA4519" w:rsidRPr="00C1096D" w:rsidRDefault="0095051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3, Číslo smlouvy: 982607-2138/2011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261B7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93CA5"/>
    <w:rsid w:val="002A4421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43853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184D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6186F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051D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04AC9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2E8A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81D7B-300E-467D-839B-A6D8464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3</cp:revision>
  <cp:lastPrinted>2011-12-20T10:52:00Z</cp:lastPrinted>
  <dcterms:created xsi:type="dcterms:W3CDTF">2016-07-21T11:00:00Z</dcterms:created>
  <dcterms:modified xsi:type="dcterms:W3CDTF">2016-07-21T11:03:00Z</dcterms:modified>
</cp:coreProperties>
</file>